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 xml:space="preserve">Pursuant to Section 13 or 15(d) of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color w:val="000000"/>
          <w:sz w:val="18"/>
        </w:rPr>
        <w:t xml:space="preserve">Date of Report (Date of earliest event reported): </w:t>
      </w:r>
      <w:r>
        <w:rPr>
          <w:color w:val="000000"/>
        </w:rPr>
        <w:t>  </w:t>
      </w:r>
      <w:r>
        <w:rPr>
          <w:rFonts w:ascii="Arial;sans-serif" w:hAnsi="Arial;sans-serif"/>
          <w:b w:val="false"/>
          <w:color w:val="000000"/>
          <w:sz w:val="18"/>
        </w:rPr>
        <w:t>August 5, 2026</w:t>
      </w:r>
    </w:p>
    <w:tbl>
      <w:tblPr>
        <w:tblW w:w="8040" w:type="dxa"/>
        <w:jc w:val="center"/>
        <w:tblInd w:w="0" w:type="dxa"/>
        <w:tblLayout w:type="fixed"/>
        <w:tblCellMar>
          <w:top w:w="28" w:type="dxa"/>
          <w:left w:w="28" w:type="dxa"/>
          <w:bottom w:w="28" w:type="dxa"/>
          <w:right w:w="28" w:type="dxa"/>
        </w:tblCellMar>
      </w:tblPr>
      <w:tblGrid>
        <w:gridCol w:w="1206"/>
        <w:gridCol w:w="1062"/>
        <w:gridCol w:w="1062"/>
        <w:gridCol w:w="685"/>
        <w:gridCol w:w="685"/>
        <w:gridCol w:w="685"/>
        <w:gridCol w:w="774"/>
        <w:gridCol w:w="774"/>
        <w:gridCol w:w="1107"/>
      </w:tblGrid>
      <w:tr>
        <w:trPr/>
        <w:tc>
          <w:tcPr>
            <w:tcW w:w="120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0"/>
              </w:rPr>
            </w:pPr>
            <w:r>
              <w:rPr>
                <w:rFonts w:ascii="Arial;sans-serif" w:hAnsi="Arial;sans-serif"/>
                <w:b/>
                <w:color w:val="000000"/>
                <w:sz w:val="40"/>
              </w:rPr>
              <w:t>LiveRamp Holdings, Inc.</w:t>
            </w:r>
          </w:p>
        </w:tc>
      </w:tr>
      <w:tr>
        <w:trPr/>
        <w:tc>
          <w:tcPr>
            <w:tcW w:w="8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001-38669</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83-1269307</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225 Bush Street, Seventeenth Floor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San Francisco, CA</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94104</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80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(888) 987-6764</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8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9092" w:type="dxa"/>
        <w:jc w:val="left"/>
        <w:tblInd w:w="0" w:type="dxa"/>
        <w:tblLayout w:type="fixed"/>
        <w:tblCellMar>
          <w:top w:w="28" w:type="dxa"/>
          <w:left w:w="28" w:type="dxa"/>
          <w:bottom w:w="28" w:type="dxa"/>
          <w:right w:w="28" w:type="dxa"/>
        </w:tblCellMar>
      </w:tblPr>
      <w:tblGrid>
        <w:gridCol w:w="871"/>
        <w:gridCol w:w="764"/>
        <w:gridCol w:w="764"/>
        <w:gridCol w:w="278"/>
        <w:gridCol w:w="278"/>
        <w:gridCol w:w="278"/>
        <w:gridCol w:w="455"/>
        <w:gridCol w:w="455"/>
        <w:gridCol w:w="455"/>
        <w:gridCol w:w="278"/>
        <w:gridCol w:w="278"/>
        <w:gridCol w:w="278"/>
        <w:gridCol w:w="1072"/>
        <w:gridCol w:w="1072"/>
        <w:gridCol w:w="1516"/>
      </w:tblGrid>
      <w:tr>
        <w:trPr/>
        <w:tc>
          <w:tcPr>
            <w:tcW w:w="87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909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3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$.10 Par Value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RAMP</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80"/>
        <w:gridCol w:w="1030"/>
        <w:gridCol w:w="1030"/>
        <w:gridCol w:w="1030"/>
        <w:gridCol w:w="1030"/>
        <w:gridCol w:w="1030"/>
        <w:gridCol w:w="1030"/>
        <w:gridCol w:w="1030"/>
        <w:gridCol w:w="1515"/>
      </w:tblGrid>
      <w:tr>
        <w:trPr/>
        <w:tc>
          <w:tcPr>
            <w:tcW w:w="14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Act.</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2—Financial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5, 2026, LiveRamp Holdings, Inc. (the “Company”) issued a press release announcing the results of its financial performance for its first quarter ended June 30, 2026. The press release is furnished herewith as Exhibit 99.1 and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contained in this Item 2.02, including the exhibit attached hereto, is being “furnished” and shall not be deemed “filed” for purposes of Section 18 of the Securities Exchange Act of 1934, as amended (the “Exchange Act”), or otherwise subject to the liabilities of Section 18 of the Exchange Act.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    Exhibits</w:t>
      </w:r>
    </w:p>
    <w:tbl>
      <w:tblPr>
        <w:tblW w:w="7076"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547"/>
        <w:gridCol w:w="1547"/>
        <w:gridCol w:w="2201"/>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14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7q1pressreleaseforedgar.htm">
              <w:r>
                <w:rPr>
                  <w:rStyle w:val="InternetLink"/>
                  <w:rFonts w:ascii="Arial;sans-serif" w:hAnsi="Arial;sans-serif"/>
                  <w:b w:val="false"/>
                  <w:color w:val="0000FF"/>
                  <w:sz w:val="20"/>
                  <w:u w:val="single"/>
                </w:rPr>
                <w:t>Press Release of the Company dated August 5, 2026</w:t>
              </w:r>
            </w:hyperlink>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August 5, 2026 </w:t>
      </w:r>
    </w:p>
    <w:p>
      <w:pPr>
        <w:pStyle w:val="TextBody"/>
        <w:bidi w:val="0"/>
        <w:spacing w:before="0" w:after="0"/>
        <w:jc w:val="left"/>
        <w:rPr/>
      </w:pPr>
      <w:r>
        <w:rPr/>
      </w:r>
    </w:p>
    <w:p>
      <w:pPr>
        <w:pStyle w:val="TextBody"/>
        <w:bidi w:val="0"/>
        <w:spacing w:before="0" w:after="0"/>
        <w:jc w:val="left"/>
        <w:rPr/>
      </w:pPr>
      <w:r>
        <w:rPr/>
      </w:r>
    </w:p>
    <w:tbl>
      <w:tblPr>
        <w:tblW w:w="5655" w:type="dxa"/>
        <w:jc w:val="left"/>
        <w:tblInd w:w="0" w:type="dxa"/>
        <w:tblLayout w:type="fixed"/>
        <w:tblCellMar>
          <w:top w:w="28" w:type="dxa"/>
          <w:left w:w="28" w:type="dxa"/>
          <w:bottom w:w="28" w:type="dxa"/>
          <w:right w:w="28" w:type="dxa"/>
        </w:tblCellMar>
      </w:tblPr>
      <w:tblGrid>
        <w:gridCol w:w="396"/>
        <w:gridCol w:w="350"/>
        <w:gridCol w:w="350"/>
        <w:gridCol w:w="1331"/>
        <w:gridCol w:w="1331"/>
        <w:gridCol w:w="1897"/>
      </w:tblGrid>
      <w:tr>
        <w:trPr/>
        <w:tc>
          <w:tcPr>
            <w:tcW w:w="3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5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LiveRamp Holdings, Inc.</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Jerry C. Jones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45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Jerry C. Jones</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EVP, Chief Ethics and Legal Officer and Secretary</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24"/>
        </w:rPr>
      </w:pPr>
      <w:r>
        <w:rPr>
          <w:rFonts w:ascii="Arial;sans-serif" w:hAnsi="Arial;sans-serif"/>
          <w:b/>
          <w:color w:val="000000"/>
          <w:sz w:val="24"/>
        </w:rPr>
        <w:t xml:space="preserve">LIVERAMP ANNOUNCES RESULTS FOR FIRST QUARTER FISCAL 2027 </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Revenue increased 10% year-over-year</w:t>
      </w:r>
    </w:p>
    <w:p>
      <w:pPr>
        <w:pStyle w:val="TextBody"/>
        <w:bidi w:val="0"/>
        <w:spacing w:lineRule="auto" w:line="417"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GAAP operating income more than doubled year-over-year and non-GAAP increased 41%</w:t>
      </w:r>
    </w:p>
    <w:p>
      <w:pPr>
        <w:pStyle w:val="TextBody"/>
        <w:bidi w:val="0"/>
        <w:spacing w:lineRule="auto" w:line="417"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Publicis Groupe transaction still expected to close before the end of CY26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0"/>
        </w:rPr>
        <w:t>SAN FRANCISCO, Calif.</w:t>
      </w:r>
      <w:r>
        <w:rPr>
          <w:rFonts w:ascii="Arial;sans-serif" w:hAnsi="Arial;sans-serif"/>
          <w:b/>
          <w:color w:val="000000"/>
          <w:sz w:val="20"/>
          <w:shd w:fill="FFFFFF" w:val="clear"/>
        </w:rPr>
        <w:t>, August 5, 2026</w:t>
      </w:r>
      <w:r>
        <w:rPr>
          <w:color w:val="000000"/>
          <w:shd w:fill="FFFFFF" w:val="clear"/>
        </w:rPr>
        <w:t>—</w:t>
      </w:r>
      <w:r>
        <w:rPr>
          <w:rFonts w:ascii="Arial;sans-serif" w:hAnsi="Arial;sans-serif"/>
          <w:b w:val="false"/>
          <w:color w:val="000000"/>
          <w:sz w:val="20"/>
          <w:shd w:fill="FFFFFF" w:val="clear"/>
        </w:rPr>
        <w:t>LiveRamp</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(NYSE: RAMP), a</w:t>
      </w:r>
      <w:r>
        <w:rPr>
          <w:color w:val="000000"/>
        </w:rPr>
        <w:t xml:space="preserve"> </w:t>
      </w:r>
      <w:r>
        <w:rPr>
          <w:rFonts w:ascii="Arial;sans-serif" w:hAnsi="Arial;sans-serif"/>
          <w:b w:val="false"/>
          <w:color w:val="000000"/>
          <w:sz w:val="20"/>
        </w:rPr>
        <w:t xml:space="preserve">leading data collaboration platform, today announced its financial results for the quarter </w:t>
      </w:r>
      <w:r>
        <w:rPr>
          <w:rFonts w:ascii="Arial;sans-serif" w:hAnsi="Arial;sans-serif"/>
          <w:b w:val="false"/>
          <w:color w:val="000000"/>
          <w:sz w:val="20"/>
          <w:shd w:fill="FFFFFF" w:val="clear"/>
        </w:rPr>
        <w:t xml:space="preserve">ended </w:t>
      </w:r>
      <w:r>
        <w:rPr>
          <w:rFonts w:ascii="Arial;sans-serif" w:hAnsi="Arial;sans-serif"/>
          <w:b w:val="false"/>
          <w:color w:val="000000"/>
          <w:sz w:val="20"/>
        </w:rPr>
        <w:t xml:space="preserve">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 pending transaction with Publicis Groupe, LiveRamp will not host an earnings conference call or provide financial guidance in conjunction with this earnings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Q1 Financial Highlights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Unless otherwise indicated, all comparisons are to the prior year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Total revenue was $214 million, up 10%.</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Subscription revenue was $160 million, up 8%.</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Marketplace &amp; Other revenue was $54 million, up 15%.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GAAP gross profit was $151 million, up 11%. GAAP gross margin of 71% was stable. Non-GAAP gross profit was $155 million, up 10%. Non-GAAP gross margin of 72% was stable.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GAAP income from operations was $20 million compared to $7 million. GAAP operating margin of 9% expanded by 6 percentage points. Non-GAAP operating income was $50 million, up 41%. Non-GAAP operating margin of 24% expanded by 5 percentage points.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GAAP and non-GAAP diluted earnings per share was $0.28 and $0.65, respectively.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cash provided by operating activities was $17 million compared to a use of $16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Share repurchases in the first quarter totaled approximately 0.6 million shares for $18 million.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Arial;sans-serif" w:hAnsi="Arial;sans-serif"/>
          <w:b w:val="false"/>
          <w:color w:val="000000"/>
          <w:sz w:val="20"/>
        </w:rPr>
        <w:t xml:space="preserve">Commenting on the results, </w:t>
      </w:r>
      <w:r>
        <w:rPr>
          <w:rFonts w:ascii="Arial;sans-serif" w:hAnsi="Arial;sans-serif"/>
          <w:b/>
          <w:color w:val="000000"/>
          <w:sz w:val="20"/>
        </w:rPr>
        <w:t>CEO Scott Howe</w:t>
      </w:r>
      <w:r>
        <w:rPr>
          <w:color w:val="000000"/>
        </w:rPr>
        <w:t xml:space="preserve"> </w:t>
      </w:r>
      <w:r>
        <w:rPr>
          <w:rFonts w:ascii="Arial;sans-serif" w:hAnsi="Arial;sans-serif"/>
          <w:b w:val="false"/>
          <w:color w:val="000000"/>
          <w:sz w:val="20"/>
        </w:rPr>
        <w:t xml:space="preserve">said: </w:t>
      </w:r>
      <w:r>
        <w:rPr>
          <w:rFonts w:ascii="Arial;sans-serif" w:hAnsi="Arial;sans-serif"/>
          <w:b w:val="false"/>
          <w:i/>
          <w:color w:val="000000"/>
          <w:sz w:val="20"/>
        </w:rPr>
        <w:t xml:space="preserve">"Fiscal 2027 is off to a strong start, with Q1 revenue and operating income ahead of our internal projections. We continue to make good progress with our AI and agentic initiatives with the launch of the LiveRamp Agent Builders Lab and new partnerships with OpenAI, Databricks and Adobe. Finally, our previously announced transaction with Publicis Groupe remains on track to close before the end of calendar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GAAP and Non-GAAP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results for the quarters ended June 30, 2026 and June 30, 2025 ($ in millions, except per share amounts):</w:t>
      </w:r>
    </w:p>
    <w:p>
      <w:pPr>
        <w:pStyle w:val="TextBody"/>
        <w:bidi w:val="0"/>
        <w:spacing w:before="0" w:after="0"/>
        <w:jc w:val="left"/>
        <w:rPr/>
      </w:pPr>
      <w:r>
        <w:rPr/>
      </w:r>
    </w:p>
    <w:tbl>
      <w:tblPr>
        <w:tblW w:w="8069" w:type="dxa"/>
        <w:jc w:val="left"/>
        <w:tblInd w:w="0" w:type="dxa"/>
        <w:tblLayout w:type="fixed"/>
        <w:tblCellMar>
          <w:top w:w="28" w:type="dxa"/>
          <w:left w:w="28" w:type="dxa"/>
          <w:bottom w:w="28" w:type="dxa"/>
          <w:right w:w="28" w:type="dxa"/>
        </w:tblCellMar>
      </w:tblPr>
      <w:tblGrid>
        <w:gridCol w:w="971"/>
        <w:gridCol w:w="854"/>
        <w:gridCol w:w="859"/>
        <w:gridCol w:w="109"/>
        <w:gridCol w:w="109"/>
        <w:gridCol w:w="109"/>
        <w:gridCol w:w="211"/>
        <w:gridCol w:w="526"/>
        <w:gridCol w:w="271"/>
        <w:gridCol w:w="109"/>
        <w:gridCol w:w="109"/>
        <w:gridCol w:w="109"/>
        <w:gridCol w:w="211"/>
        <w:gridCol w:w="526"/>
        <w:gridCol w:w="271"/>
        <w:gridCol w:w="109"/>
        <w:gridCol w:w="109"/>
        <w:gridCol w:w="109"/>
        <w:gridCol w:w="211"/>
        <w:gridCol w:w="526"/>
        <w:gridCol w:w="271"/>
        <w:gridCol w:w="109"/>
        <w:gridCol w:w="109"/>
        <w:gridCol w:w="109"/>
        <w:gridCol w:w="211"/>
        <w:gridCol w:w="526"/>
        <w:gridCol w:w="316"/>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 FY27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 FY26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 FY27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 FY26</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Marketplace &amp;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w:t>
            </w: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YoY change,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i/>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 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i/>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 pt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YoY change,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 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 pts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0.44</w:t>
            </w: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to calculate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Totals and year-over-year changes may not reconcile due to rounding.</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detailed discussion of our non-GAAP financial measures and a reconciliation between GAAP and non-GAAP results is provided in the schedules to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8430"/>
                <wp:effectExtent l="0" t="0" r="0" b="0"/>
                <wp:wrapNone/>
                <wp:docPr id="5"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Business Highlights &amp; Metrics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On May 17, 2026, LiveRamp announced that it entered into a definitive agreement to be acquired by Publicis Groupe in an all-cash transaction valuing LiveRamp's equity at $38.50 per share. The transaction is expected to close before the end of calendar 2026, subject to customary closing conditions, including approval by LiveRamp shareholders. The Proxy Statement contains additional information about the shareholder vote, which is scheduled for August 17, 2026.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announced that we now enable marketers with ChatGPT ad campaigns to use LiveRamp’s Conversions API (CAPI) Hub to connect conversion events. Through this implementation, marketers can measure the effects of their ChatGPT ad campaigns on conversions anywhere, immediately improving measurement and optimization (link).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announced the launch of embedded identity, activation, collaboration, and measurement solutions in Databrick's new Agentic Customer Data Platform, which enables joint customers to unlock intelligence for advertising and marketing (link).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announced LiveRamp Agent Builders (LAB), a new program to bring more partner-built agents into our network and help marketers use AI to transform planning, activation and measurement. During LAB’s pilot, brands will have access to agents from all of the AI companies participating in the program, enabling customers to focus on finding tools that create value (link).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announced a new integration with Adobe GenStudio for Commerce Media Networks (CMNs), making commerce purchase data available through LiveRamp’s platform for use in Adobe’s agentic content supply chain — enabling brands to build and launch more targeted campaigns within commerce media networks (link).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announced a new partnership with DoorDash to enable privacy-centric measurement that matches advertiser data with DoorDash data — surfacing incremental reach and campaign impact (link).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LiveRamp ended the quarter with 132 customers whose annualized subscription revenue exceeds $1 million, compared to 127 in the prior year period.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LiveRamp ended the quarter with 845 direct subscription customers, compared to 835 in the prior year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Subscription net retention was 103% and platform net retention was 106%.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Approximately 84% of total subscription revenue was fixed and 16% was usage.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Data Marketplace revenue increased by 13% year-over-year to $40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Annualized recurring revenue (ARR), which is the last month of the quarter fixed subscription revenue annualized, was</w:t>
      </w:r>
      <w:r>
        <w:rPr>
          <w:color w:val="000000"/>
        </w:rPr>
        <w:t xml:space="preserve"> </w:t>
      </w:r>
      <w:r>
        <w:rPr>
          <w:rFonts w:ascii="Arial;sans-serif" w:hAnsi="Arial;sans-serif"/>
          <w:b w:val="false"/>
          <w:color w:val="000000"/>
          <w:sz w:val="20"/>
        </w:rPr>
        <w:t>$539 million, up 7% comp</w:t>
      </w:r>
      <w:r>
        <w:rPr>
          <w:rFonts w:ascii="Arial;sans-serif" w:hAnsi="Arial;sans-serif"/>
          <w:b w:val="false"/>
          <w:color w:val="000000"/>
          <w:sz w:val="20"/>
          <w:shd w:fill="FFFFFF" w:val="clear"/>
        </w:rPr>
        <w:t xml:space="preserve">ared to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 xml:space="preserve">Current remaining performance obligations (CRPO), which is contracted and committed revenue expected to be recognized over the next 12 months, was </w:t>
      </w:r>
      <w:r>
        <w:rPr>
          <w:rFonts w:ascii="Arial;sans-serif" w:hAnsi="Arial;sans-serif"/>
          <w:b w:val="false"/>
          <w:color w:val="000000"/>
          <w:sz w:val="20"/>
        </w:rPr>
        <w:t>$482 million</w:t>
      </w:r>
      <w:r>
        <w:rPr>
          <w:rFonts w:ascii="Arial;sans-serif" w:hAnsi="Arial;sans-serif"/>
          <w:b w:val="false"/>
          <w:color w:val="000000"/>
          <w:sz w:val="20"/>
          <w:shd w:fill="FFFFFF" w:val="clear"/>
        </w:rPr>
        <w:t xml:space="preserve">, up </w:t>
      </w:r>
      <w:r>
        <w:rPr>
          <w:rFonts w:ascii="Arial;sans-serif" w:hAnsi="Arial;sans-serif"/>
          <w:b w:val="false"/>
          <w:color w:val="000000"/>
          <w:sz w:val="20"/>
        </w:rPr>
        <w:t>7%</w:t>
      </w:r>
      <w:r>
        <w:rPr>
          <w:color w:val="000000"/>
          <w:shd w:fill="FFFFFF" w:val="clear"/>
        </w:rPr>
        <w:t xml:space="preserve"> </w:t>
      </w:r>
      <w:r>
        <w:rPr>
          <w:rFonts w:ascii="Arial;sans-serif" w:hAnsi="Arial;sans-serif"/>
          <w:b w:val="false"/>
          <w:color w:val="000000"/>
          <w:sz w:val="20"/>
          <w:shd w:fill="FFFFFF" w:val="clear"/>
        </w:rPr>
        <w:t>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8430"/>
                <wp:effectExtent l="0" t="0" r="0" b="0"/>
                <wp:wrapNone/>
                <wp:docPr id="6" name="Frame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3</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About LiveRamp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LiveRamp is a leading data collaboration technology company, empowering marketers and media owners to deliver and measure marketing performance everywhere it matters. LiveRamp’s data collaboration network seamlessly unites data across advertisers, ad tech platforms, publishers, data providers, and commerce media networks—unlocking insights that deliver transformational consumer experiences, and drive measurable business outcomes. As consumers embrace AI-powered experiences, the LiveRamp data collaboration network expands the breadth and accuracy of the data on which marketing AI capabilities operate. Our platform is engineered for AI agent accessibility, facilitating autonomous data collaboration between the specialized AI agents utilized by our customers and partners. Built on a foundation of strict neutrality, interoperability, and global scale, LiveRamp enables organizations to maximize the value of their data while accelerating business growth.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LiveRamp is headquartered in San Francisco, California, with offices worldwide. Learn more at LiveRamp.com.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7" name="Frame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4</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This communication contains forward-looking statements within the meaning of, and subject to the protections of, Section 27A of the Securities Act of 1933, as amended, and Section 21E of the Securities Exchange Act of 1934, as amended, concerning LiveRamp, Publicis,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control of LiveRamp or Publicis. Many factors could cause actual future events to differ materially from the forward-looking statements in this communication including, but not limited to: economic uncertainties that could impact LiveRamp or LiveRamp’s suppliers, customers and partners, geopolitical circumstances, including risk related to tariffs and other trade restrictions, the possibility of a recession, general inflationary pressure and high interest rates; the ability and willingness of LiveRamp’s customers to renew their agreements with LiveRamp upon their expiration; LiveRamp’s ability to add new customers and upsell within LiveRamp’s subscription business; LiveRamp’s reliance upon partners, including data suppliers, who may withdraw or withhold data from LiveRamp; increased competition and rapidly changing technology that could impact LiveRamp’s products and services; LiveRamp’s ability to keep up with rapidly changing technology practices in LiveRamp’s products and services or that expected benefits from utilization of technological innovations (including AI) may not be realized as soon as expected or at all; the risk that LiveRamp fails to realize the potential benefits of or have difficulty integrating acquired businesses; and LiveRamp’s inability to attract, motivate and retain talent. Additional risks include maintaining LiveRamp’s culture and LiveRamp’s ability to innovate and evolve while operating in a hybrid work environment, with some employees working remotely at least some of the time within a rapidly changing industry, while also avoiding disruption from reductions in LiveRamp’s current workforce as well as disruptions resulting from acquisition, divestiture and other activities affecting LiveRamp’s workforce. LiveRamp’s global workforce strategy could possibly encounter difficulty and not be as beneficial as planned. LiveRamp’s international operations are also subject to risks, including the performance of third parties as well as impacts from war and civil unrest, that may harm LiveRamp’s business. The risk of a significant breach of the confidentiality of the information or the security of LiveRamp’s or LiveRamp’s customers’, suppliers’, or other partners’ data and/or computer systems, or the risk that LiveRamp’s current insurance coverage may not be adequate for such a breach, that an insurer might deny coverage for a claim or that such insurance will continue to be available to LiveRamp on commercially reasonable terms, or at all, could be detrimental to LiveRamp’s business, reputation and results of operations. Other business risks include unfavorable publicity and negative public perception about LiveRamp’s industry; interruptions or delays in service from data center or cloud hosting vendors LiveRamp relies upon; and LiveRamp’s dependence on the continued availability of third-party data hosting and transmission services. LiveRamp’s clients’ ability to use data on LiveRamp’s platform could be restricted if the industry’s use of third-party cookies and tracking technology declines due to technology platform changes, regulation or increased user controls. Continued changes in the judicial, legislative, regulatory, accounting, cultural and consumer environments affecting LiveRamp’s business, including but not limited to litigation, investigations, legislation, regulations and customs at the state, federal and international levels relating to information collection and use represents a risk, as well as changes in tax laws and regulations that are applied to LiveRamp’s customers which could cause enterprise software budget tightening. In addition, third parties may claim that LiveRamp is infringing their intellectual property or may infringe LiveRamp’s intellectual property which could result in competitive injury and / or the incurrence of significant costs and draining of LiveRamp’s resources. Factors that could cause actual future events to differ materially from the forward looking-statements in this communication in regard to the proposed transaction concerning LiveRamp and Publicis include, but are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w:t>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March 31, 2026,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8430"/>
                <wp:effectExtent l="0" t="0" r="0" b="0"/>
                <wp:wrapNone/>
                <wp:docPr id="8" name="Frame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 OFFER OR SOLICITATION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ADDITIONAL INFORMATION AND WHERE TO FIND IT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connection with the proposed transaction, LiveRamp Holdings, Inc. filed a definitive proxy statement with the SEC relating to the proposed transaction on July 6, 2026 (the “proxy statement”). LiveRamp commenced mailing of the proxy statement to its shareholders on or about July 8, 2026. This communication is not a substitute for the proxy statement or any other document that LiveRamp has filed or may file with the SEC in connection with the proposed transaction. BEFORE MAKING ANY VOTING DECISION, INVESTORS AND SECURITY HOLDERS ARE URGED TO READ THE PROXY STATEMENT AND ANY OTHER DOCUMENTS THAT ARE FILED OR WILL BE FILED WITH THE SEC IN CONNECTION WITH THE PROPOSED TRANSACTION OR INCORPORATED BY REFERENCE IN THE PROXY STATEMENT WHEN THEY BECOME AVAILABLE WITH THE SEC BECAUSE THEY CONTAIN OR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PARTICIPANTS IN THE SOLICITATION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is set forth in the proxy statement. Information about the directors and executive officers of LiveRamp and their ownership of shares of LiveRamp common stock and other securities of LiveRamp can be found in the sections entitled “Nominees and Continuing Directors,” “Compensation Discussion and Analysis,” “Compensation Tables,” “Non-Employee Director Compensation” and </w:t>
      </w:r>
      <w:r>
        <w:rPr>
          <w:color w:val="000000"/>
        </w:rPr>
        <w:t>“</w:t>
      </w:r>
      <w:r>
        <w:rPr>
          <w:rFonts w:ascii="Arial;sans-serif" w:hAnsi="Arial;sans-serif"/>
          <w:b w:val="false"/>
          <w:color w:val="000000"/>
          <w:sz w:val="20"/>
        </w:rPr>
        <w:t xml:space="preserve">Security Ownership of Certain Beneficial Owners and Management” </w:t>
      </w:r>
      <w:r>
        <w:rPr>
          <w:rFonts w:ascii="Arial;sans-serif" w:hAnsi="Arial;sans-serif"/>
          <w:b w:val="false"/>
          <w:color w:val="000000"/>
          <w:sz w:val="20"/>
          <w:shd w:fill="FFFFFF" w:val="clear"/>
        </w:rPr>
        <w:t>included in the proxy statement; in the Form 3 and Form 4 initial statements of beneficial ownership and statements of changes in beneficial ownership filed with the SEC by LiveRamp’s directors and executive officers; and in other documents subsequently filed by LiveRamp with the SEC. Investors and security holders may obtain free copies of these documents and other related documents filed with the SEC at the SEC’s website at www.sec.gov or on LiveRamp’s website at www.liveramp.com.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8430"/>
                <wp:effectExtent l="0" t="0" r="0" b="0"/>
                <wp:wrapNone/>
                <wp:docPr id="9" name="Frame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financial information set forth in this press release reflects estimates based on information available at this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LiveRamp assumes no obligation and does not currently intend to update these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To automatically receive LiveRamp financial news by email, please visit www.LiveRamp.com and subscribe to email alerts.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For more information, contact: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LiveRamp Investor Relations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Investor.Relations@LiveRamp.com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LiveRamp</w:t>
      </w:r>
      <w:r>
        <w:rPr>
          <w:color w:val="000000"/>
        </w:rPr>
        <w:t xml:space="preserve">Ⓡ </w:t>
      </w:r>
      <w:r>
        <w:rPr>
          <w:rFonts w:ascii="Arial;sans-serif" w:hAnsi="Arial;sans-serif"/>
          <w:b w:val="false"/>
          <w:color w:val="000000"/>
          <w:sz w:val="20"/>
        </w:rPr>
        <w:t>and RampID</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and all other LiveRamp marks contained herein are trademarks or service marks of LiveRamp, Inc. All other marks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8430"/>
                <wp:effectExtent l="0" t="0" r="0" b="0"/>
                <wp:wrapNone/>
                <wp:docPr id="10" name="Frame1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40"/>
        <w:gridCol w:w="1282"/>
        <w:gridCol w:w="1292"/>
        <w:gridCol w:w="149"/>
        <w:gridCol w:w="149"/>
        <w:gridCol w:w="149"/>
        <w:gridCol w:w="467"/>
        <w:gridCol w:w="389"/>
        <w:gridCol w:w="393"/>
        <w:gridCol w:w="149"/>
        <w:gridCol w:w="149"/>
        <w:gridCol w:w="149"/>
        <w:gridCol w:w="467"/>
        <w:gridCol w:w="389"/>
        <w:gridCol w:w="393"/>
        <w:gridCol w:w="149"/>
        <w:gridCol w:w="149"/>
        <w:gridCol w:w="149"/>
        <w:gridCol w:w="375"/>
        <w:gridCol w:w="376"/>
        <w:gridCol w:w="291"/>
        <w:gridCol w:w="322"/>
        <w:gridCol w:w="324"/>
        <w:gridCol w:w="564"/>
      </w:tblGrid>
      <w:tr>
        <w:trPr/>
        <w:tc>
          <w:tcPr>
            <w:tcW w:w="154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(Dollars in thousands, except per share amounts)</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three months ended June 30,</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Variance</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Variance</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213,986 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194,822 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63,043 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150,943 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136,503 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Gross margin</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70.5</w:t>
            </w:r>
            <w:r>
              <w:rPr>
                <w:color w:val="000000"/>
              </w:rPr>
              <w:t>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70.1</w:t>
            </w:r>
            <w:r>
              <w:rPr>
                <w:color w:val="000000"/>
              </w:rPr>
              <w:t>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51,934 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37,345 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and other items, net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130,780 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129,282 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Margin</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9.4</w:t>
            </w:r>
            <w:r>
              <w:rPr>
                <w:color w:val="000000"/>
              </w:rPr>
              <w:t>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3.7</w:t>
            </w:r>
            <w:r>
              <w:rPr>
                <w:color w:val="000000"/>
              </w:rPr>
              <w:t>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23,254 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3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61,846 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Some totals may not sum due to rounding.</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8430"/>
                <wp:effectExtent l="0" t="0" r="0" b="0"/>
                <wp:wrapNone/>
                <wp:docPr id="11" name="Frame1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02"/>
        <w:gridCol w:w="1272"/>
        <w:gridCol w:w="1273"/>
        <w:gridCol w:w="278"/>
        <w:gridCol w:w="278"/>
        <w:gridCol w:w="278"/>
        <w:gridCol w:w="780"/>
        <w:gridCol w:w="377"/>
        <w:gridCol w:w="304"/>
        <w:gridCol w:w="304"/>
        <w:gridCol w:w="304"/>
        <w:gridCol w:w="304"/>
        <w:gridCol w:w="780"/>
        <w:gridCol w:w="377"/>
        <w:gridCol w:w="304"/>
        <w:gridCol w:w="109"/>
        <w:gridCol w:w="109"/>
        <w:gridCol w:w="109"/>
        <w:gridCol w:w="163"/>
      </w:tblGrid>
      <w:tr>
        <w:trPr/>
        <w:tc>
          <w:tcPr>
            <w:tcW w:w="250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GAAP TO NON-GAAP EPS (1)</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(Dollars in thousands, except per share amounts)</w:t>
            </w:r>
          </w:p>
        </w:tc>
        <w:tc>
          <w:tcPr>
            <w:tcW w:w="490" w:type="dxa"/>
            <w:gridSpan w:val="4"/>
            <w:tcBorders/>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taxes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23,254 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30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30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Excluded items: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intangible asset amortization (cost of revenue)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stock compensation (cost of revenue and operating expenses)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merger charges (gains, losses, and other)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excluded items from continuing operations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30,255 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28,583 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taxes and excluding items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53,509 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39,513 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(2)</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13,378 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9,878 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earnings from continuing operations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40,131 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29,635 </w:t>
            </w:r>
          </w:p>
        </w:tc>
        <w:tc>
          <w:tcPr>
            <w:tcW w:w="3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from continuing operations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0.65 </w:t>
            </w:r>
          </w:p>
        </w:tc>
        <w:tc>
          <w:tcPr>
            <w:tcW w:w="30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30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65,448 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61,846 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66,731 </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tc>
        <w:tc>
          <w:tcPr>
            <w:tcW w:w="490" w:type="dxa"/>
            <w:gridSpan w:val="4"/>
            <w:tcBorders/>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Non-GAAP income taxes were calculated by applying the estimated annual effective tax rate to year-to-date pretax income. The differences between our GAAP and non-GAAP income taxes were primarily due to the net tax effects of the excluded items.</w:t>
            </w:r>
          </w:p>
        </w:tc>
        <w:tc>
          <w:tcPr>
            <w:tcW w:w="490"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430"/>
                <wp:effectExtent l="0" t="0" r="0" b="0"/>
                <wp:wrapNone/>
                <wp:docPr id="12" name="Frame1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19"/>
        <w:gridCol w:w="1373"/>
        <w:gridCol w:w="1194"/>
        <w:gridCol w:w="291"/>
        <w:gridCol w:w="291"/>
        <w:gridCol w:w="291"/>
        <w:gridCol w:w="528"/>
        <w:gridCol w:w="498"/>
        <w:gridCol w:w="765"/>
        <w:gridCol w:w="291"/>
        <w:gridCol w:w="291"/>
        <w:gridCol w:w="291"/>
        <w:gridCol w:w="528"/>
        <w:gridCol w:w="498"/>
        <w:gridCol w:w="765"/>
        <w:gridCol w:w="109"/>
        <w:gridCol w:w="109"/>
        <w:gridCol w:w="109"/>
        <w:gridCol w:w="164"/>
      </w:tblGrid>
      <w:tr>
        <w:trPr/>
        <w:tc>
          <w:tcPr>
            <w:tcW w:w="181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GAAP TO NON-GAAP INCOME FROM OPERATIONS (1)</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(Dollars in thousands)</w:t>
            </w:r>
          </w:p>
        </w:tc>
        <w:tc>
          <w:tcPr>
            <w:tcW w:w="491" w:type="dxa"/>
            <w:gridSpan w:val="4"/>
            <w:tcBorders/>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20,163 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7,221 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7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7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Excluded items:</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intangible asset amortization (cost of revenue)</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stock compensation (cost of revenue and operating expenses)</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merger charges (gains, losses, and other)</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7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excluded items</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30,255 </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28,583 </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 before excluded items</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50,418 </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35,804 </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income margin</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7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765"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tc>
        <w:tc>
          <w:tcPr>
            <w:tcW w:w="49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8430"/>
                <wp:effectExtent l="0" t="0" r="0" b="0"/>
                <wp:wrapNone/>
                <wp:docPr id="13" name="Frame1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47"/>
        <w:gridCol w:w="1236"/>
        <w:gridCol w:w="1237"/>
        <w:gridCol w:w="276"/>
        <w:gridCol w:w="276"/>
        <w:gridCol w:w="276"/>
        <w:gridCol w:w="799"/>
        <w:gridCol w:w="388"/>
        <w:gridCol w:w="314"/>
        <w:gridCol w:w="314"/>
        <w:gridCol w:w="314"/>
        <w:gridCol w:w="314"/>
        <w:gridCol w:w="616"/>
        <w:gridCol w:w="494"/>
        <w:gridCol w:w="314"/>
        <w:gridCol w:w="109"/>
        <w:gridCol w:w="109"/>
        <w:gridCol w:w="109"/>
        <w:gridCol w:w="163"/>
      </w:tblGrid>
      <w:tr>
        <w:trPr/>
        <w:tc>
          <w:tcPr>
            <w:tcW w:w="254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ADJUSTED EBITDA (1)</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(Dollars in thousands)</w:t>
            </w:r>
          </w:p>
        </w:tc>
        <w:tc>
          <w:tcPr>
            <w:tcW w:w="490" w:type="dxa"/>
            <w:gridSpan w:val="4"/>
            <w:tcBorders/>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from continuing operations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(3,091)</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23,493 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stock compensation (cost of revenue and operating expenses)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merger charges (gains, losses, and other)</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50,998 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the usefulness of these measures and the material limitations on the usefulness of these measures, please see Appendix A.</w:t>
            </w:r>
          </w:p>
        </w:tc>
        <w:tc>
          <w:tcPr>
            <w:tcW w:w="490"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8430"/>
                <wp:effectExtent l="0" t="0" r="0" b="0"/>
                <wp:wrapNone/>
                <wp:docPr id="14" name="Frame1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44"/>
        <w:gridCol w:w="1181"/>
        <w:gridCol w:w="1179"/>
        <w:gridCol w:w="163"/>
        <w:gridCol w:w="163"/>
        <w:gridCol w:w="163"/>
        <w:gridCol w:w="532"/>
        <w:gridCol w:w="534"/>
        <w:gridCol w:w="260"/>
        <w:gridCol w:w="163"/>
        <w:gridCol w:w="163"/>
        <w:gridCol w:w="163"/>
        <w:gridCol w:w="532"/>
        <w:gridCol w:w="534"/>
        <w:gridCol w:w="302"/>
        <w:gridCol w:w="163"/>
        <w:gridCol w:w="163"/>
        <w:gridCol w:w="163"/>
        <w:gridCol w:w="397"/>
        <w:gridCol w:w="399"/>
        <w:gridCol w:w="291"/>
        <w:gridCol w:w="292"/>
        <w:gridCol w:w="294"/>
        <w:gridCol w:w="567"/>
      </w:tblGrid>
      <w:tr>
        <w:trPr/>
        <w:tc>
          <w:tcPr>
            <w:tcW w:w="14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(Dollars in thousands)</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Variance</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Variance</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Assets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363,523 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379,547 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net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216,711 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212,977 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Refundable income taxes, net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635,677 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653,141 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 accumulated depreciation and amortization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18,246 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5,379 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5,150 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502,023 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502,067 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 net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40,727 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58,009 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57,873 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net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1,278,811 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1,294,177 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128,654 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129,730 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related expenses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(31,745)</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expenses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239,237 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264,787 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(25,550)</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62,177 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57,411 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16,183 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2,152,227 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2,129,554 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1,476,825 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1,459,310 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at cost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(2,673,584)</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(2,638,708)</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(34,876)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977,397 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971,979 </w:t>
            </w:r>
          </w:p>
        </w:tc>
        <w:tc>
          <w:tcPr>
            <w:tcW w:w="3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1,278,811 </w:t>
            </w:r>
          </w:p>
        </w:tc>
        <w:tc>
          <w:tcPr>
            <w:tcW w:w="2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1,294,177 </w:t>
            </w:r>
          </w:p>
        </w:tc>
        <w:tc>
          <w:tcPr>
            <w:tcW w:w="3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8430"/>
                <wp:effectExtent l="0" t="0" r="0" b="0"/>
                <wp:wrapNone/>
                <wp:docPr id="15" name="Frame1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9"/>
        <w:gridCol w:w="1955"/>
        <w:gridCol w:w="1943"/>
        <w:gridCol w:w="252"/>
        <w:gridCol w:w="252"/>
        <w:gridCol w:w="252"/>
        <w:gridCol w:w="554"/>
        <w:gridCol w:w="325"/>
        <w:gridCol w:w="272"/>
        <w:gridCol w:w="272"/>
        <w:gridCol w:w="272"/>
        <w:gridCol w:w="272"/>
        <w:gridCol w:w="442"/>
        <w:gridCol w:w="414"/>
        <w:gridCol w:w="389"/>
      </w:tblGrid>
      <w:tr>
        <w:trPr/>
        <w:tc>
          <w:tcPr>
            <w:tcW w:w="233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(Dollars in thousands)</w:t>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June 30,</w:t>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or impairment of assets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Lease-related impairment and restructuring charges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strategic investments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marketable equity securities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doubtful accounts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stock compensation expense</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(4,021)</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(34,265)</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(37,255)</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(35,861)</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17,016 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(15,821)</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strategic investment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related to the issuance of common stock under stock and employee benefit plans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 for tax withholdings upon vesting of stock-based awards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(10,845)</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treasury stock</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(29,872)</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(32,324)</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(34,797)</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continuing operations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(16,011)</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(51,535)</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(16,024)</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(50,314)</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379,547 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413,926 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363,523 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363,612 </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cash flow information:</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received for income taxes, net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operating lease liabilities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 obtained in exchange for operating lease liabilities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 remaining unpaid at period end</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3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8430"/>
                <wp:effectExtent l="0" t="0" r="0" b="0"/>
                <wp:wrapNone/>
                <wp:docPr id="16" name="Frame1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0"/>
        <w:gridCol w:w="209"/>
        <w:gridCol w:w="209"/>
        <w:gridCol w:w="610"/>
        <w:gridCol w:w="525"/>
        <w:gridCol w:w="220"/>
        <w:gridCol w:w="119"/>
        <w:gridCol w:w="119"/>
        <w:gridCol w:w="119"/>
        <w:gridCol w:w="230"/>
        <w:gridCol w:w="811"/>
        <w:gridCol w:w="119"/>
        <w:gridCol w:w="230"/>
        <w:gridCol w:w="787"/>
        <w:gridCol w:w="119"/>
        <w:gridCol w:w="230"/>
        <w:gridCol w:w="787"/>
        <w:gridCol w:w="119"/>
        <w:gridCol w:w="230"/>
        <w:gridCol w:w="787"/>
        <w:gridCol w:w="119"/>
        <w:gridCol w:w="230"/>
        <w:gridCol w:w="902"/>
        <w:gridCol w:w="119"/>
        <w:gridCol w:w="119"/>
        <w:gridCol w:w="119"/>
        <w:gridCol w:w="119"/>
        <w:gridCol w:w="230"/>
        <w:gridCol w:w="820"/>
        <w:gridCol w:w="119"/>
        <w:gridCol w:w="109"/>
        <w:gridCol w:w="109"/>
        <w:gridCol w:w="109"/>
        <w:gridCol w:w="163"/>
      </w:tblGrid>
      <w:tr>
        <w:trPr/>
        <w:tc>
          <w:tcPr>
            <w:tcW w:w="2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LIVERAMP HOLDINGS, INC AND SUBSIDIARIES</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CALCULATION OF FREE CASH FLOW (1)</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490" w:type="dxa"/>
            <w:gridSpan w:val="4"/>
            <w:tcBorders/>
          </w:tcPr>
          <w:p>
            <w:pPr>
              <w:pStyle w:val="TableContents"/>
              <w:bidi w:val="0"/>
              <w:spacing w:before="0" w:after="283"/>
              <w:jc w:val="left"/>
              <w:rPr>
                <w:sz w:val="4"/>
                <w:szCs w:val="4"/>
              </w:rPr>
            </w:pPr>
            <w:r>
              <w:rPr>
                <w:sz w:val="4"/>
                <w:szCs w:val="4"/>
              </w:rPr>
            </w:r>
          </w:p>
        </w:tc>
      </w:tr>
      <w:tr>
        <w:trPr/>
        <w:tc>
          <w:tcPr>
            <w:tcW w:w="971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490" w:type="dxa"/>
            <w:gridSpan w:val="4"/>
            <w:tcBorders/>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FY2027</w:t>
            </w:r>
          </w:p>
        </w:tc>
        <w:tc>
          <w:tcPr>
            <w:tcW w:w="490" w:type="dxa"/>
            <w:gridSpan w:val="4"/>
            <w:tcBorders/>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9/30/2025</w:t>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12/31/2025</w:t>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67,266 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167,755 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56,819 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67,104 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166,379 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 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tc>
        <w:tc>
          <w:tcPr>
            <w:tcW w:w="490"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8430"/>
                <wp:effectExtent l="0" t="0" r="0" b="0"/>
                <wp:wrapNone/>
                <wp:docPr id="17" name="Frame1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2606" w:type="dxa"/>
        <w:jc w:val="left"/>
        <w:tblInd w:w="0" w:type="dxa"/>
        <w:tblLayout w:type="fixed"/>
        <w:tblCellMar>
          <w:top w:w="28" w:type="dxa"/>
          <w:left w:w="28" w:type="dxa"/>
          <w:bottom w:w="28" w:type="dxa"/>
          <w:right w:w="28" w:type="dxa"/>
        </w:tblCellMar>
      </w:tblPr>
      <w:tblGrid>
        <w:gridCol w:w="648"/>
        <w:gridCol w:w="306"/>
        <w:gridCol w:w="307"/>
        <w:gridCol w:w="109"/>
        <w:gridCol w:w="109"/>
        <w:gridCol w:w="109"/>
        <w:gridCol w:w="211"/>
        <w:gridCol w:w="616"/>
        <w:gridCol w:w="271"/>
        <w:gridCol w:w="211"/>
        <w:gridCol w:w="721"/>
        <w:gridCol w:w="271"/>
        <w:gridCol w:w="211"/>
        <w:gridCol w:w="721"/>
        <w:gridCol w:w="271"/>
        <w:gridCol w:w="211"/>
        <w:gridCol w:w="721"/>
        <w:gridCol w:w="271"/>
        <w:gridCol w:w="211"/>
        <w:gridCol w:w="826"/>
        <w:gridCol w:w="271"/>
        <w:gridCol w:w="109"/>
        <w:gridCol w:w="109"/>
        <w:gridCol w:w="109"/>
        <w:gridCol w:w="211"/>
        <w:gridCol w:w="721"/>
        <w:gridCol w:w="271"/>
        <w:gridCol w:w="109"/>
        <w:gridCol w:w="338"/>
        <w:gridCol w:w="338"/>
        <w:gridCol w:w="109"/>
        <w:gridCol w:w="109"/>
        <w:gridCol w:w="109"/>
        <w:gridCol w:w="109"/>
        <w:gridCol w:w="382"/>
        <w:gridCol w:w="384"/>
        <w:gridCol w:w="279"/>
        <w:gridCol w:w="360"/>
        <w:gridCol w:w="361"/>
        <w:gridCol w:w="114"/>
        <w:gridCol w:w="109"/>
        <w:gridCol w:w="109"/>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2688" w:type="dxa"/>
            <w:gridSpan w:val="13"/>
            <w:tcBorders/>
          </w:tcPr>
          <w:p>
            <w:pPr>
              <w:pStyle w:val="TableContents"/>
              <w:bidi w:val="0"/>
              <w:spacing w:before="0" w:after="283"/>
              <w:jc w:val="left"/>
              <w:rPr>
                <w:sz w:val="4"/>
                <w:szCs w:val="4"/>
              </w:rPr>
            </w:pPr>
            <w:r>
              <w:rPr>
                <w:sz w:val="4"/>
                <w:szCs w:val="4"/>
              </w:rPr>
            </w:r>
          </w:p>
        </w:tc>
      </w:tr>
      <w:tr>
        <w:trPr/>
        <w:tc>
          <w:tcPr>
            <w:tcW w:w="991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CONSOLIDATED STATEMENTS OF OPERATIONS</w:t>
            </w:r>
          </w:p>
        </w:tc>
        <w:tc>
          <w:tcPr>
            <w:tcW w:w="2688" w:type="dxa"/>
            <w:gridSpan w:val="13"/>
            <w:tcBorders/>
          </w:tcPr>
          <w:p>
            <w:pPr>
              <w:pStyle w:val="TableContents"/>
              <w:bidi w:val="0"/>
              <w:spacing w:before="0" w:after="283"/>
              <w:jc w:val="left"/>
              <w:rPr>
                <w:sz w:val="4"/>
                <w:szCs w:val="4"/>
              </w:rPr>
            </w:pPr>
            <w:r>
              <w:rPr>
                <w:sz w:val="4"/>
                <w:szCs w:val="4"/>
              </w:rPr>
            </w:r>
          </w:p>
        </w:tc>
      </w:tr>
      <w:tr>
        <w:trPr/>
        <w:tc>
          <w:tcPr>
            <w:tcW w:w="991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2688" w:type="dxa"/>
            <w:gridSpan w:val="13"/>
            <w:tcBorders/>
          </w:tcPr>
          <w:p>
            <w:pPr>
              <w:pStyle w:val="TableContents"/>
              <w:bidi w:val="0"/>
              <w:spacing w:before="0" w:after="283"/>
              <w:jc w:val="left"/>
              <w:rPr>
                <w:sz w:val="4"/>
                <w:szCs w:val="4"/>
              </w:rPr>
            </w:pPr>
            <w:r>
              <w:rPr>
                <w:sz w:val="4"/>
                <w:szCs w:val="4"/>
              </w:rPr>
            </w:r>
          </w:p>
        </w:tc>
      </w:tr>
      <w:tr>
        <w:trPr/>
        <w:tc>
          <w:tcPr>
            <w:tcW w:w="991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 except per share amounts)</w:t>
            </w:r>
          </w:p>
        </w:tc>
        <w:tc>
          <w:tcPr>
            <w:tcW w:w="2688" w:type="dxa"/>
            <w:gridSpan w:val="1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Qtr-to-Qtr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FY2027 to FY2026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9"/>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9/30/2025</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12/31/2025</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812,940 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213,986 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136,503 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140,235 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152,541 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145,544 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574,823 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150,943 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70.1</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70.2</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71.9</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70.6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70.7</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70.5</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and other items,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129,282 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118,807 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113,017 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130,251 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491,357 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130,780 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69,736 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144,776 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65,074 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0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Some earnings (loss) per share amounts may not add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8430"/>
                <wp:effectExtent l="0" t="0" r="0" b="0"/>
                <wp:wrapNone/>
                <wp:docPr id="18" name="Frame1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0"/>
        <w:gridCol w:w="515"/>
        <w:gridCol w:w="438"/>
        <w:gridCol w:w="118"/>
        <w:gridCol w:w="118"/>
        <w:gridCol w:w="118"/>
        <w:gridCol w:w="438"/>
        <w:gridCol w:w="440"/>
        <w:gridCol w:w="306"/>
        <w:gridCol w:w="438"/>
        <w:gridCol w:w="440"/>
        <w:gridCol w:w="306"/>
        <w:gridCol w:w="438"/>
        <w:gridCol w:w="440"/>
        <w:gridCol w:w="310"/>
        <w:gridCol w:w="438"/>
        <w:gridCol w:w="440"/>
        <w:gridCol w:w="306"/>
        <w:gridCol w:w="439"/>
        <w:gridCol w:w="439"/>
        <w:gridCol w:w="399"/>
        <w:gridCol w:w="118"/>
        <w:gridCol w:w="118"/>
        <w:gridCol w:w="118"/>
        <w:gridCol w:w="438"/>
        <w:gridCol w:w="440"/>
        <w:gridCol w:w="407"/>
        <w:gridCol w:w="109"/>
        <w:gridCol w:w="109"/>
        <w:gridCol w:w="109"/>
        <w:gridCol w:w="165"/>
      </w:tblGrid>
      <w:tr>
        <w:trPr/>
        <w:tc>
          <w:tcPr>
            <w:tcW w:w="7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RECONCILIATION OF GAAP TO NON-GAAP EXPENSES (1)</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492" w:type="dxa"/>
            <w:gridSpan w:val="4"/>
            <w:tcBorders/>
          </w:tcPr>
          <w:p>
            <w:pPr>
              <w:pStyle w:val="TableContents"/>
              <w:bidi w:val="0"/>
              <w:spacing w:before="0" w:after="283"/>
              <w:jc w:val="left"/>
              <w:rPr>
                <w:sz w:val="4"/>
                <w:szCs w:val="4"/>
              </w:rPr>
            </w:pPr>
            <w:r>
              <w:rPr>
                <w:sz w:val="4"/>
                <w:szCs w:val="4"/>
              </w:rPr>
            </w:r>
          </w:p>
        </w:tc>
      </w:tr>
      <w:tr>
        <w:trPr/>
        <w:tc>
          <w:tcPr>
            <w:tcW w:w="9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492" w:type="dxa"/>
            <w:gridSpan w:val="4"/>
            <w:tcBorders/>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FY2027</w:t>
            </w:r>
          </w:p>
        </w:tc>
        <w:tc>
          <w:tcPr>
            <w:tcW w:w="492" w:type="dxa"/>
            <w:gridSpan w:val="4"/>
            <w:tcBorders/>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9/30/2025</w:t>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12/31/2025</w:t>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12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238,117 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63,043 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33,823 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37,134 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51,906 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48,864 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56,192 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205,647 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51,934 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37,345 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32,988 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132,581 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35,149 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and other items, net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continuing operations: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136,503 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140,235 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152,541 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145,544 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574,823 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150,943 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Gross margin</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3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Excluded items: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intangible asset amortization (cost of revenue)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(cost of revenue)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4,917 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(research and development)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25,562 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5,829 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(sales and marketing)</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22,920 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(general and administrative)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10,041 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 (gains, losses, and other)</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excluded items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28,583 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23,267 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22,133 </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24,995 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98,978 </w:t>
            </w:r>
          </w:p>
        </w:tc>
        <w:tc>
          <w:tcPr>
            <w:tcW w:w="3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30,255 </w:t>
            </w:r>
          </w:p>
        </w:tc>
        <w:tc>
          <w:tcPr>
            <w:tcW w:w="4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excluding items: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54,028 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55,392 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55,873 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222,200 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59,196 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31,276 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30,449 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32,663 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122,577 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31,305 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43,216 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182,727 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47,959 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102,992 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25,108 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excluding items: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140,794 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144,437 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156,324 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149,185 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590,740 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154,790 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Gross margin</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3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4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the usefulness of these measures and the material limitations on the usefulness of these measures, please see Appendix A.</w:t>
            </w:r>
          </w:p>
        </w:tc>
        <w:tc>
          <w:tcPr>
            <w:tcW w:w="492" w:type="dxa"/>
            <w:gridSpan w:val="4"/>
            <w:tcBorders/>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8430"/>
                <wp:effectExtent l="0" t="0" r="0" b="0"/>
                <wp:wrapNone/>
                <wp:docPr id="19" name="Frame1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22"/>
        <w:gridCol w:w="384"/>
        <w:gridCol w:w="316"/>
        <w:gridCol w:w="116"/>
        <w:gridCol w:w="116"/>
        <w:gridCol w:w="116"/>
        <w:gridCol w:w="116"/>
        <w:gridCol w:w="116"/>
        <w:gridCol w:w="116"/>
        <w:gridCol w:w="116"/>
        <w:gridCol w:w="246"/>
        <w:gridCol w:w="116"/>
        <w:gridCol w:w="116"/>
        <w:gridCol w:w="109"/>
        <w:gridCol w:w="109"/>
        <w:gridCol w:w="109"/>
        <w:gridCol w:w="676"/>
        <w:gridCol w:w="109"/>
        <w:gridCol w:w="360"/>
        <w:gridCol w:w="361"/>
        <w:gridCol w:w="156"/>
        <w:gridCol w:w="360"/>
        <w:gridCol w:w="361"/>
        <w:gridCol w:w="156"/>
        <w:gridCol w:w="360"/>
        <w:gridCol w:w="361"/>
        <w:gridCol w:w="156"/>
        <w:gridCol w:w="367"/>
        <w:gridCol w:w="369"/>
        <w:gridCol w:w="156"/>
        <w:gridCol w:w="411"/>
        <w:gridCol w:w="415"/>
        <w:gridCol w:w="226"/>
        <w:gridCol w:w="109"/>
        <w:gridCol w:w="109"/>
        <w:gridCol w:w="109"/>
        <w:gridCol w:w="360"/>
        <w:gridCol w:w="361"/>
        <w:gridCol w:w="156"/>
        <w:gridCol w:w="109"/>
        <w:gridCol w:w="109"/>
        <w:gridCol w:w="109"/>
        <w:gridCol w:w="109"/>
        <w:gridCol w:w="166"/>
      </w:tblGrid>
      <w:tr>
        <w:trPr/>
        <w:tc>
          <w:tcPr>
            <w:tcW w:w="72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1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c>
          <w:tcPr>
            <w:tcW w:w="7493" w:type="dxa"/>
            <w:gridSpan w:val="31"/>
            <w:tcBorders/>
          </w:tcPr>
          <w:p>
            <w:pPr>
              <w:pStyle w:val="TableContents"/>
              <w:bidi w:val="0"/>
              <w:spacing w:before="0" w:after="283"/>
              <w:jc w:val="left"/>
              <w:rPr>
                <w:sz w:val="4"/>
                <w:szCs w:val="4"/>
              </w:rPr>
            </w:pPr>
            <w:r>
              <w:rPr>
                <w:sz w:val="4"/>
                <w:szCs w:val="4"/>
              </w:rPr>
            </w:r>
          </w:p>
        </w:tc>
      </w:tr>
      <w:tr>
        <w:trPr/>
        <w:tc>
          <w:tcPr>
            <w:tcW w:w="271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RECONCILIATION OF GAAP TO NON-GAAP EPS (1)</w:t>
            </w:r>
          </w:p>
        </w:tc>
        <w:tc>
          <w:tcPr>
            <w:tcW w:w="7493" w:type="dxa"/>
            <w:gridSpan w:val="31"/>
            <w:tcBorders/>
          </w:tcPr>
          <w:p>
            <w:pPr>
              <w:pStyle w:val="TableContents"/>
              <w:bidi w:val="0"/>
              <w:spacing w:before="0" w:after="283"/>
              <w:jc w:val="left"/>
              <w:rPr>
                <w:sz w:val="4"/>
                <w:szCs w:val="4"/>
              </w:rPr>
            </w:pPr>
            <w:r>
              <w:rPr>
                <w:sz w:val="4"/>
                <w:szCs w:val="4"/>
              </w:rPr>
            </w:r>
          </w:p>
        </w:tc>
      </w:tr>
      <w:tr>
        <w:trPr/>
        <w:tc>
          <w:tcPr>
            <w:tcW w:w="271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7493" w:type="dxa"/>
            <w:gridSpan w:val="31"/>
            <w:tcBorders/>
          </w:tcPr>
          <w:p>
            <w:pPr>
              <w:pStyle w:val="TableContents"/>
              <w:bidi w:val="0"/>
              <w:spacing w:before="0" w:after="283"/>
              <w:jc w:val="left"/>
              <w:rPr>
                <w:sz w:val="4"/>
                <w:szCs w:val="4"/>
              </w:rPr>
            </w:pPr>
            <w:r>
              <w:rPr>
                <w:sz w:val="4"/>
                <w:szCs w:val="4"/>
              </w:rPr>
            </w:r>
          </w:p>
        </w:tc>
      </w:tr>
      <w:tr>
        <w:trPr/>
        <w:tc>
          <w:tcPr>
            <w:tcW w:w="271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 except per share amounts)</w:t>
            </w:r>
          </w:p>
        </w:tc>
        <w:tc>
          <w:tcPr>
            <w:tcW w:w="7493" w:type="dxa"/>
            <w:gridSpan w:val="31"/>
            <w:tcBorders/>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9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FY2027</w:t>
            </w:r>
          </w:p>
        </w:tc>
        <w:tc>
          <w:tcPr>
            <w:tcW w:w="109" w:type="dxa"/>
            <w:tcBorders/>
            <w:vAlign w:val="center"/>
          </w:tcPr>
          <w:p>
            <w:pPr>
              <w:pStyle w:val="TableContents"/>
              <w:bidi w:val="0"/>
              <w:spacing w:before="0" w:after="283"/>
              <w:jc w:val="left"/>
              <w:rPr>
                <w:sz w:val="4"/>
                <w:szCs w:val="4"/>
              </w:rPr>
            </w:pPr>
            <w:r>
              <w:rPr>
                <w:sz w:val="4"/>
                <w:szCs w:val="4"/>
              </w:rPr>
            </w:r>
          </w:p>
        </w:tc>
        <w:tc>
          <w:tcPr>
            <w:tcW w:w="6381" w:type="dxa"/>
            <w:gridSpan w:val="26"/>
            <w:tcBorders/>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9/30/2025</w:t>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12/31/2025</w:t>
            </w:r>
          </w:p>
        </w:tc>
        <w:tc>
          <w:tcPr>
            <w:tcW w:w="8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10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FY2026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continuing operations before income taxes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from continuing operations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69,736 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144,776 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discontinued operations, net of tax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145,952 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share: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22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Excluded items: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intangible asset amortization (cost of revenue)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(cost of revenue and operating expenses)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82,988 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merger charges (gains, losses, and other)</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excluded items from continuing operations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98,978 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taxes and excluding items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net earnings from continuing operations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48,776 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147,781 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earnings per share from continuing operations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2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shares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64,105 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Some totals may not add due to rounding</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12" w:type="dxa"/>
            <w:gridSpan w:val="1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This presentation includes non-GAAP measures. Our non-GAAP measures are not meant to be considered in isolation or as a substitute for comparable GAAP measures, and should be read only in conjunction with our consolidated financial statements prepared in accordance with GAAP. For a detailed explanation of the adjustments made to comparable GAAP measures, the reasons why management uses these measures and the material limitations on the usefulness of these measures, please see Appendix A.</w:t>
            </w:r>
          </w:p>
        </w:tc>
        <w:tc>
          <w:tcPr>
            <w:tcW w:w="109" w:type="dxa"/>
            <w:tcBorders/>
            <w:vAlign w:val="center"/>
          </w:tcPr>
          <w:p>
            <w:pPr>
              <w:pStyle w:val="TableContents"/>
              <w:bidi w:val="0"/>
              <w:spacing w:before="0" w:after="283"/>
              <w:jc w:val="left"/>
              <w:rPr>
                <w:sz w:val="4"/>
                <w:szCs w:val="4"/>
              </w:rPr>
            </w:pPr>
            <w:r>
              <w:rPr>
                <w:sz w:val="4"/>
                <w:szCs w:val="4"/>
              </w:rPr>
            </w:r>
          </w:p>
        </w:tc>
        <w:tc>
          <w:tcPr>
            <w:tcW w:w="7384"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8430"/>
                <wp:effectExtent l="0" t="0" r="0" b="0"/>
                <wp:wrapNone/>
                <wp:docPr id="20" name="Frame2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29"/>
        <w:gridCol w:w="2759"/>
        <w:gridCol w:w="3917"/>
      </w:tblGrid>
      <w:tr>
        <w:trPr/>
        <w:tc>
          <w:tcPr>
            <w:tcW w:w="352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APPENDIX 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LIVERAMP HOLDINGS, INC. AND SUBSIDIARIES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 FISCAL 2027 FINANCIAL RESULTS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EXPLANATION OF NON-GAAP MEASURES AND OTHER KEY METRICS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 supplement our financial results, we use non-GAAP measures which exclude certain acquisition related expenses, non-cash stock compensation and restructuring charges. We believe these measures are helpful in understanding our past performance and our future results. Our non-GAAP financial measures and schedules are not meant to be considered in isolation or as a substitute for comparable GAAP measures and should be read only in conjunction with our consolidated GAAP financial statements. Our management regularly uses these non-GAAP financial measures internally to understand, manage and evaluate our business and to make operating decisions. These measures are among the primary factors management uses in planning for and forecasting future periods. Compensation of our executives is also based in part on the performance of our business based on these non-GAAP measures.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Our non-GAAP financial measures, including non-GAAP earnings (loss) per share, non-GAAP income (loss) from operations, non-GAAP operating income (loss) margin, non-GAAP expenses and adjusted EBITDA reflect adjustments based on the following items, as well as the related income tax effects when applicable: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Purchased intangible asset amortization</w:t>
            </w:r>
            <w:r>
              <w:rPr>
                <w:rFonts w:ascii="Arial;sans-serif" w:hAnsi="Arial;sans-serif"/>
                <w:b w:val="false"/>
                <w:color w:val="000000"/>
                <w:sz w:val="18"/>
              </w:rPr>
              <w:t>: We incur amortization of purchased intangibles in connection with our acquisitions. Purchased intangibles include (i) developed technology, (ii) customer and publisher relationships, and (iii) trade names. We expect to amortize for accounting purposes the fair value of the purchased intangibles based on the pattern in which the economic benefits of the intangible assets will be consumed as revenue is generated. Although the intangible assets generate revenue for us, we exclude this item because this expense is non-cash in nature and because we believe the non-GAAP financial measures excluding this item provide meaningful supplemental information regarding our operational performance.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Non-cash stock compensation</w:t>
            </w:r>
            <w:r>
              <w:rPr>
                <w:rFonts w:ascii="Arial;sans-serif" w:hAnsi="Arial;sans-serif"/>
                <w:b w:val="false"/>
                <w:color w:val="000000"/>
                <w:sz w:val="18"/>
              </w:rPr>
              <w:t>: Non-cash stock compensation consists of charges for employee restricted stock units, performance shares and stock options in accordance with current GAAP related to stock-based compensation including expense associated with stock-based compensation related to unvested options assumed in connection with our acquisitions. As we apply stock-based compensation standards, we believe that it is useful to investors to understand the impact of the application of these standards to our operational performance. Although stock-based compensation expense is calculated in accordance with current GAAP and constitutes an ongoing and recurring expense, such expense is excluded from non-GAAP results because it is not an expense that typically requires or will require cash settlement by us and because such expense is not used by us to assess the core profitability of our business operations.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Restructuring charges</w:t>
            </w:r>
            <w:r>
              <w:rPr>
                <w:rFonts w:ascii="Arial;sans-serif" w:hAnsi="Arial;sans-serif"/>
                <w:b w:val="false"/>
                <w:color w:val="000000"/>
                <w:sz w:val="18"/>
              </w:rPr>
              <w:t>: During the past several years, we have initiated certain restructuring activities in order to align our costs in connection with both our operating plans and our business strategies based on then-current economic conditions. As a result, we recognized costs related to termination benefits for employees whose positions were eliminated, lease and other contract termination charges, and asset impairments. These items, as well as third party expenses associated with business acquisitions in the prior years, reported as gains, losses, and other items, net, are excluded from non-GAAP results because such amounts are not used by us to assess the core profitability of our business operations.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Transformation costs</w:t>
            </w:r>
            <w:r>
              <w:rPr>
                <w:rFonts w:ascii="Arial;sans-serif" w:hAnsi="Arial;sans-serif"/>
                <w:b w:val="false"/>
                <w:color w:val="000000"/>
                <w:sz w:val="18"/>
              </w:rPr>
              <w:t>: In previous years, we incurred significant expenses to separate the financial statements of our operating segments, with particular focus on segment-level balance sheets, and to evaluate portfolio priorities. Our criteria for excluding transformation expenses from our non-GAAP measures is as follows: 1) projects are discrete in nature; 2) excluded expenses consist only of third-party consulting fees that we would not incur otherwise; and 3) we do not exclude employee related expenses or other costs associated with the ongoing operations of our business. We substantially completed those projects during the third quarter of fiscal year 2018. Beginning in the fourth quarter of fiscal 2018, and through most of fiscal 2019, we incurred transaction support expenses and system separation costs related to the Company's announced evaluation of strategic options for its Marketing Solutions (AMS) business. In the first and second quarters of fiscal 2021 in response to the potential COVID-19 pandemic impact on our business and again during fiscal 2023 in response to macroeconomic conditions, we incurred significant costs associated with the assessment of strategic and operating plans, including our long-term location strategy, and assistance in implementing the restructuring activities as a result of this assessment.  Our criteria for excluding these costs are the same. We believe excluding these items from our non-GAAP financial measures is useful for investors and provides meaningful supplemental information.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Our non-GAAP financial schedules are: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u w:val="single"/>
              </w:rPr>
              <w:t>Non-GAAP EPS, Non-GAAP Income from Operations, and Non-GAAP expenses</w:t>
            </w:r>
            <w:r>
              <w:rPr>
                <w:rFonts w:ascii="Arial;sans-serif" w:hAnsi="Arial;sans-serif"/>
                <w:b w:val="false"/>
                <w:color w:val="000000"/>
                <w:sz w:val="18"/>
              </w:rPr>
              <w:t>: Our Non-GAAP earnings per share, Non-GAAP income from operations, Non-GAAP operating income margin, and Non-GAAP expenses reflect adjustments as described above, as well as the related tax effects where applicable.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Adjusted EBITDA</w:t>
            </w:r>
            <w:r>
              <w:rPr>
                <w:rFonts w:ascii="Arial;sans-serif" w:hAnsi="Arial;sans-serif"/>
                <w:b w:val="false"/>
                <w:color w:val="000000"/>
                <w:sz w:val="18"/>
              </w:rPr>
              <w:t>: Adjusted EBITDA is defined as net income from continuing operations before income taxes, other income and expenses, depreciation and amortization, and including adjustments as described above. We use Adjusted EBITDA to measure our performance from period to period both at the consolidated level as well as within our operating segments and to compare our results to those of our competitors. We believe that the inclusion of Adjusted EBITDA provides useful supplementary information to and facilitates analysis by investors in evaluating the Company's performance and trends. The presentation of Adjusted EBITDA is not meant to be considered in isolation or as an alternative to net earnings as an indicator of our performance.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u w:val="single"/>
              </w:rPr>
              <w:t>Free Cash Flow</w:t>
            </w:r>
            <w:r>
              <w:rPr>
                <w:rFonts w:ascii="Arial;sans-serif" w:hAnsi="Arial;sans-serif"/>
                <w:b w:val="false"/>
                <w:color w:val="000000"/>
                <w:sz w:val="18"/>
              </w:rPr>
              <w:t>: To supplement our statement of cash flows, we use a non-GAAP measure of cash flow to analyze cash flows generated from operations. Free cash flow is defined as operating cash flow less capital expenditures. Management believes that this measure of cash flow is meaningful since it represents the amount of money available from continuing operations for the Company's discretionary spending. The presentation of non-GAAP free cash flow is not meant to be considered in isolation or as an alternative to cash flows from operating activities as a measure of liquidity.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8430"/>
                <wp:effectExtent l="0" t="0" r="0" b="0"/>
                <wp:wrapNone/>
                <wp:docPr id="21" name="Frame2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9"/>
                        </w:rPr>
                      </w:pPr>
                      <w:r>
                        <w:rPr>
                          <w:rFonts w:ascii="Arial;sans-serif" w:hAnsi="Arial;sans-serif"/>
                          <w:b w:val="false"/>
                          <w:color w:val="000000"/>
                          <w:sz w:val="19"/>
                        </w:rPr>
                        <w:t>P 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6922</Words>
  <Characters>39310</Characters>
  <CharactersWithSpaces>45529</CharactersWithSpaces>
  <Paragraphs>1479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