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14419d1_8ka.htm"/>
      <w:bookmarkStart w:id="1" w:name="kstm2614419d1_8ka"/>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211__20"/>
      <w:bookmarkEnd w:id="2"/>
      <w:r>
        <w:rPr>
          <w:rFonts w:ascii="Times New Roman;Times;Serif" w:hAnsi="Times New Roman;Times;Serif"/>
          <w:b/>
          <w:i w:val="false"/>
          <w:caps w:val="false"/>
          <w:smallCaps w:val="false"/>
          <w:sz w:val="36"/>
        </w:rPr>
        <w:t>8-K/A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 February 18, 2026 (</w:t>
      </w:r>
      <w:bookmarkStart w:id="3" w:name="xdx_90B_edei--DocumentPeriodEndDate_c202"/>
      <w:bookmarkEnd w:id="3"/>
      <w:r>
        <w:rPr>
          <w:rFonts w:ascii="Times New Roman;Times;Serif" w:hAnsi="Times New Roman;Times;Serif"/>
          <w:b/>
          <w:i w:val="false"/>
          <w:caps w:val="false"/>
          <w:smallCaps w:val="false"/>
          <w:sz w:val="20"/>
        </w:rPr>
        <w:t>February 11,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LIVERAMP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28" w:type="dxa"/>
          <w:right w:w="0" w:type="dxa"/>
        </w:tblCellMar>
      </w:tblPr>
      <w:tblGrid>
        <w:gridCol w:w="2270"/>
        <w:gridCol w:w="1145"/>
        <w:gridCol w:w="1565"/>
      </w:tblGrid>
      <w:tr>
        <w:trPr/>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Delaware</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9_edei--EntityFileNumber_c20260211"/>
            <w:bookmarkEnd w:id="6"/>
            <w:r>
              <w:rPr>
                <w:rFonts w:ascii="Times New Roman;Times;Serif" w:hAnsi="Times New Roman;Times;Serif"/>
                <w:b/>
                <w:sz w:val="20"/>
              </w:rPr>
              <w:t>001-38669</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0_edei--EntityTaxIdentificationNum"/>
            <w:bookmarkEnd w:id="7"/>
            <w:r>
              <w:rPr>
                <w:rFonts w:ascii="Times New Roman;Times;Serif" w:hAnsi="Times New Roman;Times;Serif"/>
                <w:b/>
                <w:sz w:val="20"/>
              </w:rPr>
              <w:t>83-1269307</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14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225 Bush Street, </w:t>
      </w:r>
      <w:bookmarkStart w:id="9" w:name="xdx_90D_edei--EntityAddressAddressLine2_"/>
      <w:bookmarkEnd w:id="9"/>
      <w:r>
        <w:rPr>
          <w:rFonts w:ascii="Times New Roman;Times;Serif" w:hAnsi="Times New Roman;Times;Serif"/>
          <w:b/>
          <w:i w:val="false"/>
          <w:caps w:val="false"/>
          <w:smallCaps w:val="false"/>
          <w:sz w:val="20"/>
        </w:rPr>
        <w:t>Seventeenth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San Francisco, </w:t>
      </w:r>
      <w:bookmarkStart w:id="11" w:name="xdx_90D_edei--EntityAddressStateOrProvin"/>
      <w:bookmarkEnd w:id="11"/>
      <w:r>
        <w:rPr>
          <w:rFonts w:ascii="Times New Roman;Times;Serif" w:hAnsi="Times New Roman;Times;Serif"/>
          <w:b/>
          <w:i w:val="false"/>
          <w:caps w:val="false"/>
          <w:smallCaps w:val="false"/>
          <w:sz w:val="20"/>
        </w:rPr>
        <w:t xml:space="preserve">CA </w:t>
      </w:r>
      <w:bookmarkStart w:id="12" w:name="xdx_90E_edei--EntityAddressPostalZipCode"/>
      <w:bookmarkEnd w:id="12"/>
      <w:r>
        <w:rPr>
          <w:rFonts w:ascii="Times New Roman;Times;Serif" w:hAnsi="Times New Roman;Times;Serif"/>
          <w:b/>
          <w:i w:val="false"/>
          <w:caps w:val="false"/>
          <w:smallCaps w:val="false"/>
          <w:sz w:val="20"/>
        </w:rPr>
        <w:t>94104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F_edei--CityAreaCode_c20260211__20"/>
      <w:bookmarkEnd w:id="13"/>
      <w:r>
        <w:rPr>
          <w:rFonts w:ascii="Times New Roman;Times;Serif" w:hAnsi="Times New Roman;Times;Serif"/>
          <w:b/>
          <w:i w:val="false"/>
          <w:caps w:val="false"/>
          <w:smallCaps w:val="false"/>
          <w:sz w:val="20"/>
        </w:rPr>
        <w:t xml:space="preserve">888) </w:t>
      </w:r>
      <w:bookmarkStart w:id="14" w:name="xdx_905_edei--LocalPhoneNumber_c20260211"/>
      <w:bookmarkEnd w:id="14"/>
      <w:r>
        <w:rPr>
          <w:rFonts w:ascii="Times New Roman;Times;Serif" w:hAnsi="Times New Roman;Times;Serif"/>
          <w:b/>
          <w:i w:val="false"/>
          <w:caps w:val="false"/>
          <w:smallCaps w:val="false"/>
          <w:sz w:val="20"/>
        </w:rPr>
        <w:t>987-6764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5" w:name="xdx_909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6" w:name="xdx_905_edei--SolicitingMaterial_c202602"/>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7" w:name="xdx_908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8" w:name="xdx_903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85" w:type="dxa"/>
        <w:jc w:val="left"/>
        <w:tblInd w:w="-10" w:type="dxa"/>
        <w:tblLayout w:type="fixed"/>
        <w:tblCellMar>
          <w:top w:w="30" w:type="dxa"/>
          <w:left w:w="28" w:type="dxa"/>
          <w:bottom w:w="28" w:type="dxa"/>
          <w:right w:w="28" w:type="dxa"/>
        </w:tblCellMar>
      </w:tblPr>
      <w:tblGrid>
        <w:gridCol w:w="2540"/>
        <w:gridCol w:w="60"/>
        <w:gridCol w:w="1535"/>
        <w:gridCol w:w="60"/>
        <w:gridCol w:w="3590"/>
      </w:tblGrid>
      <w:tr>
        <w:trPr/>
        <w:tc>
          <w:tcPr>
            <w:tcW w:w="25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op w:val="single" w:sz="8" w:space="0" w:color="000000"/>
              <w:bottom w:val="single" w:sz="8" w:space="0" w:color="000000"/>
            </w:tcBorders>
            <w:tcMar>
              <w:top w:w="28" w:type="dxa"/>
              <w:left w:w="0" w:type="dxa"/>
              <w:right w:w="0" w:type="dxa"/>
            </w:tcMar>
            <w:vAlign w:val="center"/>
          </w:tcPr>
          <w:p>
            <w:pPr>
              <w:pStyle w:val="TableContents"/>
              <w:bidi w:val="0"/>
              <w:spacing w:before="0" w:after="283"/>
              <w:jc w:val="left"/>
              <w:rPr/>
            </w:pPr>
            <w:r>
              <w:rPr/>
              <w:t> </w:t>
            </w:r>
          </w:p>
        </w:tc>
        <w:tc>
          <w:tcPr>
            <w:tcW w:w="15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top w:val="single" w:sz="8" w:space="0" w:color="000000"/>
              <w:bottom w:val="single" w:sz="8" w:space="0" w:color="000000"/>
              <w:right w:val="single" w:sz="8" w:space="0" w:color="000000"/>
            </w:tcBorders>
            <w:tcMar>
              <w:top w:w="28" w:type="dxa"/>
              <w:left w:w="0" w:type="dxa"/>
            </w:tcMar>
            <w:vAlign w:val="center"/>
          </w:tcPr>
          <w:p>
            <w:pPr>
              <w:pStyle w:val="TableContents"/>
              <w:bidi w:val="0"/>
              <w:spacing w:before="0" w:after="283"/>
              <w:jc w:val="left"/>
              <w:rPr/>
            </w:pPr>
            <w:r>
              <w:rPr/>
              <w:t> </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5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D_edei--Security12bTitle_c20260211"/>
            <w:bookmarkEnd w:id="19"/>
            <w:r>
              <w:rPr>
                <w:rFonts w:ascii="Times New Roman;Times;Serif" w:hAnsi="Times New Roman;Times;Serif"/>
                <w:sz w:val="20"/>
              </w:rPr>
              <w:t>Common stock, $.10 Par Value</w:t>
            </w:r>
          </w:p>
        </w:tc>
        <w:tc>
          <w:tcPr>
            <w:tcW w:w="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20"/>
              </w:rPr>
            </w:pPr>
            <w:bookmarkStart w:id="20" w:name="xdx_903_edei--TradingSymbol_c20260211__2"/>
            <w:bookmarkEnd w:id="20"/>
            <w:r>
              <w:rPr>
                <w:rFonts w:ascii="Times New Roman;Times;Serif" w:hAnsi="Times New Roman;Times;Serif"/>
                <w:sz w:val="20"/>
              </w:rPr>
              <w:t>RAMP</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1" w:name="xdx_900_edei--SecurityExchangeName_c2026"/>
            <w:bookmarkEnd w:id="21"/>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630"/>
        <w:gridCol w:w="290"/>
        <w:gridCol w:w="75"/>
      </w:tblGrid>
      <w:tr>
        <w:trPr/>
        <w:tc>
          <w:tcPr>
            <w:tcW w:w="2630" w:type="dxa"/>
            <w:tcBorders/>
            <w:vAlign w:val="center"/>
          </w:tcPr>
          <w:p>
            <w:pPr>
              <w:pStyle w:val="TableContents"/>
              <w:bidi w:val="0"/>
              <w:spacing w:before="0" w:after="283"/>
              <w:jc w:val="left"/>
              <w:rPr/>
            </w:pPr>
            <w:r>
              <w:rPr/>
              <w:t>Emerging growth company</w:t>
            </w:r>
          </w:p>
        </w:tc>
        <w:tc>
          <w:tcPr>
            <w:tcW w:w="290" w:type="dxa"/>
            <w:tcBorders/>
            <w:vAlign w:val="center"/>
          </w:tcPr>
          <w:p>
            <w:pPr>
              <w:pStyle w:val="TableContents"/>
              <w:bidi w:val="0"/>
              <w:spacing w:before="0" w:after="283"/>
              <w:jc w:val="left"/>
              <w:rPr/>
            </w:pPr>
            <w:bookmarkStart w:id="22" w:name="xdx_907_edei--EntityEmergingGrowthCompan"/>
            <w:bookmarkEnd w:id="22"/>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62"/>
        <w:gridCol w:w="9405"/>
      </w:tblGrid>
      <w:tr>
        <w:trPr/>
        <w:tc>
          <w:tcPr>
            <w:tcW w:w="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b/>
              </w:rPr>
            </w:pPr>
            <w:r>
              <w:rPr>
                <w:b/>
              </w:rPr>
              <w:t>Item 5.02</w:t>
            </w:r>
          </w:p>
        </w:tc>
        <w:tc>
          <w:tcPr>
            <w:tcW w:w="9405" w:type="dxa"/>
            <w:tcBorders/>
            <w:vAlign w:val="center"/>
          </w:tcPr>
          <w:p>
            <w:pPr>
              <w:pStyle w:val="TableContents"/>
              <w:bidi w:val="0"/>
              <w:spacing w:before="0" w:after="283"/>
              <w:jc w:val="both"/>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2026, LiveRamp Holdings, Inc. (the “Company”) filed a Current Report on Form 8-K (the “Initial Report”) disclosing that Kristi Argyilan had been appointed to serve as a member of the Board of Directors (the “Board”), effective immediately. Ms. Argyilan was appointed to the class of directors whose term expires at the 2027 annual meeting of stockholders. Committee assignments for Ms. Argyilan were not determined as of the filing of the Initial Report. On May 13, 2026, the Board appointed Ms. Argyilan to serve as a member of the Governance/Nominating Committee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March 18, 2026, Brian O’Kelley, who served as a director of the Company since 2023, resigned from the Board. Mr. O’Kelley served as a member of the class of directors whose term expires at the 2028 annual meeting of stockholders. On May 13, 2026, the Board approved a reduction in the size of the Board from eight (8) directors to seven (7) directors to eliminate the vacancy resulting from Mr. O’Kelley’s resignation. The Board also completed a process to rebalance the membership of the Board so as to maintain the number of directors in each class of directors serving on the Board as nearly equal as possible, determining that one member of the Board should be redesignated from the class of directors whose term expires at the Company’s 2027 annual meeting of stockholders to the class of directors whose term expires at the Company’s 2028 annual meeting of stockholders. Accordingly, effective May 13, 2026, the Board, with the agreement of Ms. Argyilan, redesignated her as a member of the class of directors whose term expires at the 2028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365"/>
        <w:gridCol w:w="488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b/>
              </w:rPr>
            </w:pPr>
            <w:r>
              <w:rPr>
                <w:b/>
              </w:rPr>
              <w:t>LIVERAMP HOLDINGS,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880" w:type="dxa"/>
            <w:tcBorders>
              <w:bottom w:val="single" w:sz="8" w:space="0" w:color="000000"/>
            </w:tcBorders>
            <w:tcMar>
              <w:bottom w:w="28" w:type="dxa"/>
            </w:tcMar>
            <w:vAlign w:val="center"/>
          </w:tcPr>
          <w:p>
            <w:pPr>
              <w:pStyle w:val="TableContents"/>
              <w:bidi w:val="0"/>
              <w:spacing w:before="0" w:after="283"/>
              <w:jc w:val="left"/>
              <w:rPr/>
            </w:pPr>
            <w:r>
              <w:rPr/>
              <w:t>/s/ Jerry C. Jones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pPr>
            <w:r>
              <w:rPr/>
              <w:t xml:space="preserve">Jerry C. Jones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pPr>
            <w:r>
              <w:rPr/>
              <w:t>EVP, Chief Ethics and Legal Officer and Secretary</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669</Words>
  <Characters>3559</Characters>
  <CharactersWithSpaces>4250</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