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02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02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Dillard Lauren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LIVERAMP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225 BUSH STREET,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LiveRamp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RAMP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3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680" w:type="dxa"/>
            <w:vAlign w:val="bottom"/>
            <w:shd w:val="clear" w:color="auto" w:fill="9A9A9A"/>
          </w:tcPr>
          <w:p>
            <w:pPr>
              <w:spacing w:after="0"/>
              <w:rPr>
                <w:sz w:val="3"/>
                <w:szCs w:val="3"/>
                <w:color w:val="auto"/>
              </w:rPr>
            </w:pPr>
          </w:p>
        </w:tc>
        <w:tc>
          <w:tcPr>
            <w:tcW w:w="66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jc w:val="center"/>
              <w:ind w:right="71"/>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7"/>
                <w:szCs w:val="17"/>
                <w:color w:val="0000FF"/>
                <w:w w:val="93"/>
              </w:rPr>
              <w:t>24,130</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361,342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7"/>
                <w:szCs w:val="17"/>
                <w:color w:val="0000FF"/>
                <w:w w:val="93"/>
              </w:rPr>
              <w:t>9,926</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37.7</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351,416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7"/>
                <w:szCs w:val="17"/>
                <w:color w:val="0000FF"/>
                <w:w w:val="93"/>
              </w:rPr>
              <w:t>65,037</w:t>
            </w:r>
            <w:r>
              <w:rPr>
                <w:rFonts w:ascii="Times New Roman" w:cs="Times New Roman" w:eastAsia="Times New Roman" w:hAnsi="Times New Roman"/>
                <w:sz w:val="22"/>
                <w:szCs w:val="22"/>
                <w:color w:val="008000"/>
                <w:w w:val="93"/>
                <w:vertAlign w:val="superscript"/>
              </w:rPr>
              <w:t>(3)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416,453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48"/>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751</w:t>
            </w:r>
            <w:r>
              <w:rPr>
                <w:rFonts w:ascii="Times New Roman" w:cs="Times New Roman" w:eastAsia="Times New Roman" w:hAnsi="Times New Roman"/>
                <w:sz w:val="11"/>
                <w:szCs w:val="11"/>
                <w:color w:val="008000"/>
                <w:w w:val="85"/>
              </w:rPr>
              <w:t>(4)</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37.7</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415,702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7"/>
                <w:szCs w:val="17"/>
                <w:color w:val="0000FF"/>
                <w:w w:val="93"/>
              </w:rPr>
              <w:t>2,869</w:t>
            </w:r>
            <w:r>
              <w:rPr>
                <w:rFonts w:ascii="Times New Roman" w:cs="Times New Roman" w:eastAsia="Times New Roman" w:hAnsi="Times New Roman"/>
                <w:sz w:val="22"/>
                <w:szCs w:val="22"/>
                <w:color w:val="008000"/>
                <w:w w:val="93"/>
                <w:vertAlign w:val="superscript"/>
              </w:rPr>
              <w:t>(4)</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37.7</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412,833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7"/>
                <w:szCs w:val="17"/>
                <w:color w:val="0000FF"/>
                <w:w w:val="93"/>
              </w:rPr>
              <w:t>2,609</w:t>
            </w:r>
            <w:r>
              <w:rPr>
                <w:rFonts w:ascii="Times New Roman" w:cs="Times New Roman" w:eastAsia="Times New Roman" w:hAnsi="Times New Roman"/>
                <w:sz w:val="22"/>
                <w:szCs w:val="22"/>
                <w:color w:val="008000"/>
                <w:w w:val="93"/>
                <w:vertAlign w:val="superscript"/>
              </w:rPr>
              <w:t>(4)</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37.7</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410,224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7"/>
                <w:szCs w:val="17"/>
                <w:color w:val="0000FF"/>
                <w:w w:val="93"/>
              </w:rPr>
              <w:t>12,748</w:t>
            </w:r>
            <w:r>
              <w:rPr>
                <w:rFonts w:ascii="Times New Roman" w:cs="Times New Roman" w:eastAsia="Times New Roman" w:hAnsi="Times New Roman"/>
                <w:sz w:val="22"/>
                <w:szCs w:val="22"/>
                <w:color w:val="008000"/>
                <w:w w:val="93"/>
                <w:vertAlign w:val="superscript"/>
              </w:rPr>
              <w:t>(4)</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37.7</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397,476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40" w:type="dxa"/>
            <w:vAlign w:val="bottom"/>
            <w:gridSpan w:val="10"/>
          </w:tcPr>
          <w:p>
            <w:pPr>
              <w:jc w:val="center"/>
              <w:ind w:right="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earned by the reporting person in connection with the performance stock units ("PSUs") granted pursuant to the 2005 Equity Compensation Plan to the reporting person in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obligations that arose on May 22, 2026, as a result of the PSU vesting disclosed above.</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earned by the reporting person in connection with the PSUs granted pursuant to the 2005 Equity Compensation Plan to the reporting person in 2023 and will vest on November 14, 2026, contingent upon the reporting person's continued employment with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obligations that arose on May 22, 2026, when restricted stock units belonging to the reporting person vested.</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JERRY C. JONES,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5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w:t>
        <w:tab/>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LAUREN R. DILLARD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84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2931" TargetMode="External"/><Relationship Id="rId14" Type="http://schemas.openxmlformats.org/officeDocument/2006/relationships/hyperlink" Target="http://www.sec.gov/cgi-bin/browse-edgar?action=getcompany&amp;CIK=00007332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2026-05-27T15:24:25Z</dcterms:created>
  <dcterms:modified xsi:type="dcterms:W3CDTF">2026-05-27T15:24:25Z</dcterms:modified>
</cp:coreProperties>
</file>