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6"/>
          <w:szCs w:val="16"/>
          <w:b w:val="1"/>
          <w:bCs w:val="1"/>
          <w:color w:val="auto"/>
        </w:rPr>
        <w:t>UNITED STATES</w:t>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FORM 10-Q</w:t>
      </w:r>
    </w:p>
    <w:p>
      <w:pPr>
        <w:spacing w:after="0" w:line="185" w:lineRule="exact"/>
        <w:rPr>
          <w:sz w:val="24"/>
          <w:szCs w:val="24"/>
          <w:color w:val="auto"/>
        </w:rPr>
      </w:pPr>
    </w:p>
    <w:p>
      <w:pPr>
        <w:jc w:val="center"/>
        <w:ind w:left="420"/>
        <w:spacing w:after="0"/>
        <w:rPr>
          <w:sz w:val="20"/>
          <w:szCs w:val="20"/>
          <w:color w:val="auto"/>
        </w:rPr>
      </w:pPr>
      <w:r>
        <w:rPr>
          <w:rFonts w:ascii="Arial" w:cs="Arial" w:eastAsia="Arial" w:hAnsi="Arial"/>
          <w:sz w:val="16"/>
          <w:szCs w:val="16"/>
          <w:color w:val="auto"/>
        </w:rPr>
        <w:t>(Mark One)</w:t>
      </w:r>
    </w:p>
    <w:p>
      <w:pPr>
        <w:spacing w:after="0" w:line="52" w:lineRule="exact"/>
        <w:rPr>
          <w:sz w:val="24"/>
          <w:szCs w:val="24"/>
          <w:color w:val="auto"/>
        </w:rPr>
      </w:pPr>
    </w:p>
    <w:p>
      <w:pPr>
        <w:ind w:left="940" w:hanging="446"/>
        <w:spacing w:after="0"/>
        <w:tabs>
          <w:tab w:leader="none" w:pos="9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05" w:lineRule="exact"/>
        <w:rPr>
          <w:sz w:val="24"/>
          <w:szCs w:val="24"/>
          <w:color w:val="auto"/>
        </w:rPr>
      </w:pPr>
    </w:p>
    <w:p>
      <w:pPr>
        <w:jc w:val="center"/>
        <w:ind w:left="520"/>
        <w:spacing w:after="0"/>
        <w:rPr>
          <w:sz w:val="20"/>
          <w:szCs w:val="20"/>
          <w:color w:val="auto"/>
        </w:rPr>
      </w:pPr>
      <w:r>
        <w:rPr>
          <w:rFonts w:ascii="Arial" w:cs="Arial" w:eastAsia="Arial" w:hAnsi="Arial"/>
          <w:sz w:val="16"/>
          <w:szCs w:val="16"/>
          <w:color w:val="auto"/>
        </w:rPr>
        <w:t>For the quarterly period ended September 30, 2024</w:t>
      </w:r>
    </w:p>
    <w:p>
      <w:pPr>
        <w:spacing w:after="0" w:line="22" w:lineRule="exact"/>
        <w:rPr>
          <w:sz w:val="24"/>
          <w:szCs w:val="24"/>
          <w:color w:val="auto"/>
        </w:rPr>
      </w:pPr>
    </w:p>
    <w:p>
      <w:pPr>
        <w:jc w:val="center"/>
        <w:ind w:left="480"/>
        <w:spacing w:after="0"/>
        <w:rPr>
          <w:sz w:val="20"/>
          <w:szCs w:val="20"/>
          <w:color w:val="auto"/>
        </w:rPr>
      </w:pPr>
      <w:r>
        <w:rPr>
          <w:rFonts w:ascii="Arial" w:cs="Arial" w:eastAsia="Arial" w:hAnsi="Arial"/>
          <w:sz w:val="16"/>
          <w:szCs w:val="16"/>
          <w:color w:val="auto"/>
        </w:rPr>
        <w:t>OR</w:t>
      </w:r>
    </w:p>
    <w:p>
      <w:pPr>
        <w:spacing w:after="0" w:line="42" w:lineRule="exact"/>
        <w:rPr>
          <w:sz w:val="24"/>
          <w:szCs w:val="24"/>
          <w:color w:val="auto"/>
        </w:rPr>
      </w:pPr>
    </w:p>
    <w:p>
      <w:pPr>
        <w:ind w:left="4480" w:right="2920" w:hanging="4438"/>
        <w:spacing w:after="0" w:line="405" w:lineRule="auto"/>
        <w:tabs>
          <w:tab w:leader="none" w:pos="39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 to -----</w:t>
      </w:r>
    </w:p>
    <w:p>
      <w:pPr>
        <w:spacing w:after="0" w:line="61"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Commission file number: 001-38669</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LiveRamp Holdings, Inc.</w:t>
      </w:r>
    </w:p>
    <w:p>
      <w:pPr>
        <w:spacing w:after="0" w:line="53"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(Exact Name of Registrant as Specified in Its Charter)</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tcPr>
          <w:p>
            <w:pPr>
              <w:jc w:val="center"/>
              <w:ind w:left="824"/>
              <w:spacing w:after="0"/>
              <w:rPr>
                <w:sz w:val="20"/>
                <w:szCs w:val="20"/>
                <w:color w:val="auto"/>
              </w:rPr>
            </w:pPr>
            <w:r>
              <w:rPr>
                <w:rFonts w:ascii="Arial" w:cs="Arial" w:eastAsia="Arial" w:hAnsi="Arial"/>
                <w:sz w:val="16"/>
                <w:szCs w:val="16"/>
                <w:b w:val="1"/>
                <w:bCs w:val="1"/>
                <w:color w:val="auto"/>
                <w:w w:val="99"/>
              </w:rPr>
              <w:t>Delaware</w:t>
            </w:r>
          </w:p>
        </w:tc>
        <w:tc>
          <w:tcPr>
            <w:tcW w:w="3720" w:type="dxa"/>
            <w:vAlign w:val="bottom"/>
          </w:tcPr>
          <w:p>
            <w:pPr>
              <w:spacing w:after="0"/>
              <w:rPr>
                <w:sz w:val="16"/>
                <w:szCs w:val="16"/>
                <w:color w:val="auto"/>
              </w:rPr>
            </w:pPr>
          </w:p>
        </w:tc>
        <w:tc>
          <w:tcPr>
            <w:tcW w:w="3800" w:type="dxa"/>
            <w:vAlign w:val="bottom"/>
          </w:tcPr>
          <w:p>
            <w:pPr>
              <w:jc w:val="right"/>
              <w:ind w:right="1804"/>
              <w:spacing w:after="0"/>
              <w:rPr>
                <w:sz w:val="20"/>
                <w:szCs w:val="20"/>
                <w:color w:val="auto"/>
              </w:rPr>
            </w:pPr>
            <w:r>
              <w:rPr>
                <w:rFonts w:ascii="Arial" w:cs="Arial" w:eastAsia="Arial" w:hAnsi="Arial"/>
                <w:sz w:val="16"/>
                <w:szCs w:val="16"/>
                <w:b w:val="1"/>
                <w:bCs w:val="1"/>
                <w:color w:val="auto"/>
              </w:rPr>
              <w:t>83-1269307</w:t>
            </w:r>
          </w:p>
        </w:tc>
        <w:tc>
          <w:tcPr>
            <w:tcW w:w="0" w:type="dxa"/>
            <w:vAlign w:val="bottom"/>
          </w:tcPr>
          <w:p>
            <w:pPr>
              <w:spacing w:after="0"/>
              <w:rPr>
                <w:sz w:val="1"/>
                <w:szCs w:val="1"/>
                <w:color w:val="auto"/>
              </w:rPr>
            </w:pPr>
          </w:p>
        </w:tc>
      </w:tr>
      <w:tr>
        <w:trPr>
          <w:trHeight w:val="206"/>
        </w:trPr>
        <w:tc>
          <w:tcPr>
            <w:tcW w:w="7400" w:type="dxa"/>
            <w:vAlign w:val="bottom"/>
            <w:gridSpan w:val="2"/>
          </w:tcPr>
          <w:p>
            <w:pPr>
              <w:jc w:val="center"/>
              <w:ind w:right="2747"/>
              <w:spacing w:after="0"/>
              <w:rPr>
                <w:sz w:val="20"/>
                <w:szCs w:val="20"/>
                <w:color w:val="auto"/>
              </w:rPr>
            </w:pPr>
            <w:r>
              <w:rPr>
                <w:rFonts w:ascii="Arial" w:cs="Arial" w:eastAsia="Arial" w:hAnsi="Arial"/>
                <w:sz w:val="16"/>
                <w:szCs w:val="16"/>
                <w:color w:val="auto"/>
                <w:w w:val="98"/>
              </w:rPr>
              <w:t>(State or Other Jurisdiction of Incorporation or Organization)</w:t>
            </w: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8"/>
              </w:rPr>
              <w:t>(I.R.S. Employer Identification No.)</w:t>
            </w:r>
          </w:p>
        </w:tc>
        <w:tc>
          <w:tcPr>
            <w:tcW w:w="0" w:type="dxa"/>
            <w:vAlign w:val="bottom"/>
          </w:tcPr>
          <w:p>
            <w:pPr>
              <w:spacing w:after="0"/>
              <w:rPr>
                <w:sz w:val="1"/>
                <w:szCs w:val="1"/>
                <w:color w:val="auto"/>
              </w:rPr>
            </w:pPr>
          </w:p>
        </w:tc>
      </w:tr>
      <w:tr>
        <w:trPr>
          <w:trHeight w:val="160"/>
        </w:trPr>
        <w:tc>
          <w:tcPr>
            <w:tcW w:w="3680" w:type="dxa"/>
            <w:vAlign w:val="bottom"/>
          </w:tcPr>
          <w:p>
            <w:pPr>
              <w:jc w:val="center"/>
              <w:ind w:left="824"/>
              <w:spacing w:after="0" w:line="160" w:lineRule="exact"/>
              <w:rPr>
                <w:sz w:val="20"/>
                <w:szCs w:val="20"/>
                <w:color w:val="auto"/>
              </w:rPr>
            </w:pPr>
            <w:r>
              <w:rPr>
                <w:rFonts w:ascii="Arial" w:cs="Arial" w:eastAsia="Arial" w:hAnsi="Arial"/>
                <w:sz w:val="16"/>
                <w:szCs w:val="16"/>
                <w:b w:val="1"/>
                <w:bCs w:val="1"/>
                <w:color w:val="auto"/>
                <w:w w:val="98"/>
              </w:rPr>
              <w:t>225 Bush Street, Seventeenth Floor</w:t>
            </w:r>
          </w:p>
        </w:tc>
        <w:tc>
          <w:tcPr>
            <w:tcW w:w="3720" w:type="dxa"/>
            <w:vAlign w:val="bottom"/>
          </w:tcPr>
          <w:p>
            <w:pPr>
              <w:spacing w:after="0"/>
              <w:rPr>
                <w:sz w:val="13"/>
                <w:szCs w:val="13"/>
                <w:color w:val="auto"/>
              </w:rPr>
            </w:pPr>
          </w:p>
        </w:tc>
        <w:tc>
          <w:tcPr>
            <w:tcW w:w="3800" w:type="dxa"/>
            <w:vAlign w:val="bottom"/>
            <w:vMerge w:val="restart"/>
          </w:tcPr>
          <w:p>
            <w:pPr>
              <w:jc w:val="right"/>
              <w:ind w:right="2004"/>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58"/>
        </w:trPr>
        <w:tc>
          <w:tcPr>
            <w:tcW w:w="3680" w:type="dxa"/>
            <w:vAlign w:val="bottom"/>
          </w:tcPr>
          <w:p>
            <w:pPr>
              <w:jc w:val="center"/>
              <w:ind w:left="824"/>
              <w:spacing w:after="0" w:line="158" w:lineRule="exact"/>
              <w:rPr>
                <w:sz w:val="20"/>
                <w:szCs w:val="20"/>
                <w:color w:val="auto"/>
              </w:rPr>
            </w:pPr>
            <w:r>
              <w:rPr>
                <w:rFonts w:ascii="Arial" w:cs="Arial" w:eastAsia="Arial" w:hAnsi="Arial"/>
                <w:sz w:val="16"/>
                <w:szCs w:val="16"/>
                <w:b w:val="1"/>
                <w:bCs w:val="1"/>
                <w:color w:val="auto"/>
                <w:w w:val="97"/>
              </w:rPr>
              <w:t>San Francisco, CA</w:t>
            </w:r>
          </w:p>
        </w:tc>
        <w:tc>
          <w:tcPr>
            <w:tcW w:w="372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jc w:val="center"/>
              <w:ind w:left="844"/>
              <w:spacing w:after="0"/>
              <w:rPr>
                <w:sz w:val="20"/>
                <w:szCs w:val="20"/>
                <w:color w:val="auto"/>
              </w:rPr>
            </w:pPr>
            <w:r>
              <w:rPr>
                <w:rFonts w:ascii="Arial" w:cs="Arial" w:eastAsia="Arial" w:hAnsi="Arial"/>
                <w:sz w:val="16"/>
                <w:szCs w:val="16"/>
                <w:color w:val="auto"/>
                <w:w w:val="98"/>
              </w:rPr>
              <w:t>(Address of Principal Executive Offices)</w:t>
            </w:r>
          </w:p>
        </w:tc>
        <w:tc>
          <w:tcPr>
            <w:tcW w:w="3720" w:type="dxa"/>
            <w:vAlign w:val="bottom"/>
          </w:tcPr>
          <w:p>
            <w:pPr>
              <w:spacing w:after="0"/>
              <w:rPr>
                <w:sz w:val="17"/>
                <w:szCs w:val="17"/>
                <w:color w:val="auto"/>
              </w:rPr>
            </w:pP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7"/>
              </w:rPr>
              <w:t>(Zip Code)</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3"/>
                <w:szCs w:val="13"/>
                <w:color w:val="auto"/>
              </w:rPr>
            </w:pPr>
          </w:p>
        </w:tc>
        <w:tc>
          <w:tcPr>
            <w:tcW w:w="3720" w:type="dxa"/>
            <w:vAlign w:val="bottom"/>
          </w:tcPr>
          <w:p>
            <w:pPr>
              <w:jc w:val="center"/>
              <w:ind w:left="47"/>
              <w:spacing w:after="0" w:line="161" w:lineRule="exact"/>
              <w:rPr>
                <w:sz w:val="20"/>
                <w:szCs w:val="20"/>
                <w:color w:val="auto"/>
              </w:rPr>
            </w:pPr>
            <w:r>
              <w:rPr>
                <w:rFonts w:ascii="Arial" w:cs="Arial" w:eastAsia="Arial" w:hAnsi="Arial"/>
                <w:sz w:val="16"/>
                <w:szCs w:val="16"/>
                <w:b w:val="1"/>
                <w:bCs w:val="1"/>
                <w:color w:val="auto"/>
                <w:w w:val="98"/>
              </w:rPr>
              <w:t>(888) 987-6764</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7520" w:type="dxa"/>
            <w:vAlign w:val="bottom"/>
            <w:gridSpan w:val="2"/>
          </w:tcPr>
          <w:p>
            <w:pPr>
              <w:jc w:val="center"/>
              <w:ind w:right="3604"/>
              <w:spacing w:after="0"/>
              <w:rPr>
                <w:sz w:val="20"/>
                <w:szCs w:val="20"/>
                <w:color w:val="auto"/>
              </w:rPr>
            </w:pPr>
            <w:r>
              <w:rPr>
                <w:rFonts w:ascii="Arial" w:cs="Arial" w:eastAsia="Arial" w:hAnsi="Arial"/>
                <w:sz w:val="16"/>
                <w:szCs w:val="16"/>
                <w:color w:val="auto"/>
                <w:w w:val="97"/>
              </w:rPr>
              <w:t>(Registrant's Telephone Number, Including Area Code)</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3720" w:type="dxa"/>
            <w:vAlign w:val="bottom"/>
          </w:tcPr>
          <w:p>
            <w:pPr>
              <w:jc w:val="center"/>
              <w:ind w:left="47"/>
              <w:spacing w:after="0"/>
              <w:rPr>
                <w:sz w:val="20"/>
                <w:szCs w:val="20"/>
                <w:color w:val="auto"/>
              </w:rPr>
            </w:pPr>
            <w:r>
              <w:rPr>
                <w:rFonts w:ascii="Arial" w:cs="Arial" w:eastAsia="Arial" w:hAnsi="Arial"/>
                <w:sz w:val="14"/>
                <w:szCs w:val="14"/>
                <w:color w:val="auto"/>
              </w:rPr>
              <w:t>Securities registered pursuant to Section 12(b) of the Act: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jc w:val="center"/>
              <w:ind w:left="844"/>
              <w:spacing w:after="0"/>
              <w:rPr>
                <w:sz w:val="20"/>
                <w:szCs w:val="20"/>
                <w:color w:val="auto"/>
              </w:rPr>
            </w:pPr>
            <w:r>
              <w:rPr>
                <w:rFonts w:ascii="Arial" w:cs="Arial" w:eastAsia="Arial" w:hAnsi="Arial"/>
                <w:sz w:val="14"/>
                <w:szCs w:val="14"/>
                <w:b w:val="1"/>
                <w:bCs w:val="1"/>
                <w:color w:val="auto"/>
                <w:w w:val="99"/>
              </w:rPr>
              <w:t>Title of each class</w:t>
            </w:r>
          </w:p>
        </w:tc>
        <w:tc>
          <w:tcPr>
            <w:tcW w:w="3720" w:type="dxa"/>
            <w:vAlign w:val="bottom"/>
            <w:tcBorders>
              <w:bottom w:val="single" w:sz="8" w:color="auto"/>
            </w:tcBorders>
          </w:tcPr>
          <w:p>
            <w:pPr>
              <w:jc w:val="center"/>
              <w:ind w:left="47"/>
              <w:spacing w:after="0"/>
              <w:rPr>
                <w:sz w:val="20"/>
                <w:szCs w:val="20"/>
                <w:color w:val="auto"/>
              </w:rPr>
            </w:pPr>
            <w:r>
              <w:rPr>
                <w:rFonts w:ascii="Arial" w:cs="Arial" w:eastAsia="Arial" w:hAnsi="Arial"/>
                <w:sz w:val="14"/>
                <w:szCs w:val="14"/>
                <w:b w:val="1"/>
                <w:bCs w:val="1"/>
                <w:color w:val="auto"/>
                <w:w w:val="98"/>
              </w:rPr>
              <w:t>Trading Symbol</w:t>
            </w:r>
          </w:p>
        </w:tc>
        <w:tc>
          <w:tcPr>
            <w:tcW w:w="3800" w:type="dxa"/>
            <w:vAlign w:val="bottom"/>
            <w:tcBorders>
              <w:bottom w:val="single" w:sz="8" w:color="auto"/>
            </w:tcBorders>
          </w:tcPr>
          <w:p>
            <w:pPr>
              <w:jc w:val="center"/>
              <w:ind w:right="704"/>
              <w:spacing w:after="0"/>
              <w:rPr>
                <w:sz w:val="20"/>
                <w:szCs w:val="20"/>
                <w:color w:val="auto"/>
              </w:rPr>
            </w:pPr>
            <w:r>
              <w:rPr>
                <w:rFonts w:ascii="Arial" w:cs="Arial" w:eastAsia="Arial" w:hAnsi="Arial"/>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680" w:type="dxa"/>
            <w:vAlign w:val="bottom"/>
          </w:tcPr>
          <w:p>
            <w:pPr>
              <w:jc w:val="center"/>
              <w:ind w:left="824"/>
              <w:spacing w:after="0"/>
              <w:rPr>
                <w:sz w:val="20"/>
                <w:szCs w:val="20"/>
                <w:color w:val="auto"/>
              </w:rPr>
            </w:pPr>
            <w:r>
              <w:rPr>
                <w:rFonts w:ascii="Arial" w:cs="Arial" w:eastAsia="Arial" w:hAnsi="Arial"/>
                <w:sz w:val="14"/>
                <w:szCs w:val="14"/>
                <w:color w:val="auto"/>
                <w:w w:val="98"/>
              </w:rPr>
              <w:t>Common Stock, $.10 Par Value</w:t>
            </w:r>
          </w:p>
        </w:tc>
        <w:tc>
          <w:tcPr>
            <w:tcW w:w="3720" w:type="dxa"/>
            <w:vAlign w:val="bottom"/>
          </w:tcPr>
          <w:p>
            <w:pPr>
              <w:jc w:val="center"/>
              <w:ind w:left="47"/>
              <w:spacing w:after="0"/>
              <w:rPr>
                <w:sz w:val="20"/>
                <w:szCs w:val="20"/>
                <w:color w:val="auto"/>
              </w:rPr>
            </w:pPr>
            <w:r>
              <w:rPr>
                <w:rFonts w:ascii="Arial" w:cs="Arial" w:eastAsia="Arial" w:hAnsi="Arial"/>
                <w:sz w:val="14"/>
                <w:szCs w:val="14"/>
                <w:color w:val="auto"/>
                <w:w w:val="98"/>
              </w:rPr>
              <w:t>RAMP</w:t>
            </w:r>
          </w:p>
        </w:tc>
        <w:tc>
          <w:tcPr>
            <w:tcW w:w="3800" w:type="dxa"/>
            <w:vAlign w:val="bottom"/>
          </w:tcPr>
          <w:p>
            <w:pPr>
              <w:jc w:val="center"/>
              <w:ind w:right="724"/>
              <w:spacing w:after="0"/>
              <w:rPr>
                <w:sz w:val="20"/>
                <w:szCs w:val="20"/>
                <w:color w:val="auto"/>
              </w:rPr>
            </w:pPr>
            <w:r>
              <w:rPr>
                <w:rFonts w:ascii="Arial" w:cs="Arial" w:eastAsia="Arial" w:hAnsi="Arial"/>
                <w:sz w:val="14"/>
                <w:szCs w:val="14"/>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2" w:lineRule="exact"/>
        <w:rPr>
          <w:sz w:val="24"/>
          <w:szCs w:val="24"/>
          <w:color w:val="auto"/>
        </w:rPr>
      </w:pPr>
    </w:p>
    <w:p>
      <w:pPr>
        <w:ind w:left="500" w:right="40"/>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79" w:lineRule="exact"/>
        <w:rPr>
          <w:sz w:val="24"/>
          <w:szCs w:val="24"/>
          <w:color w:val="auto"/>
        </w:rPr>
      </w:pPr>
    </w:p>
    <w:p>
      <w:pPr>
        <w:ind w:left="500"/>
        <w:spacing w:after="0" w:line="24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 of this chapter) during the preceding 12 months (or for such shorter period that the registrant was required to submit such files).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53" w:lineRule="exact"/>
        <w:rPr>
          <w:sz w:val="24"/>
          <w:szCs w:val="24"/>
          <w:color w:val="auto"/>
        </w:rPr>
      </w:pPr>
    </w:p>
    <w:p>
      <w:pPr>
        <w:ind w:left="500" w:right="400"/>
        <w:spacing w:after="0" w:line="23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ind w:left="500"/>
        <w:spacing w:after="0"/>
        <w:rPr>
          <w:sz w:val="20"/>
          <w:szCs w:val="20"/>
          <w:color w:val="auto"/>
        </w:rPr>
      </w:pPr>
      <w:r>
        <w:rPr>
          <w:rFonts w:ascii="Arial" w:cs="Arial" w:eastAsia="Arial" w:hAnsi="Arial"/>
          <w:sz w:val="14"/>
          <w:szCs w:val="14"/>
          <w:color w:val="auto"/>
        </w:rPr>
        <w:t>Act.</w:t>
      </w:r>
    </w:p>
    <w:p>
      <w:pPr>
        <w:sectPr>
          <w:pgSz w:w="11900" w:h="16838" w:orient="portrait"/>
          <w:cols w:equalWidth="0" w:num="1">
            <w:col w:w="11340"/>
          </w:cols>
          <w:pgMar w:left="320" w:top="1017" w:right="239" w:bottom="1440" w:gutter="0" w:footer="0" w:header="0"/>
        </w:sectPr>
      </w:pPr>
    </w:p>
    <w:p>
      <w:pPr>
        <w:spacing w:after="0" w:line="22" w:lineRule="exact"/>
        <w:rPr>
          <w:sz w:val="24"/>
          <w:szCs w:val="24"/>
          <w:color w:val="auto"/>
        </w:rPr>
      </w:pPr>
    </w:p>
    <w:p>
      <w:pPr>
        <w:ind w:left="198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0"/>
          <w:szCs w:val="10"/>
          <w:color w:val="auto"/>
        </w:rPr>
        <w:t>[ ]</w:t>
      </w:r>
    </w:p>
    <w:p>
      <w:pPr>
        <w:spacing w:after="0" w:line="69" w:lineRule="exact"/>
        <w:rPr>
          <w:sz w:val="24"/>
          <w:szCs w:val="24"/>
          <w:color w:val="auto"/>
        </w:rPr>
      </w:pPr>
    </w:p>
    <w:p>
      <w:pPr>
        <w:sectPr>
          <w:pgSz w:w="11900" w:h="16838" w:orient="portrait"/>
          <w:cols w:equalWidth="0" w:num="3">
            <w:col w:w="7020" w:space="720"/>
            <w:col w:w="1000" w:space="120"/>
            <w:col w:w="2480"/>
          </w:cols>
          <w:pgMar w:left="320" w:top="1017" w:right="239" w:bottom="1440" w:gutter="0" w:footer="0" w:header="0"/>
          <w:type w:val="continuous"/>
        </w:sectPr>
      </w:pPr>
    </w:p>
    <w:p>
      <w:pPr>
        <w:spacing w:after="0" w:line="12" w:lineRule="exact"/>
        <w:rPr>
          <w:sz w:val="24"/>
          <w:szCs w:val="24"/>
          <w:color w:val="auto"/>
        </w:rPr>
      </w:pPr>
    </w:p>
    <w:p>
      <w:pPr>
        <w:ind w:left="206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44" w:lineRule="exact"/>
        <w:rPr>
          <w:sz w:val="24"/>
          <w:szCs w:val="24"/>
          <w:color w:val="auto"/>
        </w:rPr>
      </w:pPr>
    </w:p>
    <w:p>
      <w:pPr>
        <w:sectPr>
          <w:pgSz w:w="11900" w:h="16838" w:orient="portrait"/>
          <w:cols w:equalWidth="0" w:num="2">
            <w:col w:w="6720" w:space="720"/>
            <w:col w:w="3900"/>
          </w:cols>
          <w:pgMar w:left="320" w:top="1017" w:right="239" w:bottom="1440" w:gutter="0" w:footer="0" w:header="0"/>
          <w:type w:val="continuous"/>
        </w:sectPr>
      </w:pPr>
    </w:p>
    <w:p>
      <w:pPr>
        <w:ind w:left="500" w:right="220"/>
        <w:spacing w:after="0" w:line="25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7"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4" w:lineRule="exact"/>
        <w:rPr>
          <w:sz w:val="24"/>
          <w:szCs w:val="24"/>
          <w:color w:val="auto"/>
        </w:rPr>
      </w:pPr>
    </w:p>
    <w:p>
      <w:pPr>
        <w:ind w:left="4540"/>
        <w:spacing w:after="0" w:line="161" w:lineRule="exact"/>
        <w:tabs>
          <w:tab w:leader="none" w:pos="596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$ 0.10 par value per share, outstanding as of November 1, 2024 was 65,264,310.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17"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7"/>
          <w:szCs w:val="17"/>
          <w:color w:val="auto"/>
        </w:rPr>
        <w:t>LIVERAMP HOLDINGS, INC. AND SUBSIDIARIES</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TABLE OF CONTENTS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REPORT ON FORM 10-Q</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September 30, 2024</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4"/>
          </w:tcPr>
          <w:p>
            <w:pPr>
              <w:ind w:left="200"/>
              <w:spacing w:after="0"/>
              <w:rPr>
                <w:sz w:val="20"/>
                <w:szCs w:val="20"/>
                <w:color w:val="auto"/>
              </w:rPr>
            </w:pPr>
            <w:r>
              <w:rPr>
                <w:rFonts w:ascii="Arial" w:cs="Arial" w:eastAsia="Arial" w:hAnsi="Arial"/>
                <w:sz w:val="17"/>
                <w:szCs w:val="17"/>
                <w:color w:val="auto"/>
              </w:rPr>
              <w:t>Page No.</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gridSpan w:val="9"/>
          </w:tcPr>
          <w:p>
            <w:pPr>
              <w:spacing w:after="0" w:line="187" w:lineRule="exact"/>
              <w:rPr>
                <w:sz w:val="20"/>
                <w:szCs w:val="20"/>
                <w:color w:val="auto"/>
              </w:rPr>
            </w:pPr>
            <w:r>
              <w:rPr>
                <w:rFonts w:ascii="Arial" w:cs="Arial" w:eastAsia="Arial" w:hAnsi="Arial"/>
                <w:sz w:val="17"/>
                <w:szCs w:val="17"/>
                <w:color w:val="0000FF"/>
              </w:rPr>
              <w:t>Forward-looking Statements</w:t>
            </w:r>
          </w:p>
        </w:tc>
        <w:tc>
          <w:tcPr>
            <w:tcW w:w="6440" w:type="dxa"/>
            <w:vAlign w:val="bottom"/>
            <w:gridSpan w:val="12"/>
          </w:tcPr>
          <w:p>
            <w:pPr>
              <w:spacing w:after="0"/>
              <w:rPr>
                <w:sz w:val="16"/>
                <w:szCs w:val="16"/>
                <w:color w:val="auto"/>
              </w:rPr>
            </w:pPr>
          </w:p>
        </w:tc>
        <w:tc>
          <w:tcPr>
            <w:tcW w:w="660" w:type="dxa"/>
            <w:vAlign w:val="bottom"/>
            <w:gridSpan w:val="3"/>
          </w:tcPr>
          <w:p>
            <w:pPr>
              <w:jc w:val="center"/>
              <w:ind w:left="393"/>
              <w:spacing w:after="0" w:line="187" w:lineRule="exact"/>
              <w:rPr>
                <w:sz w:val="20"/>
                <w:szCs w:val="20"/>
                <w:color w:val="auto"/>
              </w:rPr>
            </w:pPr>
            <w:r>
              <w:rPr>
                <w:rFonts w:ascii="Arial" w:cs="Arial" w:eastAsia="Arial" w:hAnsi="Arial"/>
                <w:sz w:val="17"/>
                <w:szCs w:val="17"/>
                <w:color w:val="0000FF"/>
              </w:rPr>
              <w:t>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Part I. Financial Information</w:t>
            </w:r>
          </w:p>
        </w:tc>
        <w:tc>
          <w:tcPr>
            <w:tcW w:w="786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Financial Statements</w:t>
            </w:r>
          </w:p>
        </w:tc>
        <w:tc>
          <w:tcPr>
            <w:tcW w:w="660" w:type="dxa"/>
            <w:vAlign w:val="bottom"/>
            <w:gridSpan w:val="3"/>
          </w:tcPr>
          <w:p>
            <w:pPr>
              <w:jc w:val="center"/>
              <w:ind w:left="39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40" w:type="dxa"/>
            <w:vAlign w:val="bottom"/>
            <w:gridSpan w:val="16"/>
          </w:tcPr>
          <w:p>
            <w:pPr>
              <w:spacing w:after="0"/>
              <w:rPr>
                <w:sz w:val="20"/>
                <w:szCs w:val="20"/>
                <w:color w:val="auto"/>
              </w:rPr>
            </w:pPr>
            <w:r>
              <w:rPr>
                <w:rFonts w:ascii="Arial" w:cs="Arial" w:eastAsia="Arial" w:hAnsi="Arial"/>
                <w:sz w:val="17"/>
                <w:szCs w:val="17"/>
                <w:color w:val="0000FF"/>
              </w:rPr>
              <w:t>Condensed Consolidated Balance Sheets as of September 30, 2024 (Unaudited) and March 31, 2024</w:t>
            </w:r>
          </w:p>
        </w:tc>
        <w:tc>
          <w:tcPr>
            <w:tcW w:w="760" w:type="dxa"/>
            <w:vAlign w:val="bottom"/>
            <w:gridSpan w:val="5"/>
          </w:tcPr>
          <w:p>
            <w:pPr>
              <w:spacing w:after="0"/>
              <w:rPr>
                <w:sz w:val="17"/>
                <w:szCs w:val="17"/>
                <w:color w:val="auto"/>
              </w:rPr>
            </w:pPr>
          </w:p>
        </w:tc>
        <w:tc>
          <w:tcPr>
            <w:tcW w:w="660" w:type="dxa"/>
            <w:vAlign w:val="bottom"/>
            <w:gridSpan w:val="3"/>
          </w:tcPr>
          <w:p>
            <w:pPr>
              <w:jc w:val="center"/>
              <w:ind w:left="39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Operations for the three and six months ended September 30, 2024</w:t>
            </w:r>
          </w:p>
        </w:tc>
        <w:tc>
          <w:tcPr>
            <w:tcW w:w="660" w:type="dxa"/>
            <w:vAlign w:val="bottom"/>
            <w:gridSpan w:val="3"/>
            <w:vMerge w:val="restart"/>
          </w:tcPr>
          <w:p>
            <w:pPr>
              <w:jc w:val="center"/>
              <w:ind w:left="393"/>
              <w:spacing w:after="0"/>
              <w:rPr>
                <w:sz w:val="20"/>
                <w:szCs w:val="20"/>
                <w:color w:val="auto"/>
              </w:rPr>
            </w:pPr>
            <w:r>
              <w:rPr>
                <w:rFonts w:ascii="Arial" w:cs="Arial" w:eastAsia="Arial" w:hAnsi="Arial"/>
                <w:sz w:val="17"/>
                <w:szCs w:val="17"/>
                <w:color w:val="0000FF"/>
              </w:rPr>
              <w:t>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340" w:type="dxa"/>
            <w:vAlign w:val="bottom"/>
            <w:tcBorders>
              <w:top w:val="single" w:sz="8" w:color="0000FF"/>
            </w:tcBorders>
            <w:gridSpan w:val="19"/>
          </w:tcPr>
          <w:p>
            <w:pPr>
              <w:spacing w:after="0" w:line="138" w:lineRule="exact"/>
              <w:rPr>
                <w:sz w:val="20"/>
                <w:szCs w:val="20"/>
                <w:color w:val="auto"/>
              </w:rPr>
            </w:pPr>
            <w:r>
              <w:rPr>
                <w:rFonts w:ascii="Arial" w:cs="Arial" w:eastAsia="Arial" w:hAnsi="Arial"/>
                <w:sz w:val="15"/>
                <w:szCs w:val="15"/>
                <w:color w:val="0000FF"/>
              </w:rPr>
              <w:t>and 2023 (Unaudited)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Comprehensive Income (Loss) for the three and six months ended</w:t>
            </w:r>
          </w:p>
        </w:tc>
        <w:tc>
          <w:tcPr>
            <w:tcW w:w="660" w:type="dxa"/>
            <w:vAlign w:val="bottom"/>
            <w:gridSpan w:val="3"/>
            <w:vMerge w:val="restart"/>
          </w:tcPr>
          <w:p>
            <w:pPr>
              <w:jc w:val="center"/>
              <w:ind w:left="393"/>
              <w:spacing w:after="0"/>
              <w:rPr>
                <w:sz w:val="20"/>
                <w:szCs w:val="20"/>
                <w:color w:val="auto"/>
              </w:rPr>
            </w:pPr>
            <w:r>
              <w:rPr>
                <w:rFonts w:ascii="Arial" w:cs="Arial" w:eastAsia="Arial" w:hAnsi="Arial"/>
                <w:sz w:val="17"/>
                <w:szCs w:val="17"/>
                <w:color w:val="0000FF"/>
              </w:rPr>
              <w:t>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11"/>
          </w:tcPr>
          <w:p>
            <w:pPr>
              <w:spacing w:after="0" w:line="138" w:lineRule="exact"/>
              <w:rPr>
                <w:sz w:val="20"/>
                <w:szCs w:val="20"/>
                <w:color w:val="auto"/>
              </w:rPr>
            </w:pPr>
            <w:r>
              <w:rPr>
                <w:rFonts w:ascii="Arial" w:cs="Arial" w:eastAsia="Arial" w:hAnsi="Arial"/>
                <w:sz w:val="15"/>
                <w:szCs w:val="15"/>
                <w:color w:val="0000FF"/>
              </w:rPr>
              <w:t>September 30, 2024 and 2023 (Unaudited)</w:t>
            </w:r>
          </w:p>
        </w:tc>
        <w:tc>
          <w:tcPr>
            <w:tcW w:w="4940" w:type="dxa"/>
            <w:vAlign w:val="bottom"/>
            <w:tcBorders>
              <w:top w:val="single" w:sz="8" w:color="0000FF"/>
            </w:tcBorders>
            <w:gridSpan w:val="7"/>
          </w:tcPr>
          <w:p>
            <w:pPr>
              <w:spacing w:after="0"/>
              <w:rPr>
                <w:sz w:val="13"/>
                <w:szCs w:val="13"/>
                <w:color w:val="auto"/>
              </w:rPr>
            </w:pPr>
          </w:p>
        </w:tc>
        <w:tc>
          <w:tcPr>
            <w:tcW w:w="1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0" w:type="dxa"/>
            <w:vAlign w:val="bottom"/>
            <w:gridSpan w:val="21"/>
            <w:vMerge w:val="restart"/>
          </w:tcPr>
          <w:p>
            <w:pPr>
              <w:spacing w:after="0"/>
              <w:rPr>
                <w:sz w:val="20"/>
                <w:szCs w:val="20"/>
                <w:color w:val="auto"/>
              </w:rPr>
            </w:pPr>
            <w:r>
              <w:rPr>
                <w:rFonts w:ascii="Arial" w:cs="Arial" w:eastAsia="Arial" w:hAnsi="Arial"/>
                <w:sz w:val="17"/>
                <w:szCs w:val="17"/>
                <w:color w:val="0000FF"/>
              </w:rPr>
              <w:t>Condensed Consolidated Statements of Equity for the three and six months ended September 30, 2024</w:t>
            </w: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vMerge w:val="continue"/>
          </w:tcPr>
          <w:p>
            <w:pPr>
              <w:spacing w:after="0"/>
              <w:rPr>
                <w:sz w:val="17"/>
                <w:szCs w:val="17"/>
                <w:color w:val="auto"/>
              </w:rPr>
            </w:pPr>
          </w:p>
        </w:tc>
        <w:tc>
          <w:tcPr>
            <w:tcW w:w="660" w:type="dxa"/>
            <w:vAlign w:val="bottom"/>
            <w:gridSpan w:val="3"/>
            <w:vMerge w:val="restart"/>
          </w:tcPr>
          <w:p>
            <w:pPr>
              <w:jc w:val="center"/>
              <w:ind w:left="393"/>
              <w:spacing w:after="0"/>
              <w:rPr>
                <w:sz w:val="20"/>
                <w:szCs w:val="20"/>
                <w:color w:val="auto"/>
              </w:rPr>
            </w:pPr>
            <w:r>
              <w:rPr>
                <w:rFonts w:ascii="Arial" w:cs="Arial" w:eastAsia="Arial" w:hAnsi="Arial"/>
                <w:sz w:val="17"/>
                <w:szCs w:val="17"/>
                <w:color w:val="0000FF"/>
              </w:rPr>
              <w:t>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38" w:lineRule="exact"/>
              <w:rPr>
                <w:sz w:val="20"/>
                <w:szCs w:val="20"/>
                <w:color w:val="auto"/>
              </w:rPr>
            </w:pPr>
            <w:r>
              <w:rPr>
                <w:rFonts w:ascii="Arial" w:cs="Arial" w:eastAsia="Arial" w:hAnsi="Arial"/>
                <w:sz w:val="15"/>
                <w:szCs w:val="15"/>
                <w:color w:val="0000FF"/>
              </w:rPr>
              <w:t>(Unaudited)</w:t>
            </w: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gridSpan w:val="2"/>
          </w:tcPr>
          <w:p>
            <w:pPr>
              <w:spacing w:after="0"/>
              <w:rPr>
                <w:sz w:val="13"/>
                <w:szCs w:val="13"/>
                <w:color w:val="auto"/>
              </w:rPr>
            </w:pPr>
          </w:p>
        </w:tc>
        <w:tc>
          <w:tcPr>
            <w:tcW w:w="600" w:type="dxa"/>
            <w:vAlign w:val="bottom"/>
            <w:tcBorders>
              <w:top w:val="single" w:sz="8" w:color="0000FF"/>
            </w:tcBorders>
            <w:gridSpan w:val="2"/>
          </w:tcPr>
          <w:p>
            <w:pPr>
              <w:spacing w:after="0"/>
              <w:rPr>
                <w:sz w:val="13"/>
                <w:szCs w:val="13"/>
                <w:color w:val="auto"/>
              </w:rPr>
            </w:pPr>
          </w:p>
        </w:tc>
        <w:tc>
          <w:tcPr>
            <w:tcW w:w="188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2"/>
          </w:tcPr>
          <w:p>
            <w:pPr>
              <w:spacing w:after="0"/>
              <w:rPr>
                <w:sz w:val="13"/>
                <w:szCs w:val="13"/>
                <w:color w:val="auto"/>
              </w:rPr>
            </w:pPr>
          </w:p>
        </w:tc>
        <w:tc>
          <w:tcPr>
            <w:tcW w:w="42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0" w:type="dxa"/>
            <w:vAlign w:val="bottom"/>
            <w:gridSpan w:val="21"/>
            <w:vMerge w:val="restart"/>
          </w:tcPr>
          <w:p>
            <w:pPr>
              <w:spacing w:after="0"/>
              <w:rPr>
                <w:sz w:val="20"/>
                <w:szCs w:val="20"/>
                <w:color w:val="auto"/>
              </w:rPr>
            </w:pPr>
            <w:r>
              <w:rPr>
                <w:rFonts w:ascii="Arial" w:cs="Arial" w:eastAsia="Arial" w:hAnsi="Arial"/>
                <w:sz w:val="17"/>
                <w:szCs w:val="17"/>
                <w:color w:val="0000FF"/>
              </w:rPr>
              <w:t>Condensed Consolidated Statements of Equity for the three and six months ended September 30, 2023</w:t>
            </w: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vMerge w:val="continue"/>
          </w:tcPr>
          <w:p>
            <w:pPr>
              <w:spacing w:after="0"/>
              <w:rPr>
                <w:sz w:val="17"/>
                <w:szCs w:val="17"/>
                <w:color w:val="auto"/>
              </w:rPr>
            </w:pPr>
          </w:p>
        </w:tc>
        <w:tc>
          <w:tcPr>
            <w:tcW w:w="940" w:type="dxa"/>
            <w:vAlign w:val="bottom"/>
            <w:gridSpan w:val="4"/>
            <w:vMerge w:val="restart"/>
          </w:tcPr>
          <w:p>
            <w:pPr>
              <w:jc w:val="center"/>
              <w:ind w:left="93"/>
              <w:spacing w:after="0"/>
              <w:rPr>
                <w:sz w:val="20"/>
                <w:szCs w:val="20"/>
                <w:color w:val="auto"/>
              </w:rPr>
            </w:pPr>
            <w:r>
              <w:rPr>
                <w:rFonts w:ascii="Arial" w:cs="Arial" w:eastAsia="Arial" w:hAnsi="Arial"/>
                <w:sz w:val="17"/>
                <w:szCs w:val="17"/>
                <w:color w:val="0000FF"/>
              </w:rPr>
              <w:t>10</w:t>
            </w: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980" w:type="dxa"/>
            <w:vAlign w:val="bottom"/>
            <w:tcBorders>
              <w:top w:val="single" w:sz="8" w:color="0000FF"/>
            </w:tcBorders>
            <w:gridSpan w:val="17"/>
          </w:tcPr>
          <w:p>
            <w:pPr>
              <w:spacing w:after="0" w:line="138" w:lineRule="exact"/>
              <w:rPr>
                <w:sz w:val="20"/>
                <w:szCs w:val="20"/>
                <w:color w:val="auto"/>
              </w:rPr>
            </w:pPr>
            <w:r>
              <w:rPr>
                <w:rFonts w:ascii="Arial" w:cs="Arial" w:eastAsia="Arial" w:hAnsi="Arial"/>
                <w:sz w:val="15"/>
                <w:szCs w:val="15"/>
                <w:color w:val="0000FF"/>
              </w:rPr>
              <w:t>(Unaudited)</w:t>
            </w:r>
          </w:p>
        </w:tc>
        <w:tc>
          <w:tcPr>
            <w:tcW w:w="42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Cash Flows for the six months ended September 30, 2024 and 2023</w:t>
            </w:r>
          </w:p>
        </w:tc>
        <w:tc>
          <w:tcPr>
            <w:tcW w:w="660" w:type="dxa"/>
            <w:vAlign w:val="bottom"/>
            <w:gridSpan w:val="3"/>
            <w:vMerge w:val="restart"/>
          </w:tcPr>
          <w:p>
            <w:pPr>
              <w:jc w:val="center"/>
              <w:ind w:left="393"/>
              <w:spacing w:after="0"/>
              <w:rPr>
                <w:sz w:val="20"/>
                <w:szCs w:val="20"/>
                <w:color w:val="auto"/>
              </w:rPr>
            </w:pPr>
            <w:r>
              <w:rPr>
                <w:rFonts w:ascii="Arial" w:cs="Arial" w:eastAsia="Arial" w:hAnsi="Arial"/>
                <w:sz w:val="17"/>
                <w:szCs w:val="17"/>
                <w:color w:val="0000FF"/>
                <w:w w:val="94"/>
              </w:rPr>
              <w:t>11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38" w:lineRule="exact"/>
              <w:rPr>
                <w:sz w:val="20"/>
                <w:szCs w:val="20"/>
                <w:color w:val="auto"/>
              </w:rPr>
            </w:pPr>
            <w:r>
              <w:rPr>
                <w:rFonts w:ascii="Arial" w:cs="Arial" w:eastAsia="Arial" w:hAnsi="Arial"/>
                <w:sz w:val="15"/>
                <w:szCs w:val="15"/>
                <w:color w:val="0000FF"/>
              </w:rPr>
              <w:t>(Unaudited)</w:t>
            </w:r>
          </w:p>
        </w:tc>
        <w:tc>
          <w:tcPr>
            <w:tcW w:w="7460" w:type="dxa"/>
            <w:vAlign w:val="bottom"/>
            <w:tcBorders>
              <w:top w:val="single" w:sz="8" w:color="0000FF"/>
            </w:tcBorders>
            <w:gridSpan w:val="16"/>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60" w:type="dxa"/>
            <w:vAlign w:val="bottom"/>
            <w:gridSpan w:val="3"/>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760" w:type="dxa"/>
            <w:vAlign w:val="bottom"/>
            <w:gridSpan w:val="6"/>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42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Part II. Other Information</w:t>
            </w:r>
          </w:p>
        </w:tc>
        <w:tc>
          <w:tcPr>
            <w:tcW w:w="8020" w:type="dxa"/>
            <w:vAlign w:val="bottom"/>
            <w:gridSpan w:val="20"/>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Legal Proceedings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0000FF"/>
              </w:rPr>
              <w:t>Item 1A.</w:t>
            </w: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Defaults Upon Senior Securities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Mine Safety Disclosures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5.</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260" w:type="dxa"/>
            <w:vAlign w:val="bottom"/>
            <w:gridSpan w:val="16"/>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6.</w:t>
            </w:r>
          </w:p>
        </w:tc>
        <w:tc>
          <w:tcPr>
            <w:tcW w:w="700" w:type="dxa"/>
            <w:vAlign w:val="bottom"/>
            <w:gridSpan w:val="2"/>
          </w:tcPr>
          <w:p>
            <w:pPr>
              <w:spacing w:after="0"/>
              <w:rPr>
                <w:sz w:val="17"/>
                <w:szCs w:val="17"/>
                <w:color w:val="auto"/>
              </w:rPr>
            </w:pPr>
          </w:p>
        </w:tc>
        <w:tc>
          <w:tcPr>
            <w:tcW w:w="8600" w:type="dxa"/>
            <w:vAlign w:val="bottom"/>
            <w:gridSpan w:val="21"/>
          </w:tcPr>
          <w:p>
            <w:pPr>
              <w:spacing w:after="0"/>
              <w:rPr>
                <w:sz w:val="20"/>
                <w:szCs w:val="20"/>
                <w:color w:val="auto"/>
              </w:rPr>
            </w:pPr>
            <w:r>
              <w:rPr>
                <w:rFonts w:ascii="Arial" w:cs="Arial" w:eastAsia="Arial" w:hAnsi="Arial"/>
                <w:sz w:val="17"/>
                <w:szCs w:val="17"/>
                <w:color w:val="0000FF"/>
              </w:rPr>
              <w:t>Exhibits</w:t>
            </w:r>
          </w:p>
        </w:tc>
        <w:tc>
          <w:tcPr>
            <w:tcW w:w="940" w:type="dxa"/>
            <w:vAlign w:val="bottom"/>
            <w:gridSpan w:val="4"/>
          </w:tcPr>
          <w:p>
            <w:pPr>
              <w:jc w:val="center"/>
              <w:ind w:left="93"/>
              <w:spacing w:after="0"/>
              <w:rPr>
                <w:sz w:val="20"/>
                <w:szCs w:val="20"/>
                <w:color w:val="auto"/>
              </w:rPr>
            </w:pPr>
            <w:r>
              <w:rPr>
                <w:rFonts w:ascii="Arial" w:cs="Arial" w:eastAsia="Arial" w:hAnsi="Arial"/>
                <w:sz w:val="17"/>
                <w:szCs w:val="17"/>
                <w:color w:val="0000FF"/>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rPr>
              <w:t>Signature</w:t>
            </w:r>
          </w:p>
        </w:tc>
        <w:tc>
          <w:tcPr>
            <w:tcW w:w="7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49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40" w:top="909" w:right="5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This Quarterly Report on Form 10-Q,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 may include but are not limited to the following:</w:t>
      </w:r>
    </w:p>
    <w:p>
      <w:pPr>
        <w:spacing w:after="0" w:line="224" w:lineRule="exact"/>
        <w:rPr>
          <w:sz w:val="20"/>
          <w:szCs w:val="20"/>
          <w:color w:val="auto"/>
        </w:rPr>
      </w:pPr>
    </w:p>
    <w:p>
      <w:pPr>
        <w:ind w:left="640" w:right="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management’s expectations about the macro economy and trends within the consumer or business information industries, including the use of data and consumer expectations related thereto;</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competitive position within our industry and our differentiation strategies;</w:t>
      </w:r>
    </w:p>
    <w:p>
      <w:pPr>
        <w:spacing w:after="0" w:line="250" w:lineRule="exact"/>
        <w:rPr>
          <w:rFonts w:ascii="Arial" w:cs="Arial" w:eastAsia="Arial" w:hAnsi="Arial"/>
          <w:sz w:val="17"/>
          <w:szCs w:val="17"/>
          <w:color w:val="auto"/>
        </w:rPr>
      </w:pPr>
    </w:p>
    <w:p>
      <w:pPr>
        <w:ind w:left="640" w:right="26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laws, regulations and industry practices governing the collection and use of personal data;</w:t>
      </w:r>
    </w:p>
    <w:p>
      <w:pPr>
        <w:spacing w:after="0" w:line="166"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impact of public health crises, similar to the COVID-19 pandemic, on our business, operations, and the markets in which we and our partners and customers operate;</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tax-related legislation on our tax position;</w:t>
      </w:r>
    </w:p>
    <w:p>
      <w:pPr>
        <w:spacing w:after="0" w:line="250"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assumptions, projections and/or expectations regarding the Company's annualized future cost savings and expenses associated with our global workforce strategy and real estate footprint reduction;</w:t>
      </w:r>
    </w:p>
    <w:p>
      <w:pPr>
        <w:spacing w:after="0" w:line="166"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liquidity needs or containing a projection of revenues, operating income (loss), income (loss), earnings (loss) per share, capital expenditures, research and development spending, dividends, capital structure, or other financial items;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the plans and objectives of management for future operations;</w:t>
      </w:r>
    </w:p>
    <w:p>
      <w:pPr>
        <w:spacing w:after="0" w:line="171" w:lineRule="exact"/>
        <w:rPr>
          <w:rFonts w:ascii="Arial" w:cs="Arial" w:eastAsia="Arial" w:hAnsi="Arial"/>
          <w:sz w:val="17"/>
          <w:szCs w:val="17"/>
          <w:color w:val="auto"/>
        </w:rPr>
      </w:pPr>
    </w:p>
    <w:p>
      <w:pPr>
        <w:ind w:left="640" w:right="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future performance, including, but not limited to, those statements contained in Management’s Discussion and Analysis of Financial Condition and Results of Operations contained in this Quarterly Report on Form 10-Q;</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future stock-based compensation expense;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any assumptions underlying or relating to any of the above statements;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 projection or estimate.</w:t>
      </w:r>
    </w:p>
    <w:p>
      <w:pPr>
        <w:spacing w:after="0" w:line="172"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Among the factors that may cause actual results and expectations to differ from anticipated results and expectations expressed in such forward-looking statements are the following:</w:t>
      </w:r>
    </w:p>
    <w:p>
      <w:pPr>
        <w:spacing w:after="0" w:line="141" w:lineRule="exact"/>
        <w:rPr>
          <w:sz w:val="20"/>
          <w:szCs w:val="20"/>
          <w:color w:val="auto"/>
        </w:rPr>
      </w:pPr>
    </w:p>
    <w:p>
      <w:pPr>
        <w:ind w:left="640" w:hanging="320"/>
        <w:spacing w:after="0" w:line="271"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described in Part I, “Item 1A. Risk Factors” included in the Company's Annual Report on Form 10-K for the fiscal year ended March 31, 2024 filed with the Securities and Exchange Commission ("SEC") on May 22, 2024 and in Part I,“Item 2.Management’s Discussion and Analysis of Financial Condition and Results of Operations” and Part II,“Item 1A.Risk Factors” of this Quarterly Report on Form 10-Q and those described from time to time in our future reports filed with the SEC;</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907" w:right="419" w:bottom="1440" w:gutter="0" w:footer="0" w:header="0"/>
        </w:sectPr>
      </w:pPr>
    </w:p>
    <w:bookmarkStart w:id="3" w:name="page4"/>
    <w:bookmarkEnd w:id="3"/>
    <w:p>
      <w:pPr>
        <w:ind w:left="320" w:right="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in the event a change of control of the Company is sought, certain customers may attempt to invoke provisions in their contracts allowing for termination upon a change in control, which may result in a decline in revenue and profit;</w:t>
      </w:r>
    </w:p>
    <w:p>
      <w:pPr>
        <w:spacing w:after="0" w:line="88" w:lineRule="exact"/>
        <w:rPr>
          <w:rFonts w:ascii="Arial" w:cs="Arial" w:eastAsia="Arial" w:hAnsi="Arial"/>
          <w:sz w:val="17"/>
          <w:szCs w:val="17"/>
          <w:color w:val="auto"/>
        </w:rPr>
      </w:pPr>
    </w:p>
    <w:p>
      <w:pPr>
        <w:ind w:left="320" w:right="4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fully realize the potential benefits of acquired businesses (including Habu) or the integration of such acquired businesses may not be as successful as planned;</w:t>
      </w:r>
    </w:p>
    <w:p>
      <w:pPr>
        <w:spacing w:after="0" w:line="88" w:lineRule="exact"/>
        <w:rPr>
          <w:rFonts w:ascii="Arial" w:cs="Arial" w:eastAsia="Arial" w:hAnsi="Arial"/>
          <w:sz w:val="17"/>
          <w:szCs w:val="17"/>
          <w:color w:val="auto"/>
        </w:rPr>
      </w:pPr>
    </w:p>
    <w:p>
      <w:pPr>
        <w:ind w:left="320" w:right="4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fair value of certain of our assets may not be equal to the carrying value of those assets now or in future time periods;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sales cycles may lengthen;</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properly motivate our sales force or other employees;</w:t>
      </w:r>
    </w:p>
    <w:p>
      <w:pPr>
        <w:spacing w:after="0" w:line="171" w:lineRule="exact"/>
        <w:rPr>
          <w:rFonts w:ascii="Arial" w:cs="Arial" w:eastAsia="Arial" w:hAnsi="Arial"/>
          <w:sz w:val="17"/>
          <w:szCs w:val="17"/>
          <w:color w:val="auto"/>
        </w:rPr>
      </w:pPr>
    </w:p>
    <w:p>
      <w:pPr>
        <w:ind w:left="320" w:right="6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attract and retain qualified technical and leadership employees, or that we may lose key employees to other organizations;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global workforce strategy could encounter difficulty and not be as beneficial as planned;</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sublease our exited office spaces on favorable terms and rates;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competent, competitive products, technologies or services will be introduced into the marketplace by other companies;</w:t>
      </w:r>
    </w:p>
    <w:p>
      <w:pPr>
        <w:spacing w:after="0" w:line="171" w:lineRule="exact"/>
        <w:rPr>
          <w:rFonts w:ascii="Arial" w:cs="Arial" w:eastAsia="Arial" w:hAnsi="Arial"/>
          <w:sz w:val="17"/>
          <w:szCs w:val="17"/>
          <w:color w:val="auto"/>
        </w:rPr>
      </w:pPr>
    </w:p>
    <w:p>
      <w:pPr>
        <w:ind w:left="3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keep up with rapidly changing technology practices in our products and services or that expected benefits from utilization of technological innovations may not be realized as soon as expected or at all;</w:t>
      </w:r>
    </w:p>
    <w:p>
      <w:pPr>
        <w:spacing w:after="0" w:line="88" w:lineRule="exact"/>
        <w:rPr>
          <w:rFonts w:ascii="Arial" w:cs="Arial" w:eastAsia="Arial" w:hAnsi="Arial"/>
          <w:sz w:val="17"/>
          <w:szCs w:val="17"/>
          <w:color w:val="auto"/>
        </w:rPr>
      </w:pPr>
    </w:p>
    <w:p>
      <w:pPr>
        <w:ind w:left="320" w:right="8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changes in consumer or business information industries and markets that negatively impact the Company;</w:t>
      </w:r>
    </w:p>
    <w:p>
      <w:pPr>
        <w:spacing w:after="0" w:line="88" w:lineRule="exact"/>
        <w:rPr>
          <w:rFonts w:ascii="Arial" w:cs="Arial" w:eastAsia="Arial" w:hAnsi="Arial"/>
          <w:sz w:val="17"/>
          <w:szCs w:val="17"/>
          <w:color w:val="auto"/>
        </w:rPr>
      </w:pPr>
    </w:p>
    <w:p>
      <w:pPr>
        <w:ind w:left="320" w:right="1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protect proprietary information and technology or to obtain necessary licenses on commercially reasonable terms;</w:t>
      </w:r>
    </w:p>
    <w:p>
      <w:pPr>
        <w:spacing w:after="0" w:line="88" w:lineRule="exact"/>
        <w:rPr>
          <w:rFonts w:ascii="Arial" w:cs="Arial" w:eastAsia="Arial" w:hAnsi="Arial"/>
          <w:sz w:val="17"/>
          <w:szCs w:val="17"/>
          <w:color w:val="auto"/>
        </w:rPr>
      </w:pPr>
    </w:p>
    <w:p>
      <w:pPr>
        <w:ind w:left="320" w:right="80" w:hanging="320"/>
        <w:spacing w:after="0" w:line="271"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w:t>
      </w:r>
    </w:p>
    <w:p>
      <w:pPr>
        <w:spacing w:after="0" w:line="113" w:lineRule="exact"/>
        <w:rPr>
          <w:rFonts w:ascii="Arial" w:cs="Arial" w:eastAsia="Arial" w:hAnsi="Arial"/>
          <w:sz w:val="17"/>
          <w:szCs w:val="17"/>
          <w:color w:val="auto"/>
        </w:rPr>
      </w:pPr>
    </w:p>
    <w:p>
      <w:pPr>
        <w:ind w:left="320" w:right="70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suppliers might withdraw data from us, leading to our inability to provide certain products and services, in particular that there might be restrictive legislation in the U.S. and other countries that restricts the availability of data;</w:t>
      </w:r>
    </w:p>
    <w:p>
      <w:pPr>
        <w:spacing w:after="0" w:line="88"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purchasers will reduce their reliance on us by developing and using their own, or alternative, sources of data generally or with respect to certain data elements or categories;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enter into short-term contracts that would affect the predictability of our revenues;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amount of volume-based and other transactional-based work will not be as expected;</w:t>
      </w:r>
    </w:p>
    <w:p>
      <w:pPr>
        <w:spacing w:after="0" w:line="171"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a loss of data center capacity or capability or interruption of telecommunication links or power sources;</w:t>
      </w:r>
    </w:p>
    <w:p>
      <w:pPr>
        <w:spacing w:after="0" w:line="88" w:lineRule="exact"/>
        <w:rPr>
          <w:rFonts w:ascii="Arial" w:cs="Arial" w:eastAsia="Arial" w:hAnsi="Arial"/>
          <w:sz w:val="17"/>
          <w:szCs w:val="17"/>
          <w:color w:val="auto"/>
        </w:rPr>
      </w:pPr>
    </w:p>
    <w:p>
      <w:pPr>
        <w:ind w:left="320" w:right="6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failures or breaches of our network and data security systems, leading to potential adverse publicity, negative customer reaction, or liability to third parties;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customers may cancel or modify their agreements with us, or may not make timely or complete payments;</w:t>
      </w: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73660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067" w:right="339" w:bottom="1440" w:gutter="0" w:footer="0" w:header="0"/>
        </w:sectPr>
      </w:pPr>
    </w:p>
    <w:bookmarkStart w:id="4" w:name="page5"/>
    <w:bookmarkEnd w:id="4"/>
    <w:p>
      <w:pPr>
        <w:ind w:left="640" w:right="32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we will not successfully meet customer contract requirements or the service levels specified in the contracts, which may result in contract penalties or lost revenue;</w:t>
      </w:r>
    </w:p>
    <w:p>
      <w:pPr>
        <w:spacing w:after="0" w:line="88" w:lineRule="exact"/>
        <w:rPr>
          <w:rFonts w:ascii="Arial" w:cs="Arial" w:eastAsia="Arial" w:hAnsi="Arial"/>
          <w:sz w:val="17"/>
          <w:szCs w:val="17"/>
          <w:color w:val="auto"/>
        </w:rPr>
      </w:pPr>
    </w:p>
    <w:p>
      <w:pPr>
        <w:ind w:left="640" w:right="74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we experience processing errors that result in credits to customers, re-performance of services or payment of damages to customers;</w:t>
      </w:r>
    </w:p>
    <w:p>
      <w:pPr>
        <w:spacing w:after="0" w:line="88" w:lineRule="exact"/>
        <w:rPr>
          <w:rFonts w:ascii="Arial" w:cs="Arial" w:eastAsia="Arial" w:hAnsi="Arial"/>
          <w:sz w:val="17"/>
          <w:szCs w:val="17"/>
          <w:color w:val="auto"/>
        </w:rPr>
      </w:pPr>
    </w:p>
    <w:p>
      <w:pPr>
        <w:ind w:left="640" w:right="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spacing w:after="0" w:line="107" w:lineRule="exact"/>
        <w:rPr>
          <w:rFonts w:ascii="Arial" w:cs="Arial" w:eastAsia="Arial" w:hAnsi="Arial"/>
          <w:sz w:val="17"/>
          <w:szCs w:val="17"/>
          <w:color w:val="auto"/>
        </w:rPr>
      </w:pPr>
    </w:p>
    <w:p>
      <w:pPr>
        <w:jc w:val="both"/>
        <w:ind w:left="640" w:right="16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and global negative conditions, risk of recession, high interest rates, the military conflicts in Europe and the Middle East, capital markets volatility, bank failures, government shutdowns, cost increases and general inflationary pressure and other related causes; and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tax rate and other effects of the changes to U.S. federal tax law.</w:t>
      </w:r>
    </w:p>
    <w:p>
      <w:pPr>
        <w:spacing w:after="0" w:line="25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spacing w:after="0" w:line="3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light of these risks, uncertainties and assumptions, the Company cautions readers not to place undue reliance on any forward-looking statements. Forward-looking statements and such risks, uncertainties and assumptions speak only as of the date of this Quarterly Report on Form 10-Q,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PART I. FINANCIAL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LIVERAMP HOLDINGS, INC. AND SUBSIDIARIES</w:t>
      </w: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thousands)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1340" w:type="dxa"/>
            <w:vAlign w:val="bottom"/>
            <w:vMerge w:val="restart"/>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ASSETS</w:t>
            </w:r>
          </w:p>
        </w:tc>
        <w:tc>
          <w:tcPr>
            <w:tcW w:w="3840" w:type="dxa"/>
            <w:vAlign w:val="bottom"/>
            <w:gridSpan w:val="2"/>
            <w:vMerge w:val="restart"/>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w w:val="99"/>
              </w:rPr>
              <w:t>(unaudited)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338,946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336,867</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9,494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32,045</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Trade accounts receivable,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192,067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190,313</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Refundable income taxes, net</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4,195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34,787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31,682</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582,120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602,032</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Property and equipment, net of accumulated depreciation and amortization</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7,374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8,181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501,924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501,756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commissions,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43,456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48,143</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Other assets, net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36,748</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1,194,888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1,231,443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3320" w:type="dxa"/>
            <w:vAlign w:val="bottom"/>
            <w:tcBorders>
              <w:top w:val="single" w:sz="8" w:color="CCEEFF"/>
              <w:bottom w:val="single" w:sz="8" w:color="CCEEFF"/>
            </w:tcBorders>
            <w:gridSpan w:val="3"/>
            <w:vMerge w:val="restart"/>
          </w:tcPr>
          <w:p>
            <w:pPr>
              <w:jc w:val="center"/>
              <w:spacing w:after="0" w:line="158" w:lineRule="exact"/>
              <w:rPr>
                <w:sz w:val="20"/>
                <w:szCs w:val="20"/>
                <w:color w:val="auto"/>
              </w:rPr>
            </w:pPr>
            <w:r>
              <w:rPr>
                <w:rFonts w:ascii="Arial" w:cs="Arial" w:eastAsia="Arial" w:hAnsi="Arial"/>
                <w:sz w:val="16"/>
                <w:szCs w:val="16"/>
                <w:b w:val="1"/>
                <w:bCs w:val="1"/>
                <w:color w:val="auto"/>
                <w:w w:val="98"/>
              </w:rPr>
              <w:t>LIABILITIES AND STOCKHOLDERS' EQUITY</w:t>
            </w:r>
          </w:p>
        </w:tc>
        <w:tc>
          <w:tcPr>
            <w:tcW w:w="25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vMerge w:val="continue"/>
          </w:tcPr>
          <w:p>
            <w:pPr>
              <w:spacing w:after="0"/>
              <w:rPr>
                <w:sz w:val="11"/>
                <w:szCs w:val="11"/>
                <w:color w:val="auto"/>
              </w:rPr>
            </w:pPr>
          </w:p>
        </w:tc>
        <w:tc>
          <w:tcPr>
            <w:tcW w:w="3320" w:type="dxa"/>
            <w:vAlign w:val="bottom"/>
            <w:tcBorders>
              <w:bottom w:val="single" w:sz="8" w:color="auto"/>
            </w:tcBorders>
            <w:gridSpan w:val="3"/>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Trade 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91,457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81,202</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Accrued payroll and related 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27,340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61,575</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Other accrued expenses</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44,515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42,857</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36,156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199,468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216,576</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63,363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65,732</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Commitments and contingencies (Note 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Preferred stock</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15,594</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1,994,541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1,933,776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1,308,415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1,314,172</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5,083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3,964</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Treasury stock, at cost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(2,391,764)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(2,318,371)</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932,057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949,135</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1,194,888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1,231,443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CONDENSED CONSOLIDATED STATEMENTS OF OPERATIONS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(Dollars in thousands, except per share amounts)</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62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For the six months ended</w:t>
            </w:r>
          </w:p>
        </w:tc>
      </w:tr>
      <w:tr>
        <w:trPr>
          <w:trHeight w:val="197"/>
        </w:trPr>
        <w:tc>
          <w:tcPr>
            <w:tcW w:w="4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0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185,483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361,444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313,940</w:t>
            </w:r>
          </w:p>
        </w:tc>
      </w:tr>
      <w:tr>
        <w:trPr>
          <w:trHeight w:val="20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51,234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102,983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86,833</w:t>
            </w:r>
          </w:p>
        </w:tc>
      </w:tr>
      <w:tr>
        <w:trPr>
          <w:trHeight w:val="204"/>
        </w:trPr>
        <w:tc>
          <w:tcPr>
            <w:tcW w:w="4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134,249</w:t>
            </w: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118,659</w:t>
            </w: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258,461</w:t>
            </w: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227,107</w:t>
            </w:r>
          </w:p>
        </w:tc>
      </w:tr>
      <w:tr>
        <w:trPr>
          <w:trHeight w:val="189"/>
        </w:trPr>
        <w:tc>
          <w:tcPr>
            <w:tcW w:w="4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1"/>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43,889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68,252</w:t>
            </w:r>
          </w:p>
        </w:tc>
      </w:tr>
      <w:tr>
        <w:trPr>
          <w:trHeight w:val="209"/>
        </w:trPr>
        <w:tc>
          <w:tcPr>
            <w:tcW w:w="492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51,107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105,282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89,014</w:t>
            </w:r>
          </w:p>
        </w:tc>
      </w:tr>
      <w:tr>
        <w:trPr>
          <w:trHeight w:val="211"/>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52,673</w:t>
            </w:r>
          </w:p>
        </w:tc>
      </w:tr>
      <w:tr>
        <w:trPr>
          <w:trHeight w:val="209"/>
        </w:trPr>
        <w:tc>
          <w:tcPr>
            <w:tcW w:w="4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Gains, losses and other items, net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6,690</w:t>
            </w:r>
          </w:p>
        </w:tc>
      </w:tr>
      <w:tr>
        <w:trPr>
          <w:trHeight w:val="204"/>
        </w:trPr>
        <w:tc>
          <w:tcPr>
            <w:tcW w:w="4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126,762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110,451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256,222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216,629</w:t>
            </w:r>
          </w:p>
        </w:tc>
      </w:tr>
      <w:tr>
        <w:trPr>
          <w:trHeight w:val="202"/>
        </w:trPr>
        <w:tc>
          <w:tcPr>
            <w:tcW w:w="4920" w:type="dxa"/>
            <w:vAlign w:val="bottom"/>
          </w:tcPr>
          <w:p>
            <w:pPr>
              <w:ind w:left="5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2,239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10,478</w:t>
            </w: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11,280</w:t>
            </w:r>
          </w:p>
        </w:tc>
      </w:tr>
      <w:tr>
        <w:trPr>
          <w:trHeight w:val="202"/>
        </w:trPr>
        <w:tc>
          <w:tcPr>
            <w:tcW w:w="4920" w:type="dxa"/>
            <w:vAlign w:val="bottom"/>
          </w:tcPr>
          <w:p>
            <w:pPr>
              <w:ind w:left="5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11,684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10,880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21,758</w:t>
            </w: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18,868</w:t>
            </w:r>
          </w:p>
        </w:tc>
      </w:tr>
      <w:tr>
        <w:trPr>
          <w:trHeight w:val="202"/>
        </w:trPr>
        <w:tc>
          <w:tcPr>
            <w:tcW w:w="4920" w:type="dxa"/>
            <w:vAlign w:val="bottom"/>
          </w:tcPr>
          <w:p>
            <w:pPr>
              <w:ind w:left="540"/>
              <w:spacing w:after="0"/>
              <w:rPr>
                <w:sz w:val="20"/>
                <w:szCs w:val="20"/>
                <w:color w:val="auto"/>
              </w:rPr>
            </w:pPr>
            <w:r>
              <w:rPr>
                <w:rFonts w:ascii="Arial" w:cs="Arial" w:eastAsia="Arial" w:hAnsi="Arial"/>
                <w:sz w:val="16"/>
                <w:szCs w:val="16"/>
                <w:color w:val="auto"/>
              </w:rPr>
              <w:t>Net earnings (loss) from continuing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(5,757)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2,890</w:t>
            </w: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from discontinued operations, net of tax</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04"/>
        </w:trPr>
        <w:tc>
          <w:tcPr>
            <w:tcW w:w="4920" w:type="dxa"/>
            <w:vAlign w:val="bottom"/>
          </w:tcPr>
          <w:p>
            <w:pPr>
              <w:ind w:left="540"/>
              <w:spacing w:after="0"/>
              <w:rPr>
                <w:sz w:val="20"/>
                <w:szCs w:val="20"/>
                <w:color w:val="auto"/>
              </w:rPr>
            </w:pPr>
            <w:r>
              <w:rPr>
                <w:rFonts w:ascii="Arial" w:cs="Arial" w:eastAsia="Arial" w:hAnsi="Arial"/>
                <w:sz w:val="16"/>
                <w:szCs w:val="16"/>
                <w:color w:val="auto"/>
              </w:rPr>
              <w:t>Net earnings (loss)</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(5,757)</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3,277</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4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Continuing operations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09"/>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(loss) per share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492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10"/>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4"/>
        </w:trPr>
        <w:tc>
          <w:tcPr>
            <w:tcW w:w="492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4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914" w:right="49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CONDENSED CONSOLIDATED STATEMENTS OF COMPREHENSIVE INCOME (LOSS)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(Dollars in thousands)</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564"/>
              <w:spacing w:after="0"/>
              <w:rPr>
                <w:sz w:val="20"/>
                <w:szCs w:val="20"/>
                <w:color w:val="auto"/>
              </w:rPr>
            </w:pPr>
            <w:r>
              <w:rPr>
                <w:rFonts w:ascii="Arial" w:cs="Arial" w:eastAsia="Arial" w:hAnsi="Arial"/>
                <w:sz w:val="14"/>
                <w:szCs w:val="14"/>
                <w:b w:val="1"/>
                <w:bCs w:val="1"/>
                <w:color w:val="auto"/>
              </w:rPr>
              <w:t>For the six months ended</w:t>
            </w:r>
          </w:p>
        </w:tc>
      </w:tr>
      <w:tr>
        <w:trPr>
          <w:trHeight w:val="197"/>
        </w:trPr>
        <w:tc>
          <w:tcPr>
            <w:tcW w:w="49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24"/>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r>
      <w:tr>
        <w:trPr>
          <w:trHeight w:val="20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466"/>
              <w:spacing w:after="0"/>
              <w:rPr>
                <w:sz w:val="20"/>
                <w:szCs w:val="20"/>
                <w:color w:val="auto"/>
              </w:rPr>
            </w:pPr>
            <w:r>
              <w:rPr>
                <w:rFonts w:ascii="Arial" w:cs="Arial" w:eastAsia="Arial" w:hAnsi="Arial"/>
                <w:sz w:val="16"/>
                <w:szCs w:val="16"/>
                <w:color w:val="auto"/>
                <w:w w:val="98"/>
              </w:rPr>
              <w:t>(5,757)</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3,277</w:t>
            </w:r>
          </w:p>
        </w:tc>
      </w:tr>
      <w:tr>
        <w:trPr>
          <w:trHeight w:val="209"/>
        </w:trPr>
        <w:tc>
          <w:tcPr>
            <w:tcW w:w="49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foreign currency translation adjustment</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506"/>
              <w:spacing w:after="0"/>
              <w:rPr>
                <w:sz w:val="20"/>
                <w:szCs w:val="20"/>
                <w:color w:val="auto"/>
              </w:rPr>
            </w:pPr>
            <w:r>
              <w:rPr>
                <w:rFonts w:ascii="Arial" w:cs="Arial" w:eastAsia="Arial" w:hAnsi="Arial"/>
                <w:sz w:val="16"/>
                <w:szCs w:val="16"/>
                <w:color w:val="auto"/>
                <w:w w:val="94"/>
              </w:rPr>
              <w:t>1,119</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92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center"/>
              <w:ind w:left="466"/>
              <w:spacing w:after="0"/>
              <w:rPr>
                <w:sz w:val="20"/>
                <w:szCs w:val="20"/>
                <w:color w:val="auto"/>
              </w:rPr>
            </w:pPr>
            <w:r>
              <w:rPr>
                <w:rFonts w:ascii="Arial" w:cs="Arial" w:eastAsia="Arial" w:hAnsi="Arial"/>
                <w:sz w:val="16"/>
                <w:szCs w:val="16"/>
                <w:color w:val="auto"/>
                <w:w w:val="98"/>
              </w:rPr>
              <w:t>(4,638)</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2,340</w:t>
            </w:r>
          </w:p>
        </w:tc>
      </w:tr>
      <w:tr>
        <w:trPr>
          <w:trHeight w:val="20"/>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914"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AND SIX MONTHS ENDED SEPTEMBER 30, 2024</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September 30, 2024</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June 30, 2024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157,256,866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15,726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1,966,578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1,306,683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3,892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(90,377,447)</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(2,341,003)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951,876</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16,742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(34,618)</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27,859</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536,251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(1,945,953)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(49,868)</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1,732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September 30, 2024</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157,822,130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1,994,541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1,308,415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(92,358,018)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(2,391,764)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932,057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For the six months ended September 30, 2024</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2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155,943,262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1,933,776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1,314,172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3,964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(89,668,961)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(2,318,371)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949,135</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289,344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6,298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(244,530)</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(7,740)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20,555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54,626</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1,568,969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157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(2,444,527)</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(65,653)</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 (loss):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1,119</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September 30, 2024</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157,822,130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15,782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1,994,541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1,308,415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(92,358,018)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(2,391,764)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932,057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AND SIX MONTHS ENDED SEPTEMBER 30, 2023</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September 30, 2023</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June 30, 2023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154,551,628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15,455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1,873,935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1,300,705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4,565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(88,367,267)</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(2,276,129)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918,531</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4,060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(23,227)</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10,205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14,086</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121,451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Liability-classified restricted stock units vested</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44,796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(490,493)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(15,122)</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Comprehensive income (loss):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(998)</w:t>
            </w: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4,863</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Balances at September 30, 2023</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154,732,140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15,473</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1,889,178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1,305,568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3,567</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(88,880,987)</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(2,291,928)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921,858</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For the six months ended September 30, 2023</w:t>
            </w:r>
          </w:p>
        </w:tc>
        <w:tc>
          <w:tcPr>
            <w:tcW w:w="8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32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153,987,784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15,399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1,302,291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4,504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(87,372,837)</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(2,252,034)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926,076</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282,924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(183,057)</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(4,569)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22,525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26,588</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394,111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Liability-classified restricted stock units vested</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44,796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(1,325,093)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(35,325)</w:t>
            </w: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Comprehensive income (loss):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(937)</w:t>
            </w:r>
          </w:p>
        </w:tc>
        <w:tc>
          <w:tcPr>
            <w:tcW w:w="8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w:t>
            </w:r>
          </w:p>
        </w:tc>
        <w:tc>
          <w:tcPr>
            <w:tcW w:w="0" w:type="dxa"/>
            <w:vAlign w:val="bottom"/>
          </w:tcPr>
          <w:p>
            <w:pPr>
              <w:spacing w:after="0"/>
              <w:rPr>
                <w:sz w:val="1"/>
                <w:szCs w:val="1"/>
                <w:color w:val="auto"/>
              </w:rPr>
            </w:pPr>
          </w:p>
        </w:tc>
      </w:tr>
      <w:tr>
        <w:trPr>
          <w:trHeight w:val="194"/>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Balances at September 30, 2023</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154,732,140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15,473</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1,889,178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1,305,568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3,567</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(88,880,987)</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(2,291,928)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921,858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26" w:lineRule="exact"/>
        <w:rPr>
          <w:sz w:val="20"/>
          <w:szCs w:val="20"/>
          <w:color w:val="auto"/>
        </w:rPr>
      </w:pPr>
    </w:p>
    <w:p>
      <w:pPr>
        <w:jc w:val="center"/>
        <w:ind w:left="8280"/>
        <w:spacing w:after="0"/>
        <w:rPr>
          <w:sz w:val="20"/>
          <w:szCs w:val="20"/>
          <w:color w:val="auto"/>
        </w:rPr>
      </w:pPr>
      <w:r>
        <w:rPr>
          <w:rFonts w:ascii="Arial" w:cs="Arial" w:eastAsia="Arial" w:hAnsi="Arial"/>
          <w:sz w:val="14"/>
          <w:szCs w:val="14"/>
          <w:b w:val="1"/>
          <w:bCs w:val="1"/>
          <w:color w:val="auto"/>
        </w:rPr>
        <w:t>For the six months ended September</w:t>
      </w:r>
    </w:p>
    <w:p>
      <w:pPr>
        <w:jc w:val="center"/>
        <w:ind w:left="8280"/>
        <w:spacing w:after="0"/>
        <w:rPr>
          <w:sz w:val="20"/>
          <w:szCs w:val="20"/>
          <w:color w:val="auto"/>
        </w:rPr>
      </w:pPr>
      <w:r>
        <w:rPr>
          <w:rFonts w:ascii="Arial" w:cs="Arial" w:eastAsia="Arial" w:hAnsi="Arial"/>
          <w:sz w:val="14"/>
          <w:szCs w:val="14"/>
          <w:b w:val="1"/>
          <w:bCs w:val="1"/>
          <w:color w:val="auto"/>
        </w:rPr>
        <w:t>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r>
      <w:tr>
        <w:trPr>
          <w:trHeight w:val="19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9"/>
        </w:trPr>
        <w:tc>
          <w:tcPr>
            <w:tcW w:w="8300" w:type="dxa"/>
            <w:vAlign w:val="bottom"/>
          </w:tcPr>
          <w:p>
            <w:pPr>
              <w:ind w:left="120"/>
              <w:spacing w:after="0"/>
              <w:rPr>
                <w:sz w:val="20"/>
                <w:szCs w:val="20"/>
                <w:color w:val="auto"/>
              </w:rPr>
            </w:pPr>
            <w:r>
              <w:rPr>
                <w:rFonts w:ascii="Arial" w:cs="Arial" w:eastAsia="Arial" w:hAnsi="Arial"/>
                <w:sz w:val="16"/>
                <w:szCs w:val="16"/>
                <w:color w:val="auto"/>
              </w:rPr>
              <w:t>Net earnings (loss)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(5,757)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3,277</w:t>
            </w:r>
          </w:p>
        </w:tc>
      </w:tr>
      <w:tr>
        <w:trPr>
          <w:trHeight w:val="211"/>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Earnings from discontinued operations, net of tax</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09"/>
        </w:trPr>
        <w:tc>
          <w:tcPr>
            <w:tcW w:w="8300" w:type="dxa"/>
            <w:vAlign w:val="bottom"/>
          </w:tcPr>
          <w:p>
            <w:pPr>
              <w:ind w:left="120"/>
              <w:spacing w:after="0"/>
              <w:rPr>
                <w:sz w:val="20"/>
                <w:szCs w:val="20"/>
                <w:color w:val="auto"/>
              </w:rPr>
            </w:pPr>
            <w:r>
              <w:rPr>
                <w:rFonts w:ascii="Arial" w:cs="Arial" w:eastAsia="Arial" w:hAnsi="Arial"/>
                <w:sz w:val="16"/>
                <w:szCs w:val="16"/>
                <w:color w:val="auto"/>
              </w:rPr>
              <w:t>Non-cash operating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5,903</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Gain on disposal or impairment of assets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302</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Lease-related impairment and restructuring charges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2,315</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2,875</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87</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stock compensation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57,053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29,027</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(16,258)</w:t>
            </w:r>
          </w:p>
        </w:tc>
      </w:tr>
      <w:tr>
        <w:trPr>
          <w:trHeight w:val="209"/>
        </w:trPr>
        <w:tc>
          <w:tcPr>
            <w:tcW w:w="8300" w:type="dxa"/>
            <w:vAlign w:val="bottom"/>
          </w:tcPr>
          <w:p>
            <w:pPr>
              <w:ind w:left="440"/>
              <w:spacing w:after="0"/>
              <w:rPr>
                <w:sz w:val="20"/>
                <w:szCs w:val="20"/>
                <w:color w:val="auto"/>
              </w:rPr>
            </w:pPr>
            <w:r>
              <w:rPr>
                <w:rFonts w:ascii="Arial" w:cs="Arial" w:eastAsia="Arial" w:hAnsi="Arial"/>
                <w:sz w:val="16"/>
                <w:szCs w:val="16"/>
                <w:color w:val="auto"/>
              </w:rPr>
              <w:t>Deferred commissions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4,687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(2,907)</w:t>
            </w: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5,743</w:t>
            </w:r>
          </w:p>
        </w:tc>
      </w:tr>
      <w:tr>
        <w:trPr>
          <w:trHeight w:val="209"/>
        </w:trPr>
        <w:tc>
          <w:tcPr>
            <w:tcW w:w="8300" w:type="dxa"/>
            <w:vAlign w:val="bottom"/>
          </w:tcPr>
          <w:p>
            <w:pPr>
              <w:ind w:left="44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(12,885)</w:t>
            </w:r>
          </w:p>
        </w:tc>
      </w:tr>
      <w:tr>
        <w:trPr>
          <w:trHeight w:val="211"/>
        </w:trPr>
        <w:tc>
          <w:tcPr>
            <w:tcW w:w="8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43,699</w:t>
            </w:r>
          </w:p>
        </w:tc>
      </w:tr>
      <w:tr>
        <w:trPr>
          <w:trHeight w:val="20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5,067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903</w:t>
            </w:r>
          </w:p>
        </w:tc>
      </w:tr>
      <w:tr>
        <w:trPr>
          <w:trHeight w:val="203"/>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46,268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61,457</w:t>
            </w:r>
          </w:p>
        </w:tc>
      </w:tr>
      <w:tr>
        <w:trPr>
          <w:trHeight w:val="243"/>
        </w:trPr>
        <w:tc>
          <w:tcPr>
            <w:tcW w:w="8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investments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(24,385)</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Proceeds from sales of investments</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24,995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25,750</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strategic investments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2"/>
        </w:trPr>
        <w:tc>
          <w:tcPr>
            <w:tcW w:w="8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investing activities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22,161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w:t>
            </w:r>
          </w:p>
        </w:tc>
      </w:tr>
      <w:tr>
        <w:trPr>
          <w:trHeight w:val="243"/>
        </w:trPr>
        <w:tc>
          <w:tcPr>
            <w:tcW w:w="8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09"/>
        </w:trPr>
        <w:tc>
          <w:tcPr>
            <w:tcW w:w="83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related to the issuance of common stock under stock and employee benefit plans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5,575</w:t>
            </w:r>
          </w:p>
        </w:tc>
      </w:tr>
      <w:tr>
        <w:trPr>
          <w:trHeight w:val="209"/>
        </w:trPr>
        <w:tc>
          <w:tcPr>
            <w:tcW w:w="8300" w:type="dxa"/>
            <w:vAlign w:val="bottom"/>
          </w:tcPr>
          <w:p>
            <w:pPr>
              <w:ind w:left="220"/>
              <w:spacing w:after="0"/>
              <w:rPr>
                <w:sz w:val="20"/>
                <w:szCs w:val="20"/>
                <w:color w:val="auto"/>
              </w:rPr>
            </w:pPr>
            <w:r>
              <w:rPr>
                <w:rFonts w:ascii="Arial" w:cs="Arial" w:eastAsia="Arial" w:hAnsi="Arial"/>
                <w:sz w:val="16"/>
                <w:szCs w:val="16"/>
                <w:color w:val="auto"/>
              </w:rPr>
              <w:t>Shares repurchased for tax withholdings upon vesting of stock-based awards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(4,569)</w:t>
            </w:r>
          </w:p>
        </w:tc>
      </w:tr>
      <w:tr>
        <w:trPr>
          <w:trHeight w:val="211"/>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treasury stock</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(35,325)</w:t>
            </w:r>
          </w:p>
        </w:tc>
      </w:tr>
      <w:tr>
        <w:trPr>
          <w:trHeight w:val="202"/>
        </w:trPr>
        <w:tc>
          <w:tcPr>
            <w:tcW w:w="8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(67,066)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(34,319)</w:t>
            </w:r>
          </w:p>
        </w:tc>
      </w:tr>
      <w:tr>
        <w:trPr>
          <w:trHeight w:val="203"/>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continuing operations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27,250</w:t>
            </w:r>
          </w:p>
        </w:tc>
      </w:tr>
      <w:tr>
        <w:trPr>
          <w:trHeight w:val="243"/>
        </w:trPr>
        <w:tc>
          <w:tcPr>
            <w:tcW w:w="8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discontinued operations: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From operating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387</w:t>
            </w:r>
          </w:p>
        </w:tc>
      </w:tr>
      <w:tr>
        <w:trPr>
          <w:trHeight w:val="204"/>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discontinued operations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387</w:t>
            </w:r>
          </w:p>
        </w:tc>
      </w:tr>
      <w:tr>
        <w:trPr>
          <w:trHeight w:val="202"/>
        </w:trPr>
        <w:tc>
          <w:tcPr>
            <w:tcW w:w="8300" w:type="dxa"/>
            <w:vAlign w:val="bottom"/>
          </w:tcPr>
          <w:p>
            <w:pPr>
              <w:ind w:left="6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84</w:t>
            </w:r>
          </w:p>
        </w:tc>
      </w:tr>
      <w:tr>
        <w:trPr>
          <w:trHeight w:val="263"/>
        </w:trPr>
        <w:tc>
          <w:tcPr>
            <w:tcW w:w="8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73660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953" w:right="539" w:bottom="1440" w:gutter="0" w:footer="0" w:header="0"/>
        </w:sectPr>
      </w:pPr>
    </w:p>
    <w:bookmarkStart w:id="11" w:name="page12"/>
    <w:bookmarkEnd w:id="11"/>
    <w:p>
      <w:pPr>
        <w:jc w:val="center"/>
        <w:ind w:right="-199"/>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(Dollars in thousands)</w:t>
      </w:r>
    </w:p>
    <w:p>
      <w:pPr>
        <w:spacing w:after="0" w:line="1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six months ended September</w:t>
            </w:r>
          </w:p>
        </w:tc>
      </w:tr>
      <w:tr>
        <w:trPr>
          <w:trHeight w:val="180"/>
        </w:trPr>
        <w:tc>
          <w:tcPr>
            <w:tcW w:w="8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auto"/>
            </w:tcBorders>
          </w:tcPr>
          <w:p>
            <w:pPr>
              <w:spacing w:after="0"/>
              <w:rPr>
                <w:sz w:val="15"/>
                <w:szCs w:val="15"/>
                <w:color w:val="auto"/>
              </w:rPr>
            </w:pPr>
          </w:p>
        </w:tc>
      </w:tr>
      <w:tr>
        <w:trPr>
          <w:trHeight w:val="202"/>
        </w:trPr>
        <w:tc>
          <w:tcPr>
            <w:tcW w:w="83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27,721</w:t>
            </w: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339,471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464,448</w:t>
            </w:r>
          </w:p>
        </w:tc>
      </w:tr>
      <w:tr>
        <w:trPr>
          <w:trHeight w:val="204"/>
        </w:trPr>
        <w:tc>
          <w:tcPr>
            <w:tcW w:w="83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341,577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492,169</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9"/>
        </w:trPr>
        <w:tc>
          <w:tcPr>
            <w:tcW w:w="830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(received) for income taxes, net from continuing operations</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(25,139)</w:t>
            </w: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Cash received for income taxes, net from discontinued operations</w:t>
            </w: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received for tenant improvement allowances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Cash paid for operating lease liabilities</w:t>
            </w:r>
          </w:p>
        </w:tc>
        <w:tc>
          <w:tcPr>
            <w:tcW w:w="32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4,877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5,148</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11,677</w:t>
            </w:r>
          </w:p>
        </w:tc>
      </w:tr>
      <w:tr>
        <w:trPr>
          <w:trHeight w:val="209"/>
        </w:trPr>
        <w:tc>
          <w:tcPr>
            <w:tcW w:w="8300" w:type="dxa"/>
            <w:vAlign w:val="bottom"/>
          </w:tcPr>
          <w:p>
            <w:pPr>
              <w:ind w:left="340"/>
              <w:spacing w:after="0"/>
              <w:rPr>
                <w:sz w:val="20"/>
                <w:szCs w:val="20"/>
                <w:color w:val="auto"/>
              </w:rPr>
            </w:pPr>
            <w:r>
              <w:rPr>
                <w:rFonts w:ascii="Arial" w:cs="Arial" w:eastAsia="Arial" w:hAnsi="Arial"/>
                <w:sz w:val="16"/>
                <w:szCs w:val="16"/>
                <w:color w:val="auto"/>
              </w:rPr>
              <w:t>Operating lease assets, and related lease liabilities, relinquished in lease terminations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(4,486)</w:t>
            </w:r>
          </w:p>
        </w:tc>
      </w:tr>
      <w:tr>
        <w:trPr>
          <w:trHeight w:val="211"/>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property, plant and equipment remaining unpaid at period end</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953" w:right="539" w:bottom="1440" w:gutter="0" w:footer="0" w:header="0"/>
        </w:sectPr>
      </w:pPr>
    </w:p>
    <w:bookmarkStart w:id="12" w:name="page13"/>
    <w:bookmarkEnd w:id="12"/>
    <w:p>
      <w:pPr>
        <w:jc w:val="center"/>
        <w:ind w:right="20"/>
        <w:spacing w:after="0" w:line="291" w:lineRule="auto"/>
        <w:rPr>
          <w:sz w:val="20"/>
          <w:szCs w:val="20"/>
          <w:color w:val="auto"/>
        </w:rPr>
      </w:pPr>
      <w:r>
        <w:rPr>
          <w:rFonts w:ascii="Arial" w:cs="Arial" w:eastAsia="Arial" w:hAnsi="Arial"/>
          <w:sz w:val="17"/>
          <w:szCs w:val="17"/>
          <w:color w:val="auto"/>
        </w:rPr>
        <w:t>LIVERAMP HOLDINGS,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hanging="335"/>
        <w:spacing w:after="0"/>
        <w:tabs>
          <w:tab w:leader="none" w:pos="3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SUMMARY OF SIGNIFICANT ACCOUNTING POLICIES: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These condensed consolidated financial statements have been prepared by LiveRamp Holdings, Inc. ("LiveRamp", "we", "us" or the "Company"), without audit, pursuant to the rules and regulations of the Securities and Exchange Commission (the “SEC”). In the opinion of the Company's management, all adjustments necessary for a fair presentation of the results for the periods included have been made, and the disclosures are adequate to make the information presented not misleading. All such adjustments are of a normal recurring nature. Certain note information has been omitted because it has not changed significantly from that reflected in Notes 1 through 18 of the Notes to Consolidated Financial Statements filed as part of Item 8 of the Company’s Annual Report on Form 10-K for the fiscal year ended March 31, 2024 (“2024 Annual Report”), as filed with the SEC on May 22, 2024. This Quarterly Report on Form 10-Q and the accompanying condensed consolidated financial statements should be read in connection with the 2024 Annual Report. The financial information contained in this Quarterly Report on Form 10-Q is not necessarily indicative of the results to be expected for any other period or for the full fiscal year ending March 31, 2025.</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Management of the Company has made a number of estimates and assumptions relating to the reporting of assets and liabilities and the disclosure of contingent assets and liabilities to prepare these condensed consolidated financial statements in conformity with accounting principles generally accepted in the United States (“U.S. GAAP”). Actual results could differ from those estimates. Certain of the accounting policies used in the preparation of these condensed consolidated financial statements are complex and require management to make judgments and/or significant estimates regarding amounts reported or disclosed in these financial statements. Additionally, the application of certain of these accounting policies is governed by complex accounting principles and their interpretation. A discussion of the Company’s significant accounting principles and their application is included in Note 1 of the Notes to Consolidated Financial Statements and in Item 7, Management’s Discussion and Analysis of Financial Condition and Results of Operations, of the 2024 Annual Report.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Accounting Pronouncements Adopted During the Current Year</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94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6"/>
                <w:szCs w:val="16"/>
                <w:b w:val="1"/>
                <w:bCs w:val="1"/>
                <w:color w:val="auto"/>
              </w:rPr>
              <w:t>Description</w:t>
            </w:r>
          </w:p>
        </w:tc>
        <w:tc>
          <w:tcPr>
            <w:tcW w:w="132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9"/>
              </w:rPr>
              <w:t>Date of</w:t>
            </w:r>
          </w:p>
        </w:tc>
        <w:tc>
          <w:tcPr>
            <w:tcW w:w="346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8"/>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940" w:type="dxa"/>
            <w:vAlign w:val="bottom"/>
            <w:tcBorders>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Adoption</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Significant Matters</w:t>
            </w:r>
          </w:p>
        </w:tc>
        <w:tc>
          <w:tcPr>
            <w:tcW w:w="0" w:type="dxa"/>
            <w:vAlign w:val="bottom"/>
          </w:tcPr>
          <w:p>
            <w:pPr>
              <w:spacing w:after="0"/>
              <w:rPr>
                <w:sz w:val="1"/>
                <w:szCs w:val="1"/>
                <w:color w:val="auto"/>
              </w:rPr>
            </w:pPr>
          </w:p>
        </w:tc>
      </w:tr>
      <w:tr>
        <w:trPr>
          <w:trHeight w:val="151"/>
        </w:trPr>
        <w:tc>
          <w:tcPr>
            <w:tcW w:w="2540" w:type="dxa"/>
            <w:vAlign w:val="bottom"/>
            <w:tcBorders>
              <w:left w:val="single" w:sz="8" w:color="auto"/>
              <w:right w:val="single" w:sz="8" w:color="auto"/>
            </w:tcBorders>
          </w:tcPr>
          <w:p>
            <w:pPr>
              <w:ind w:left="40"/>
              <w:spacing w:after="0" w:line="152" w:lineRule="exact"/>
              <w:rPr>
                <w:sz w:val="20"/>
                <w:szCs w:val="20"/>
                <w:color w:val="auto"/>
              </w:rPr>
            </w:pPr>
            <w:r>
              <w:rPr>
                <w:rFonts w:ascii="Arial" w:cs="Arial" w:eastAsia="Arial" w:hAnsi="Arial"/>
                <w:sz w:val="16"/>
                <w:szCs w:val="16"/>
                <w:color w:val="auto"/>
                <w:w w:val="99"/>
              </w:rPr>
              <w:t>There were no material accounting</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pronouncements applicable to the</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w:t>
            </w:r>
          </w:p>
        </w:tc>
        <w:tc>
          <w:tcPr>
            <w:tcW w:w="39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7"/>
          <w:szCs w:val="17"/>
          <w:u w:val="single" w:color="auto"/>
          <w:color w:val="auto"/>
        </w:rPr>
        <w:t>Recent Accounting Pronouncements Not Yet Adopted</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640" w:type="dxa"/>
            <w:vAlign w:val="bottom"/>
            <w:tcBorders>
              <w:top w:val="single" w:sz="8" w:color="auto"/>
              <w:right w:val="single" w:sz="8" w:color="auto"/>
            </w:tcBorders>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162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Date of Adoption</w:t>
            </w:r>
          </w:p>
        </w:tc>
        <w:tc>
          <w:tcPr>
            <w:tcW w:w="3460" w:type="dxa"/>
            <w:vAlign w:val="bottom"/>
            <w:tcBorders>
              <w:top w:val="single" w:sz="8" w:color="auto"/>
              <w:right w:val="single" w:sz="8" w:color="auto"/>
            </w:tcBorders>
          </w:tcPr>
          <w:p>
            <w:pPr>
              <w:ind w:left="240"/>
              <w:spacing w:after="0" w:line="171" w:lineRule="exact"/>
              <w:rPr>
                <w:sz w:val="20"/>
                <w:szCs w:val="20"/>
                <w:color w:val="auto"/>
              </w:rPr>
            </w:pPr>
            <w:r>
              <w:rPr>
                <w:rFonts w:ascii="Arial" w:cs="Arial" w:eastAsia="Arial" w:hAnsi="Arial"/>
                <w:sz w:val="16"/>
                <w:szCs w:val="16"/>
                <w:b w:val="1"/>
                <w:bCs w:val="1"/>
                <w:color w:val="auto"/>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640" w:type="dxa"/>
            <w:vAlign w:val="bottom"/>
            <w:tcBorders>
              <w:bottom w:val="single" w:sz="8" w:color="auto"/>
              <w:right w:val="single" w:sz="8" w:color="auto"/>
            </w:tcBorders>
            <w:vMerge w:val="continue"/>
          </w:tcPr>
          <w:p>
            <w:pPr>
              <w:spacing w:after="0"/>
              <w:rPr>
                <w:sz w:val="18"/>
                <w:szCs w:val="18"/>
                <w:color w:val="auto"/>
              </w:rPr>
            </w:pPr>
          </w:p>
        </w:tc>
        <w:tc>
          <w:tcPr>
            <w:tcW w:w="1620" w:type="dxa"/>
            <w:vAlign w:val="bottom"/>
            <w:tcBorders>
              <w:bottom w:val="single" w:sz="8" w:color="auto"/>
              <w:right w:val="single" w:sz="8" w:color="auto"/>
            </w:tcBorders>
            <w:vMerge w:val="continue"/>
          </w:tcPr>
          <w:p>
            <w:pPr>
              <w:spacing w:after="0"/>
              <w:rPr>
                <w:sz w:val="18"/>
                <w:szCs w:val="18"/>
                <w:color w:val="auto"/>
              </w:rPr>
            </w:pPr>
          </w:p>
        </w:tc>
        <w:tc>
          <w:tcPr>
            <w:tcW w:w="346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6"/>
                <w:szCs w:val="16"/>
                <w:b w:val="1"/>
                <w:bCs w:val="1"/>
                <w:color w:val="auto"/>
              </w:rPr>
              <w:t>Significant Matters</w:t>
            </w:r>
          </w:p>
        </w:tc>
        <w:tc>
          <w:tcPr>
            <w:tcW w:w="0" w:type="dxa"/>
            <w:vAlign w:val="bottom"/>
          </w:tcPr>
          <w:p>
            <w:pPr>
              <w:spacing w:after="0"/>
              <w:rPr>
                <w:sz w:val="1"/>
                <w:szCs w:val="1"/>
                <w:color w:val="auto"/>
              </w:rPr>
            </w:pPr>
          </w:p>
        </w:tc>
      </w:tr>
      <w:tr>
        <w:trPr>
          <w:trHeight w:val="150"/>
        </w:trPr>
        <w:tc>
          <w:tcPr>
            <w:tcW w:w="254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6"/>
                <w:szCs w:val="16"/>
                <w:b w:val="1"/>
                <w:bCs w:val="1"/>
                <w:color w:val="auto"/>
              </w:rPr>
              <w:t>Accounting Standard Update</w:t>
            </w:r>
          </w:p>
        </w:tc>
        <w:tc>
          <w:tcPr>
            <w:tcW w:w="36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ASU 2023-07 expands annual and interim</w:t>
            </w:r>
          </w:p>
        </w:tc>
        <w:tc>
          <w:tcPr>
            <w:tcW w:w="162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b w:val="1"/>
                <w:bCs w:val="1"/>
                <w:color w:val="auto"/>
              </w:rPr>
              <w:t>(“ASU”) 2023-07</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disclosure requirements for reportable segments,</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our</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primarily through enhanced disclosures about</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annual periods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Segment Reporting (Topic 280):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significant segment expenses.</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2025 and interim</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Improvements to Reportable</w:t>
            </w: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periods beginning in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Segment Disclosures</w:t>
            </w: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continue"/>
          </w:tcPr>
          <w:p>
            <w:pPr>
              <w:spacing w:after="0"/>
              <w:rPr>
                <w:sz w:val="11"/>
                <w:szCs w:val="11"/>
                <w:color w:val="auto"/>
              </w:rPr>
            </w:pPr>
          </w:p>
        </w:tc>
        <w:tc>
          <w:tcPr>
            <w:tcW w:w="3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the first quarter of</w:t>
            </w:r>
          </w:p>
        </w:tc>
        <w:tc>
          <w:tcPr>
            <w:tcW w:w="3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540" w:type="dxa"/>
            <w:vAlign w:val="bottom"/>
            <w:tcBorders>
              <w:left w:val="single" w:sz="8" w:color="auto"/>
              <w:right w:val="single" w:sz="8" w:color="auto"/>
            </w:tcBorders>
          </w:tcPr>
          <w:p>
            <w:pPr>
              <w:spacing w:after="0"/>
              <w:rPr>
                <w:sz w:val="2"/>
                <w:szCs w:val="2"/>
                <w:color w:val="auto"/>
              </w:rPr>
            </w:pPr>
          </w:p>
        </w:tc>
        <w:tc>
          <w:tcPr>
            <w:tcW w:w="36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vMerge w:val="continue"/>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fiscal 2026. Early</w:t>
            </w: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adoption is permitted.</w:t>
            </w: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b w:val="1"/>
                <w:bCs w:val="1"/>
                <w:color w:val="auto"/>
              </w:rPr>
              <w:t>ASU 2023-09</w:t>
            </w:r>
          </w:p>
        </w:tc>
        <w:tc>
          <w:tcPr>
            <w:tcW w:w="36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ASU 2023-09 requires disaggregated information</w:t>
            </w:r>
          </w:p>
        </w:tc>
        <w:tc>
          <w:tcPr>
            <w:tcW w:w="16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about a reporting entity's effective tax rate</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us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Income Taxes (Topic 740):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reconciliation as well as information on income tax</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paid.</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2026. Early adoption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Improvements to Income Tax</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is permitted.</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Disclosures</w:t>
            </w:r>
          </w:p>
        </w:tc>
        <w:tc>
          <w:tcPr>
            <w:tcW w:w="3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5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3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14" w:name="page15"/>
    <w:bookmarkEnd w:id="14"/>
    <w:p>
      <w:pPr>
        <w:ind w:left="340" w:hanging="335"/>
        <w:spacing w:after="0"/>
        <w:tabs>
          <w:tab w:leader="none" w:pos="3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EARNINGS (LOSS) PER SHARE AND STOCKHOLDERS’ EQUITY: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(Loss) Per Share</w:t>
      </w:r>
    </w:p>
    <w:p>
      <w:pPr>
        <w:spacing w:after="0" w:line="224"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A reconciliation of the numerator and denominator of basic and diluted earnings (loss) per share is shown below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6"/>
                <w:szCs w:val="16"/>
                <w:color w:val="auto"/>
              </w:rPr>
            </w:pPr>
          </w:p>
        </w:tc>
        <w:tc>
          <w:tcPr>
            <w:tcW w:w="224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7"/>
        </w:trPr>
        <w:tc>
          <w:tcPr>
            <w:tcW w:w="6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(loss) per share: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7"/>
                <w:szCs w:val="17"/>
                <w:color w:val="auto"/>
              </w:rPr>
              <w:t>Net earnings (loss) from continuing operations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4,476</w:t>
            </w:r>
          </w:p>
        </w:tc>
        <w:tc>
          <w:tcPr>
            <w:tcW w:w="22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(5,757)</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2,890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from discontinued operations, net of tax</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7"/>
                <w:szCs w:val="17"/>
                <w:color w:val="auto"/>
              </w:rPr>
              <w:t>Net earnings (loss)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4,863</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(5,757)</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7"/>
                <w:szCs w:val="17"/>
                <w:color w:val="auto"/>
              </w:rPr>
              <w:t>Basic weighted-average shares outstanding</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66,294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66,284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66,458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66,391</w:t>
            </w:r>
          </w:p>
        </w:tc>
        <w:tc>
          <w:tcPr>
            <w:tcW w:w="0" w:type="dxa"/>
            <w:vAlign w:val="bottom"/>
          </w:tcPr>
          <w:p>
            <w:pPr>
              <w:spacing w:after="0"/>
              <w:rPr>
                <w:sz w:val="1"/>
                <w:szCs w:val="1"/>
                <w:color w:val="auto"/>
              </w:rPr>
            </w:pPr>
          </w:p>
        </w:tc>
      </w:tr>
      <w:tr>
        <w:trPr>
          <w:trHeight w:val="262"/>
        </w:trPr>
        <w:tc>
          <w:tcPr>
            <w:tcW w:w="6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7"/>
                <w:szCs w:val="17"/>
                <w:color w:val="auto"/>
              </w:rPr>
              <w:t>Continuing operations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0.07</w:t>
            </w:r>
          </w:p>
        </w:tc>
        <w:tc>
          <w:tcPr>
            <w:tcW w:w="22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9"/>
                <w:szCs w:val="19"/>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Discontinued operations</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7"/>
                <w:szCs w:val="17"/>
                <w:color w:val="auto"/>
              </w:rPr>
              <w:t>Basic earnings (loss) per share</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7"/>
                <w:szCs w:val="17"/>
                <w:color w:val="auto"/>
              </w:rPr>
              <w:t>Diluted earnings (loss) per share: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weighted-average shares outstanding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66,284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66,391</w:t>
            </w:r>
          </w:p>
        </w:tc>
        <w:tc>
          <w:tcPr>
            <w:tcW w:w="0" w:type="dxa"/>
            <w:vAlign w:val="bottom"/>
          </w:tcPr>
          <w:p>
            <w:pPr>
              <w:spacing w:after="0"/>
              <w:rPr>
                <w:sz w:val="1"/>
                <w:szCs w:val="1"/>
                <w:color w:val="auto"/>
              </w:rPr>
            </w:pPr>
          </w:p>
        </w:tc>
      </w:tr>
      <w:tr>
        <w:trPr>
          <w:trHeight w:val="170"/>
        </w:trPr>
        <w:tc>
          <w:tcPr>
            <w:tcW w:w="6020" w:type="dxa"/>
            <w:vAlign w:val="bottom"/>
          </w:tcPr>
          <w:p>
            <w:pPr>
              <w:ind w:left="540"/>
              <w:spacing w:after="0" w:line="171" w:lineRule="exact"/>
              <w:rPr>
                <w:sz w:val="20"/>
                <w:szCs w:val="20"/>
                <w:color w:val="auto"/>
              </w:rPr>
            </w:pPr>
            <w:r>
              <w:rPr>
                <w:rFonts w:ascii="Arial" w:cs="Arial" w:eastAsia="Arial" w:hAnsi="Arial"/>
                <w:sz w:val="17"/>
                <w:szCs w:val="17"/>
                <w:color w:val="auto"/>
              </w:rPr>
              <w:t>Dilutive effect of common stock options and restricted stock units as</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1,584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1,238</w:t>
            </w:r>
          </w:p>
        </w:tc>
        <w:tc>
          <w:tcPr>
            <w:tcW w:w="0" w:type="dxa"/>
            <w:vAlign w:val="bottom"/>
          </w:tcPr>
          <w:p>
            <w:pPr>
              <w:spacing w:after="0"/>
              <w:rPr>
                <w:sz w:val="1"/>
                <w:szCs w:val="1"/>
                <w:color w:val="auto"/>
              </w:rPr>
            </w:pPr>
          </w:p>
        </w:tc>
      </w:tr>
      <w:tr>
        <w:trPr>
          <w:trHeight w:val="236"/>
        </w:trPr>
        <w:tc>
          <w:tcPr>
            <w:tcW w:w="6020" w:type="dxa"/>
            <w:vAlign w:val="bottom"/>
          </w:tcPr>
          <w:p>
            <w:pPr>
              <w:ind w:left="540"/>
              <w:spacing w:after="0"/>
              <w:rPr>
                <w:sz w:val="20"/>
                <w:szCs w:val="20"/>
                <w:color w:val="auto"/>
              </w:rPr>
            </w:pPr>
            <w:r>
              <w:rPr>
                <w:rFonts w:ascii="Arial" w:cs="Arial" w:eastAsia="Arial" w:hAnsi="Arial"/>
                <w:sz w:val="17"/>
                <w:szCs w:val="17"/>
                <w:color w:val="auto"/>
              </w:rPr>
              <w:t>computed under the treasury stock method (1)</w:t>
            </w: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weighted-average shares outstanding</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67,628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Continuing operations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7"/>
                <w:szCs w:val="17"/>
                <w:color w:val="auto"/>
              </w:rPr>
              <w:t>Discontinued operations</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0.01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41"/>
        </w:trPr>
        <w:tc>
          <w:tcPr>
            <w:tcW w:w="6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earnings (loss) per share</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Earnings (loss) per share totals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141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322" w:lineRule="exact"/>
        <w:rPr>
          <w:sz w:val="20"/>
          <w:szCs w:val="20"/>
          <w:color w:val="auto"/>
        </w:rPr>
      </w:pPr>
    </w:p>
    <w:p>
      <w:pPr>
        <w:ind w:right="400" w:firstLine="5"/>
        <w:spacing w:after="0" w:line="278" w:lineRule="auto"/>
        <w:tabs>
          <w:tab w:leader="none" w:pos="26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common stock options and restricted stock units as computed under the treasury stock method that would have otherwise been dilutive but are excluded from the table above because their effect would have been anti-dilutive due to the net loss position of the Company was 1.4 million for the six months ended September 30, 2024.</w:t>
      </w:r>
    </w:p>
    <w:p>
      <w:pPr>
        <w:spacing w:after="0" w:line="186"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color w:val="auto"/>
        </w:rPr>
        <w:t>Restricted stock units that were outstanding during the periods presented but were not included in the computation of diluted loss per share because their effect would have been anti-dilutive (other than due to the net loss position of the Company) are shown below (shares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40" w:type="dxa"/>
            <w:vAlign w:val="bottom"/>
          </w:tcPr>
          <w:p>
            <w:pPr>
              <w:spacing w:after="0"/>
              <w:rPr>
                <w:sz w:val="16"/>
                <w:szCs w:val="16"/>
                <w:color w:val="auto"/>
              </w:rPr>
            </w:pPr>
          </w:p>
        </w:tc>
        <w:tc>
          <w:tcPr>
            <w:tcW w:w="2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9"/>
              </w:rPr>
              <w:t>For the three months ended</w:t>
            </w: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For the six months ended</w:t>
            </w:r>
          </w:p>
        </w:tc>
      </w:tr>
      <w:tr>
        <w:trPr>
          <w:trHeight w:val="197"/>
        </w:trPr>
        <w:tc>
          <w:tcPr>
            <w:tcW w:w="6140" w:type="dxa"/>
            <w:vAlign w:val="bottom"/>
          </w:tcPr>
          <w:p>
            <w:pPr>
              <w:spacing w:after="0"/>
              <w:rPr>
                <w:sz w:val="17"/>
                <w:szCs w:val="17"/>
                <w:color w:val="auto"/>
              </w:rPr>
            </w:pPr>
          </w:p>
        </w:tc>
        <w:tc>
          <w:tcPr>
            <w:tcW w:w="1740" w:type="dxa"/>
            <w:vAlign w:val="bottom"/>
            <w:tcBorders>
              <w:bottom w:val="single" w:sz="8" w:color="auto"/>
            </w:tcBorders>
            <w:gridSpan w:val="3"/>
          </w:tcPr>
          <w:p>
            <w:pPr>
              <w:jc w:val="center"/>
              <w:ind w:left="706"/>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bottom w:val="single" w:sz="8" w:color="auto"/>
            </w:tcBorders>
            <w:gridSpan w:val="3"/>
          </w:tcPr>
          <w:p>
            <w:pPr>
              <w:jc w:val="center"/>
              <w:ind w:left="686"/>
              <w:spacing w:after="0"/>
              <w:rPr>
                <w:sz w:val="20"/>
                <w:szCs w:val="20"/>
                <w:color w:val="auto"/>
              </w:rPr>
            </w:pPr>
            <w:r>
              <w:rPr>
                <w:rFonts w:ascii="Arial" w:cs="Arial" w:eastAsia="Arial" w:hAnsi="Arial"/>
                <w:sz w:val="14"/>
                <w:szCs w:val="14"/>
                <w:b w:val="1"/>
                <w:bCs w:val="1"/>
                <w:color w:val="auto"/>
                <w:w w:val="98"/>
              </w:rPr>
              <w:t>September 30,</w:t>
            </w:r>
          </w:p>
        </w:tc>
        <w:tc>
          <w:tcPr>
            <w:tcW w:w="760" w:type="dxa"/>
            <w:vAlign w:val="bottom"/>
            <w:tcBorders>
              <w:bottom w:val="single" w:sz="8" w:color="auto"/>
            </w:tcBorders>
          </w:tcPr>
          <w:p>
            <w:pPr>
              <w:spacing w:after="0"/>
              <w:rPr>
                <w:sz w:val="17"/>
                <w:szCs w:val="17"/>
                <w:color w:val="auto"/>
              </w:rPr>
            </w:pPr>
          </w:p>
        </w:tc>
      </w:tr>
      <w:tr>
        <w:trPr>
          <w:trHeight w:val="190"/>
        </w:trPr>
        <w:tc>
          <w:tcPr>
            <w:tcW w:w="61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96"/>
              </w:rPr>
              <w:t>2023</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shares underlying restricted stock units</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2,473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Stockholders’ Equity</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92"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During the six months ended September 30, 2024, the Company repurchased 2.4 million shares of its common stock for $65.7 million under the modified common stock repurchase program. Through September 30, 2024, the Company had repurchased a total of 40.2 million shares of its common stock for $1.0 billion under the program, leaving remaining capacity of $291.7 million.</w:t>
      </w:r>
    </w:p>
    <w:p>
      <w:pPr>
        <w:spacing w:after="0" w:line="160" w:lineRule="exact"/>
        <w:rPr>
          <w:sz w:val="20"/>
          <w:szCs w:val="20"/>
          <w:color w:val="auto"/>
        </w:rPr>
      </w:pPr>
    </w:p>
    <w:p>
      <w:pPr>
        <w:ind w:right="300"/>
        <w:spacing w:after="0" w:line="300" w:lineRule="auto"/>
        <w:rPr>
          <w:sz w:val="20"/>
          <w:szCs w:val="20"/>
          <w:color w:val="auto"/>
        </w:rPr>
      </w:pPr>
      <w:r>
        <w:rPr>
          <w:rFonts w:ascii="Arial" w:cs="Arial" w:eastAsia="Arial" w:hAnsi="Arial"/>
          <w:sz w:val="17"/>
          <w:szCs w:val="17"/>
          <w:color w:val="auto"/>
        </w:rPr>
        <w:t>Accumulated other comprehensive income balances of $5.1 million and $4.0 million at September 30, 2024 and March 31, 2024, respectively, reflect accumulated foreign currency translation adjustments.</w:t>
      </w:r>
    </w:p>
    <w:p>
      <w:pPr>
        <w:spacing w:after="0" w:line="375" w:lineRule="exact"/>
        <w:rPr>
          <w:sz w:val="20"/>
          <w:szCs w:val="20"/>
          <w:color w:val="auto"/>
        </w:rPr>
      </w:pPr>
    </w:p>
    <w:p>
      <w:pPr>
        <w:ind w:left="340" w:hanging="335"/>
        <w:spacing w:after="0"/>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table, revenue is disaggregated by primary geographical market and major service offerings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6000" w:type="dxa"/>
            <w:vAlign w:val="bottom"/>
            <w:gridSpan w:val="2"/>
            <w:vMerge w:val="restart"/>
          </w:tcPr>
          <w:p>
            <w:pPr>
              <w:ind w:left="580"/>
              <w:spacing w:after="0"/>
              <w:rPr>
                <w:sz w:val="20"/>
                <w:szCs w:val="20"/>
                <w:color w:val="auto"/>
              </w:rPr>
            </w:pPr>
            <w:r>
              <w:rPr>
                <w:rFonts w:ascii="Arial" w:cs="Arial" w:eastAsia="Arial" w:hAnsi="Arial"/>
                <w:sz w:val="17"/>
                <w:szCs w:val="17"/>
                <w:color w:val="auto"/>
              </w:rPr>
              <w:t>Primary Geographical Markets</w:t>
            </w: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60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341,487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293,569</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7"/>
                <w:szCs w:val="17"/>
                <w:color w:val="auto"/>
              </w:rPr>
              <w:t>Europe</w:t>
            </w: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16,803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16,643</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Asia-Pacific ("APAC")</w:t>
            </w:r>
          </w:p>
        </w:tc>
        <w:tc>
          <w:tcPr>
            <w:tcW w:w="5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3,144</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313,940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380" w:type="dxa"/>
            <w:vAlign w:val="bottom"/>
          </w:tcPr>
          <w:p>
            <w:pPr>
              <w:spacing w:after="0"/>
              <w:rPr>
                <w:sz w:val="24"/>
                <w:szCs w:val="24"/>
                <w:color w:val="auto"/>
              </w:rPr>
            </w:pPr>
          </w:p>
        </w:tc>
        <w:tc>
          <w:tcPr>
            <w:tcW w:w="6320" w:type="dxa"/>
            <w:vAlign w:val="bottom"/>
            <w:gridSpan w:val="3"/>
          </w:tcPr>
          <w:p>
            <w:pPr>
              <w:jc w:val="right"/>
              <w:ind w:right="3517"/>
              <w:spacing w:after="0"/>
              <w:rPr>
                <w:sz w:val="20"/>
                <w:szCs w:val="20"/>
                <w:color w:val="auto"/>
              </w:rPr>
            </w:pPr>
            <w:r>
              <w:rPr>
                <w:rFonts w:ascii="Arial" w:cs="Arial" w:eastAsia="Arial" w:hAnsi="Arial"/>
                <w:sz w:val="17"/>
                <w:szCs w:val="17"/>
                <w:color w:val="auto"/>
              </w:rPr>
              <w:t>Major Offerings/Services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Subscription</w:t>
            </w:r>
          </w:p>
        </w:tc>
        <w:tc>
          <w:tcPr>
            <w:tcW w:w="5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278,082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247,587</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Marketplace and 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66,353</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313,940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performance obligations associated with fixed commitments in customer contracts for future services that have not yet been recognized in our condensed consolidated financial statements. The amount of fixed revenue not yet recognized was $503.8 million as of September 30, 2024, of which $ 374.1 million will be recognized over the next twelve months. The Company expects to recognize revenue on substantially all of these remaining performance obligations by March 31, 2028.</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 w:name="page17"/>
    <w:bookmarkEnd w:id="16"/>
    <w:p>
      <w:pPr>
        <w:spacing w:after="0"/>
        <w:tabs>
          <w:tab w:leader="none" w:pos="320" w:val="left"/>
        </w:tabs>
        <w:rPr>
          <w:sz w:val="20"/>
          <w:szCs w:val="20"/>
          <w:color w:val="auto"/>
        </w:rPr>
      </w:pPr>
      <w:r>
        <w:rPr>
          <w:rFonts w:ascii="Arial" w:cs="Arial" w:eastAsia="Arial" w:hAnsi="Arial"/>
          <w:sz w:val="17"/>
          <w:szCs w:val="17"/>
          <w:b w:val="1"/>
          <w:bCs w:val="1"/>
          <w:color w:val="auto"/>
        </w:rPr>
        <w:t>4.</w:t>
        <w:tab/>
        <w:t>LEASES: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and lease liabilities balances consist of the following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Right-of-use assets included in other assets,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21,192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24,471</w:t>
            </w: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Short-term lease liabilities included in other accrued expenses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36"/>
              <w:spacing w:after="0"/>
              <w:rPr>
                <w:sz w:val="20"/>
                <w:szCs w:val="20"/>
                <w:color w:val="auto"/>
              </w:rPr>
            </w:pPr>
            <w:r>
              <w:rPr>
                <w:rFonts w:ascii="Arial" w:cs="Arial" w:eastAsia="Arial" w:hAnsi="Arial"/>
                <w:sz w:val="17"/>
                <w:szCs w:val="17"/>
                <w:color w:val="auto"/>
              </w:rPr>
              <w:t>10,099</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10,125</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Long-term lease liabilities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32,097</w:t>
            </w:r>
          </w:p>
        </w:tc>
      </w:tr>
      <w:tr>
        <w:trPr>
          <w:trHeight w:val="262"/>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balance sheet information: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Weighted average remaining lease term</w:t>
            </w:r>
          </w:p>
        </w:tc>
        <w:tc>
          <w:tcPr>
            <w:tcW w:w="120" w:type="dxa"/>
            <w:vAlign w:val="bottom"/>
          </w:tcPr>
          <w:p>
            <w:pPr>
              <w:spacing w:after="0"/>
              <w:rPr>
                <w:sz w:val="19"/>
                <w:szCs w:val="19"/>
                <w:color w:val="auto"/>
              </w:rPr>
            </w:pPr>
          </w:p>
        </w:tc>
        <w:tc>
          <w:tcPr>
            <w:tcW w:w="1540" w:type="dxa"/>
            <w:vAlign w:val="bottom"/>
            <w:gridSpan w:val="2"/>
          </w:tcPr>
          <w:p>
            <w:pPr>
              <w:ind w:left="700"/>
              <w:spacing w:after="0"/>
              <w:rPr>
                <w:sz w:val="20"/>
                <w:szCs w:val="20"/>
                <w:color w:val="auto"/>
              </w:rPr>
            </w:pPr>
            <w:r>
              <w:rPr>
                <w:rFonts w:ascii="Arial" w:cs="Arial" w:eastAsia="Arial" w:hAnsi="Arial"/>
                <w:sz w:val="17"/>
                <w:szCs w:val="17"/>
                <w:color w:val="auto"/>
              </w:rPr>
              <w:t>4.9 years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5.3 years</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 average discount rate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r>
    </w:tbl>
    <w:p>
      <w:pPr>
        <w:spacing w:after="0" w:line="31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cost, net for the six months ended September 30, 2024 and 2023, respectively, were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rPr>
              <w:t>For the six months ended September 30,</w:t>
            </w:r>
          </w:p>
        </w:tc>
      </w:tr>
      <w:tr>
        <w:trPr>
          <w:trHeight w:val="190"/>
        </w:trPr>
        <w:tc>
          <w:tcPr>
            <w:tcW w:w="8240" w:type="dxa"/>
            <w:vAlign w:val="bottom"/>
            <w:tcBorders>
              <w:bottom w:val="single" w:sz="8" w:color="CCEEFF"/>
              <w:right w:val="single" w:sz="8" w:color="D9D9D9"/>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right w:val="single" w:sz="8" w:color="D9D9D9"/>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r>
      <w:tr>
        <w:trPr>
          <w:trHeight w:val="216"/>
        </w:trPr>
        <w:tc>
          <w:tcPr>
            <w:tcW w:w="8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4,708</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sublease income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leases costs, net</w:t>
            </w:r>
          </w:p>
        </w:tc>
        <w:tc>
          <w:tcPr>
            <w:tcW w:w="88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table presents future minimum payments under all operating leases and subleases (including operating leases with a duration of one year or less and excluding ASC 840 leases related to restructuring plans) as of September 30, 2024. The amount for fiscal 2025 represents the remaining six months ending March 31, 2025. All other periods represent fiscal years ending March 31 (dollars in thousands):</w:t>
      </w:r>
    </w:p>
    <w:tbl>
      <w:tblPr>
        <w:tblLayout w:type="fixed"/>
        <w:tblInd w:w="0" w:type="dxa"/>
        <w:tblCellMar>
          <w:top w:w="0" w:type="dxa"/>
          <w:left w:w="0" w:type="dxa"/>
          <w:bottom w:w="0" w:type="dxa"/>
          <w:right w:w="0" w:type="dxa"/>
        </w:tblCellMar>
      </w:tblPr>
      <w:tr>
        <w:trPr>
          <w:trHeight w:val="146"/>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Operating lease</w:t>
            </w: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rPr>
              <w:t>Payments expected</w:t>
            </w:r>
          </w:p>
        </w:tc>
        <w:tc>
          <w:tcPr>
            <w:tcW w:w="120" w:type="dxa"/>
            <w:vAlign w:val="bottom"/>
          </w:tcPr>
          <w:p>
            <w:pPr>
              <w:spacing w:after="0"/>
              <w:rPr>
                <w:sz w:val="12"/>
                <w:szCs w:val="12"/>
                <w:color w:val="auto"/>
              </w:rPr>
            </w:pPr>
          </w:p>
        </w:tc>
        <w:tc>
          <w:tcPr>
            <w:tcW w:w="14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9"/>
              </w:rPr>
              <w:t>Net operating lease</w:t>
            </w:r>
          </w:p>
        </w:tc>
        <w:tc>
          <w:tcPr>
            <w:tcW w:w="0" w:type="dxa"/>
            <w:vAlign w:val="bottom"/>
          </w:tcPr>
          <w:p>
            <w:pPr>
              <w:spacing w:after="0"/>
              <w:rPr>
                <w:sz w:val="1"/>
                <w:szCs w:val="1"/>
                <w:color w:val="auto"/>
              </w:rPr>
            </w:pPr>
          </w:p>
        </w:tc>
      </w:tr>
      <w:tr>
        <w:trPr>
          <w:trHeight w:val="144"/>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rPr>
              <w:t>under noncancellable</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payments</w:t>
            </w:r>
          </w:p>
        </w:tc>
        <w:tc>
          <w:tcPr>
            <w:tcW w:w="12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subleases</w:t>
            </w:r>
          </w:p>
        </w:tc>
        <w:tc>
          <w:tcPr>
            <w:tcW w:w="120" w:type="dxa"/>
            <w:vAlign w:val="bottom"/>
          </w:tcPr>
          <w:p>
            <w:pPr>
              <w:spacing w:after="0"/>
              <w:rPr>
                <w:sz w:val="15"/>
                <w:szCs w:val="15"/>
                <w:color w:val="auto"/>
              </w:rPr>
            </w:pPr>
          </w:p>
        </w:tc>
        <w:tc>
          <w:tcPr>
            <w:tcW w:w="1420" w:type="dxa"/>
            <w:vAlign w:val="bottom"/>
          </w:tcPr>
          <w:p>
            <w:pPr>
              <w:jc w:val="right"/>
              <w:ind w:right="35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Fiscal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Fiscal 2026</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9,255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8,196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2027</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7,247</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Fiscal 2028</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8,472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7,348</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2029</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7,372</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undiscounted lease payments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39,349</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Less: Interest and short-term leases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4,440</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discounted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38,993</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34,909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Future minimum payments as of September 30, 2024 related to ASC 840 lease liabilities under restructuring plans as a result of the Company's exit from certain leased office facilities (see Note 13) are as follows (dollars in thousands): Fiscal 2025: $1,349; and Fiscal 2026: $1,799.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7" w:name="page18"/>
    <w:bookmarkEnd w:id="17"/>
    <w:p>
      <w:pPr>
        <w:ind w:left="340" w:hanging="335"/>
        <w:spacing w:after="0"/>
        <w:tabs>
          <w:tab w:leader="none" w:pos="3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25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The Company has stock option and equity compensation plans for which a total of 51.5 million shares of the Company’s common stock have been reserved for issuance since the inception of the plans. At September 30, 2024, there were a total of 6.7 million shares available for future grants under the plans.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During the quarter ended June 30, 2024, the board of directors voted to amend the Amended and Restated 2005 Equity Compensation Plan (the "2005 Plan") to increase the number of shares available under the 2005 Plan by 2.5 million shares. The amendment received shareholder approval at the August 2024 annual shareholders' meeting. This increased the 2005 Plan shares from 46.4 million shares at March 31, 2024 to 48.9 million shares beginning in the quarter ended September 30, 2024 and increased the total number of shares reserved for issuance since inception of all plans from 49.0 million shares at March 31, 2024 to 51.5 million shares beginning in the quarter ended September 30, 2024.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Expense</w:t>
      </w:r>
    </w:p>
    <w:p>
      <w:pPr>
        <w:spacing w:after="0" w:line="23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Company's stock-based compensation activity for the six months ended September 30, 2024 and 2023, by award type, was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w w:val="99"/>
              </w:rPr>
              <w:t>For the six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Restricted stock units, time-vesting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43,929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22,175</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performance based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2,707</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Habu restricted stock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Acuity performance plan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DataFleets acquisition consideration holdback</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2,267</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Employee stock purchase plan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Directors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160"/>
        </w:trPr>
        <w:tc>
          <w:tcPr>
            <w:tcW w:w="8280" w:type="dxa"/>
            <w:vAlign w:val="bottom"/>
            <w:gridSpan w:val="2"/>
          </w:tcPr>
          <w:p>
            <w:pPr>
              <w:ind w:left="20"/>
              <w:spacing w:after="0" w:line="16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57,053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29,027</w:t>
            </w:r>
          </w:p>
        </w:tc>
        <w:tc>
          <w:tcPr>
            <w:tcW w:w="0" w:type="dxa"/>
            <w:vAlign w:val="bottom"/>
          </w:tcPr>
          <w:p>
            <w:pPr>
              <w:spacing w:after="0"/>
              <w:rPr>
                <w:sz w:val="1"/>
                <w:szCs w:val="1"/>
                <w:color w:val="auto"/>
              </w:rPr>
            </w:pPr>
          </w:p>
        </w:tc>
      </w:tr>
      <w:tr>
        <w:trPr>
          <w:trHeight w:val="227"/>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operations</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expense related to liability-based equity awards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0" w:type="dxa"/>
            <w:vAlign w:val="bottom"/>
          </w:tcPr>
          <w:p>
            <w:pPr>
              <w:spacing w:after="0"/>
              <w:rPr>
                <w:sz w:val="1"/>
                <w:szCs w:val="1"/>
                <w:color w:val="auto"/>
              </w:rPr>
            </w:pPr>
          </w:p>
        </w:tc>
      </w:tr>
      <w:tr>
        <w:trPr>
          <w:trHeight w:val="216"/>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Total non-cash stock-based compensation included in the condensed consolidated statements of equity</w:t>
            </w:r>
          </w:p>
        </w:tc>
        <w:tc>
          <w:tcPr>
            <w:tcW w:w="32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54,626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26,588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800" w:type="dxa"/>
            <w:vAlign w:val="bottom"/>
            <w:gridSpan w:val="5"/>
          </w:tcPr>
          <w:p>
            <w:pPr>
              <w:spacing w:after="0"/>
              <w:rPr>
                <w:sz w:val="20"/>
                <w:szCs w:val="20"/>
                <w:color w:val="auto"/>
              </w:rPr>
            </w:pPr>
            <w:r>
              <w:rPr>
                <w:rFonts w:ascii="Arial" w:cs="Arial" w:eastAsia="Arial" w:hAnsi="Arial"/>
                <w:sz w:val="17"/>
                <w:szCs w:val="17"/>
                <w:color w:val="auto"/>
              </w:rPr>
              <w:t>The effect of stock-based compensation expense on income, by financial statement line item, was (dollars in thousands):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w w:val="99"/>
              </w:rPr>
              <w:t>For the six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8"/>
              </w:rPr>
              <w:t>September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21,125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10,370</w:t>
            </w:r>
          </w:p>
        </w:tc>
        <w:tc>
          <w:tcPr>
            <w:tcW w:w="0" w:type="dxa"/>
            <w:vAlign w:val="bottom"/>
          </w:tcPr>
          <w:p>
            <w:pPr>
              <w:spacing w:after="0"/>
              <w:rPr>
                <w:sz w:val="1"/>
                <w:szCs w:val="1"/>
                <w:color w:val="auto"/>
              </w:rPr>
            </w:pP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8,522</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18,357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8,877</w:t>
            </w:r>
          </w:p>
        </w:tc>
        <w:tc>
          <w:tcPr>
            <w:tcW w:w="0" w:type="dxa"/>
            <w:vAlign w:val="bottom"/>
          </w:tcPr>
          <w:p>
            <w:pPr>
              <w:spacing w:after="0"/>
              <w:rPr>
                <w:sz w:val="1"/>
                <w:szCs w:val="1"/>
                <w:color w:val="auto"/>
              </w:rPr>
            </w:pPr>
          </w:p>
        </w:tc>
      </w:tr>
      <w:tr>
        <w:trPr>
          <w:trHeight w:val="150"/>
        </w:trPr>
        <w:tc>
          <w:tcPr>
            <w:tcW w:w="826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57,053</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29,027</w:t>
            </w:r>
          </w:p>
        </w:tc>
        <w:tc>
          <w:tcPr>
            <w:tcW w:w="0" w:type="dxa"/>
            <w:vAlign w:val="bottom"/>
          </w:tcPr>
          <w:p>
            <w:pPr>
              <w:spacing w:after="0"/>
              <w:rPr>
                <w:sz w:val="1"/>
                <w:szCs w:val="1"/>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3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8" w:name="page19"/>
    <w:bookmarkEnd w:id="18"/>
    <w:p>
      <w:pPr>
        <w:ind w:right="220"/>
        <w:spacing w:after="0" w:line="276" w:lineRule="auto"/>
        <w:rPr>
          <w:sz w:val="20"/>
          <w:szCs w:val="20"/>
          <w:color w:val="auto"/>
        </w:rPr>
      </w:pPr>
      <w:r>
        <w:rPr>
          <w:rFonts w:ascii="Arial" w:cs="Arial" w:eastAsia="Arial" w:hAnsi="Arial"/>
          <w:sz w:val="17"/>
          <w:szCs w:val="17"/>
          <w:color w:val="auto"/>
        </w:rPr>
        <w:t>The following table provides the expected future expense for all of the Company's outstanding equity awards at September 30, 2024, by award type. The amount for fiscal 2025 represents the remaining six months ending March 31, 2025. All other periods represent fiscal years ending March 31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ending March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5,192</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57,482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32,483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141,146</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restricted stock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11,386</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color w:val="auto"/>
              </w:rPr>
              <w:t>Expected future expense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53,043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64,964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37,715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2,980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158,702</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for the six months ended September 30,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Weighted-average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4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Aggregate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exercise price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 term</w:t>
            </w:r>
          </w:p>
        </w:tc>
        <w:tc>
          <w:tcPr>
            <w:tcW w:w="160" w:type="dxa"/>
            <w:vAlign w:val="bottom"/>
          </w:tcPr>
          <w:p>
            <w:pPr>
              <w:spacing w:after="0"/>
              <w:rPr>
                <w:sz w:val="17"/>
                <w:szCs w:val="17"/>
                <w:color w:val="auto"/>
              </w:rPr>
            </w:pPr>
          </w:p>
        </w:tc>
        <w:tc>
          <w:tcPr>
            <w:tcW w:w="12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Intrinsic value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 thousands)</w:t>
            </w: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622,122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tcPr>
          <w:p>
            <w:pPr>
              <w:jc w:val="right"/>
              <w:spacing w:after="0"/>
              <w:rPr>
                <w:sz w:val="20"/>
                <w:szCs w:val="20"/>
                <w:color w:val="auto"/>
              </w:rPr>
            </w:pPr>
            <w:r>
              <w:rPr>
                <w:rFonts w:ascii="Arial" w:cs="Arial" w:eastAsia="Arial" w:hAnsi="Arial"/>
                <w:sz w:val="17"/>
                <w:szCs w:val="17"/>
                <w:color w:val="auto"/>
              </w:rPr>
              <w:t>(189,313)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18.82</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2,455</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 or 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Outstanding at September 30,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423,910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5,202</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4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at September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253,335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2,524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aggregate intrinsic value at period end represents the total pre-tax intrinsic value (the difference between the Company’s closing stock price on the last trading day of the period and the exercise price for each in-the-money option) that would have been received by the option holders had they exercised their options on September 30, 2024. This amount changes based upon changes in the fair market value of the Company's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options outstanding and exercisable as of September 30,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Options exercisable</w:t>
            </w:r>
          </w:p>
        </w:tc>
      </w:tr>
      <w:tr>
        <w:trPr>
          <w:trHeight w:val="190"/>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Range of</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Weighted-average</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2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remaining</w:t>
            </w:r>
          </w:p>
        </w:tc>
        <w:tc>
          <w:tcPr>
            <w:tcW w:w="18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Options</w:t>
            </w:r>
          </w:p>
        </w:tc>
        <w:tc>
          <w:tcPr>
            <w:tcW w:w="20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exercise price</w:t>
            </w:r>
          </w:p>
        </w:tc>
      </w:tr>
      <w:tr>
        <w:trPr>
          <w:trHeight w:val="197"/>
        </w:trPr>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per share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contractual life</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exercisable</w:t>
            </w:r>
          </w:p>
        </w:tc>
        <w:tc>
          <w:tcPr>
            <w:tcW w:w="200" w:type="dxa"/>
            <w:vAlign w:val="bottom"/>
          </w:tcPr>
          <w:p>
            <w:pPr>
              <w:spacing w:after="0"/>
              <w:rPr>
                <w:sz w:val="17"/>
                <w:szCs w:val="17"/>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rPr>
              <w:t>per share</w:t>
            </w:r>
          </w:p>
        </w:tc>
      </w:tr>
      <w:tr>
        <w:trPr>
          <w:trHeight w:val="216"/>
        </w:trPr>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232,108</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7.8 years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w:t>
            </w:r>
          </w:p>
        </w:tc>
      </w:tr>
      <w:tr>
        <w:trPr>
          <w:trHeight w:val="223"/>
        </w:trPr>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10.00</w:t>
            </w:r>
          </w:p>
        </w:tc>
        <w:tc>
          <w:tcPr>
            <w:tcW w:w="480" w:type="dxa"/>
            <w:vAlign w:val="bottom"/>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19.99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182,603</w:t>
            </w:r>
          </w:p>
        </w:tc>
        <w:tc>
          <w:tcPr>
            <w:tcW w:w="100" w:type="dxa"/>
            <w:vAlign w:val="bottom"/>
          </w:tcPr>
          <w:p>
            <w:pPr>
              <w:spacing w:after="0"/>
              <w:rPr>
                <w:sz w:val="19"/>
                <w:szCs w:val="19"/>
                <w:color w:val="auto"/>
              </w:rPr>
            </w:pPr>
          </w:p>
        </w:tc>
        <w:tc>
          <w:tcPr>
            <w:tcW w:w="1800" w:type="dxa"/>
            <w:vAlign w:val="bottom"/>
            <w:gridSpan w:val="2"/>
          </w:tcPr>
          <w:p>
            <w:pPr>
              <w:ind w:left="960"/>
              <w:spacing w:after="0"/>
              <w:rPr>
                <w:sz w:val="20"/>
                <w:szCs w:val="20"/>
                <w:color w:val="auto"/>
              </w:rPr>
            </w:pPr>
            <w:r>
              <w:rPr>
                <w:rFonts w:ascii="Arial" w:cs="Arial" w:eastAsia="Arial" w:hAnsi="Arial"/>
                <w:sz w:val="17"/>
                <w:szCs w:val="17"/>
                <w:color w:val="auto"/>
              </w:rPr>
              <w:t>0.6 years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17.49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182,603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17.49</w:t>
            </w:r>
          </w:p>
        </w:tc>
      </w:tr>
      <w:tr>
        <w:trPr>
          <w:trHeight w:val="223"/>
        </w:trPr>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9,199</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1.7 years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423,910</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4.6 years</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253,335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14.82</w:t>
            </w:r>
          </w:p>
        </w:tc>
      </w:tr>
      <w:tr>
        <w:trPr>
          <w:trHeight w:val="20"/>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Habu Restricted Stock Awards</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During fiscal 2024, in connection with the acquisition of Habu, the Company replaced the unvested outstanding restricted stock shares held by Habu employees immediately prior to the acquisition with restricted shares of LiveRamp common stock having substantially the same terms and conditions as were applicable under the original restricted stock agreement. The conversion calculation resulted in the issuance of 36,118 replacement restricted stock shares having an acquisition-date fair value of $1.4 million. Of the $1.4 million acquisition-date fair value,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$0.1 million was attributed to pre-combination service and treated as a component of purchase consideration transferred. The remaining</w:t>
      </w:r>
    </w:p>
    <w:p>
      <w:pPr>
        <w:spacing w:after="0" w:line="14"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$1.3 million of acquisition-date fair value is considered future compensation cost and is being recognized as stock-based compensation cost over the remaining service period of the replacement restricted stock shares.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Habu restricted stock share activity for the six months ended September 30, 2024 was: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Weighted average</w:t>
            </w:r>
          </w:p>
        </w:tc>
        <w:tc>
          <w:tcPr>
            <w:tcW w:w="20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fair value per</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rPr>
              <w:t>Weighted 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share at grant</w:t>
            </w:r>
          </w:p>
        </w:tc>
        <w:tc>
          <w:tcPr>
            <w:tcW w:w="2060" w:type="dxa"/>
            <w:vAlign w:val="bottom"/>
          </w:tcPr>
          <w:p>
            <w:pPr>
              <w:jc w:val="center"/>
              <w:ind w:left="3"/>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The total fair value of restricted stock awards vested during the six months ended September 30, 2024 was $0.5 million and is measured as the quoted market price of the Company's common stock on the vesting date for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Unit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Time-vesting restricted stock units ("RSUs") -</w:t>
      </w:r>
    </w:p>
    <w:p>
      <w:pPr>
        <w:spacing w:after="0" w:line="23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During the six months ended September 30, 2024, the Company granted time-vesting RSUs covering 1,801,372 shares of common stock and having a fair value at the date of grant of $57.8 million. The RSUs granted in the current year will vest over three years. Grant date fair value of these units is equal to the quoted market price for the shares on the date of grant. RSU activity for the six months ended September 30, 2024 was: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4,401,513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31.10</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1,801,372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32.10</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29.49</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(321,646)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31.89</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4,342,209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32.03</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The total fair value of RSUs vested during the six months ended September 30, 2024 was $46.2 million and is measured as the quoted market price of the Company's common stock on the vesting date times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restricted stock units ("PSUs") -</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2025 plan:</w:t>
      </w:r>
    </w:p>
    <w:p>
      <w:pPr>
        <w:spacing w:after="0" w:line="32" w:lineRule="exact"/>
        <w:rPr>
          <w:sz w:val="20"/>
          <w:szCs w:val="20"/>
          <w:color w:val="auto"/>
        </w:rPr>
      </w:pPr>
    </w:p>
    <w:p>
      <w:pPr>
        <w:ind w:left="640" w:right="140"/>
        <w:spacing w:after="0" w:line="280" w:lineRule="auto"/>
        <w:rPr>
          <w:sz w:val="20"/>
          <w:szCs w:val="20"/>
          <w:color w:val="auto"/>
        </w:rPr>
      </w:pPr>
      <w:r>
        <w:rPr>
          <w:rFonts w:ascii="Arial" w:cs="Arial" w:eastAsia="Arial" w:hAnsi="Arial"/>
          <w:sz w:val="17"/>
          <w:szCs w:val="17"/>
          <w:color w:val="auto"/>
        </w:rPr>
        <w:t>During the six months ended September 30, 2024, the Company granted PSUs covering 429,857 shares of common stock having a fair value at the date of grant of $15.5 million. The grants were made under two separate performance plans.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0" w:name="page21"/>
    <w:bookmarkEnd w:id="20"/>
    <w:p>
      <w:pPr>
        <w:ind w:left="640" w:right="20"/>
        <w:spacing w:after="0" w:line="267" w:lineRule="auto"/>
        <w:rPr>
          <w:sz w:val="20"/>
          <w:szCs w:val="20"/>
          <w:color w:val="auto"/>
        </w:rPr>
      </w:pPr>
      <w:r>
        <w:rPr>
          <w:rFonts w:ascii="Arial" w:cs="Arial" w:eastAsia="Arial" w:hAnsi="Arial"/>
          <w:sz w:val="17"/>
          <w:szCs w:val="17"/>
          <w:color w:val="auto"/>
        </w:rPr>
        <w:t>Under the total shareholder return ("TSR") performance plan, units covering 128,953 shares of common stock were granted having a fair value at the date of grant of $5.6 million, determined using a Monte Carlo simulation model. The units vest subject to attainment of market conditions established by the talent and compensation committee of the board of directors (“compensation committee”) and continuous employment through the vesting date. The units may vest in a number of shares from 0% to 200% of the award, based on the TSR of LiveRamp common stock compared to the TSR of the Russell 2000 market index for the period from April 1, 2024 to March 31, 2027.</w:t>
      </w:r>
    </w:p>
    <w:p>
      <w:pPr>
        <w:spacing w:after="0" w:line="200" w:lineRule="exact"/>
        <w:rPr>
          <w:sz w:val="20"/>
          <w:szCs w:val="20"/>
          <w:color w:val="auto"/>
        </w:rPr>
      </w:pPr>
    </w:p>
    <w:p>
      <w:pPr>
        <w:spacing w:after="0" w:line="208" w:lineRule="exact"/>
        <w:rPr>
          <w:sz w:val="20"/>
          <w:szCs w:val="20"/>
          <w:color w:val="auto"/>
        </w:rPr>
      </w:pPr>
    </w:p>
    <w:p>
      <w:pPr>
        <w:ind w:left="640" w:right="220"/>
        <w:spacing w:after="0" w:line="268" w:lineRule="auto"/>
        <w:rPr>
          <w:sz w:val="20"/>
          <w:szCs w:val="20"/>
          <w:color w:val="auto"/>
        </w:rPr>
      </w:pPr>
      <w:r>
        <w:rPr>
          <w:rFonts w:ascii="Arial" w:cs="Arial" w:eastAsia="Arial" w:hAnsi="Arial"/>
          <w:sz w:val="17"/>
          <w:szCs w:val="17"/>
          <w:color w:val="auto"/>
        </w:rPr>
        <w:t>Under the operating metrics performance plan, units covering 300,904 shares of common stock were granted having a fair value at the date of grant of $9.9 million, which was equal to the quoted market price for the shares on the date of grant. The units vest subject to attainment of performance criteria established by the compensation committee and continuous employment through the vesting date. The units may vest in a number of shares from 0% to 200% of the award, at the end of the performance period, based on the average attainment of annual revenue growth and EBITDA margin targets for fiscal years 2025, 2026, and 2027.</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2024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2024 TSR performance plan, net of forfeitures, covering 199,946 shares of common stock will reach maturity of their relevant performance period at March 31, 2026. The units may vest in a number of shares from 0% to 200% of the award, based on the TSR of LiveRamp common stock compared to the TSR of the Russell 2000 market index for the period from April 1, 2023 to March 31, 2026.</w:t>
      </w:r>
    </w:p>
    <w:p>
      <w:pPr>
        <w:spacing w:after="0" w:line="196" w:lineRule="exact"/>
        <w:rPr>
          <w:sz w:val="20"/>
          <w:szCs w:val="20"/>
          <w:color w:val="auto"/>
        </w:rPr>
      </w:pPr>
    </w:p>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2024 operating metrics performance plan, net of forfeitures, covering 466,550 shares of common stock will reach maturity of their relevant performance period at March 31, 2026. The units may vest in a number of shares from 0% to 200% of the award, at the end of the performance period, based on the average attainment of annual revenue growth and EBITDA margin targets for fiscal years 2024, 2025, and 2026.</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2023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2023 TSR performance plan, net of forfeitures, covering 101,931 shares of common stock will reach maturity of their relevant performance period at March 31, 2025. The units may vest in a number of shares from 0% to 200% of the award, based on the TSR of LiveRamp common stock compared to the TSR of the Russell 2000 market index for the period from April 1, 2022 to March 31, 2025.</w:t>
      </w:r>
    </w:p>
    <w:p>
      <w:pPr>
        <w:spacing w:after="0" w:line="196" w:lineRule="exact"/>
        <w:rPr>
          <w:sz w:val="20"/>
          <w:szCs w:val="20"/>
          <w:color w:val="auto"/>
        </w:rPr>
      </w:pPr>
    </w:p>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2023 operating metrics performance plan, net of forfeitures, covering 237,837 shares of common stock will reach maturity of their relevant performance period at March 31, 2025. The units may vest in a number of shares from 0% to 200% of the award, at the end of the performance period, based on the average attainment of annual revenue growth and EBITDA margin targets for fiscal years 2023, 2024, and 2025.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PSU activity for the six months ended September 30, 2024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1,095,748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31.15</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429,857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36.14</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55.65</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51.21</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1,436,121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31.30</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The total fair value of PSUs vested in the six months ended September 30, 2024 was $1.0 million and is measured as the quoted market price of the Company’s common stock on the vesting date times the number of shares vested.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Other Stock Compensation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Acquisition-related Consideration Holdback</w:t>
      </w:r>
    </w:p>
    <w:p>
      <w:pPr>
        <w:spacing w:after="0" w:line="23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Through September 30, 2024, the Company has recognized a total of $3.3 million as stock-based compensation expense related to the Habu consideration holdback. At September 30, 2024, the recognized, but unpaid, balance related to the Habu consideration holdback in other accrued expenses in the condensed consolidated balance sheet was $3.3 million. The first annual settlement of $4.9 million is expected to occur in the fourth quarter of fiscal 2025.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Qualified Employee Stock Purchase Plan ("ESPP")</w:t>
      </w:r>
    </w:p>
    <w:p>
      <w:pPr>
        <w:spacing w:after="0" w:line="250"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color w:val="auto"/>
        </w:rPr>
        <w:t>During the six months ended September 30, 2024, 104,574 shares of common stock were purchased under the ESPP at a weighted-average price of $26.60 per share, resulting in cash proceeds of $2.8 million over the relevant offering periods.</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Stock-based compensation expense associated with the ESPP was $0.9 million for the six months ended September 30, 2024. At September 30, 2024, there was approximately $0.3 million of total unrecognized stock-based compensation expense related to the ESPP, which is expected to be recognized on a straight-line basis over the remaining term of the current offering period.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6.</w:t>
        <w:tab/>
        <w:t>OTHER CURRENT AND NONCURRENT ASSETS: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Other current assets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6"/>
                <w:szCs w:val="16"/>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expenses and other</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Assets of non-qualified retirement plan</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14,284</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31,682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Other noncurrent assets consist of the following (dollars in thousands):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prepaid revenue share</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Right-of-use assets (see Note 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24,471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Deposits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investments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 noncurrent assets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36,748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2" w:name="page23"/>
    <w:bookmarkEnd w:id="22"/>
    <w:p>
      <w:pPr>
        <w:spacing w:after="0"/>
        <w:tabs>
          <w:tab w:leader="none" w:pos="320" w:val="left"/>
        </w:tabs>
        <w:rPr>
          <w:sz w:val="20"/>
          <w:szCs w:val="20"/>
          <w:color w:val="auto"/>
        </w:rPr>
      </w:pPr>
      <w:r>
        <w:rPr>
          <w:rFonts w:ascii="Arial" w:cs="Arial" w:eastAsia="Arial" w:hAnsi="Arial"/>
          <w:sz w:val="17"/>
          <w:szCs w:val="17"/>
          <w:b w:val="1"/>
          <w:bCs w:val="1"/>
          <w:color w:val="auto"/>
        </w:rPr>
        <w:t>7.</w:t>
        <w:tab/>
        <w:t>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is summarized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44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14,147</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Data processing equipment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5,915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other equipment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5,332</w:t>
            </w:r>
          </w:p>
        </w:tc>
      </w:tr>
      <w:tr>
        <w:trPr>
          <w:trHeight w:val="216"/>
        </w:trPr>
        <w:tc>
          <w:tcPr>
            <w:tcW w:w="8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25,678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25,394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(17,213)</w:t>
            </w: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and amortization</w:t>
            </w:r>
          </w:p>
        </w:tc>
        <w:tc>
          <w:tcPr>
            <w:tcW w:w="440" w:type="dxa"/>
            <w:vAlign w:val="bottom"/>
            <w:tcBorders>
              <w:bottom w:val="single" w:sz="8" w:color="auto"/>
            </w:tcBorders>
          </w:tcPr>
          <w:p>
            <w:pPr>
              <w:jc w:val="right"/>
              <w:ind w:right="258"/>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8,181</w:t>
            </w:r>
          </w:p>
        </w:tc>
      </w:tr>
      <w:tr>
        <w:trPr>
          <w:trHeight w:val="20"/>
        </w:trPr>
        <w:tc>
          <w:tcPr>
            <w:tcW w:w="8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on property and equipment was $1.4 million for both the six months ended September 30, 2024 and 2023, respectively.</w:t>
      </w:r>
    </w:p>
    <w:p>
      <w:pPr>
        <w:spacing w:after="0" w:line="200" w:lineRule="exact"/>
        <w:rPr>
          <w:sz w:val="20"/>
          <w:szCs w:val="20"/>
          <w:color w:val="auto"/>
        </w:rPr>
      </w:pPr>
    </w:p>
    <w:p>
      <w:pPr>
        <w:spacing w:after="0" w:line="28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8.</w:t>
        <w:tab/>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Changes in goodwill for the six months ended September 30, 2024 was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March 31, 2024</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501,756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Change in foreign currency translation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2024</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501,924</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Goodwill by geography as of September 30, 2024 was: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501,924</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ind w:left="340" w:hanging="335"/>
        <w:spacing w:after="0"/>
        <w:tabs>
          <w:tab w:leader="none" w:pos="3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amounts allocated to intangible assets from acquisitions include developed technology, customer relationships, trade names, and publisher and data supply relationships. The following table shows the amortization activity of intangible assets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 gross</w:t>
            </w: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102,076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(70,743)</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developed technology</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31,333</w:t>
            </w:r>
          </w:p>
        </w:tc>
      </w:tr>
      <w:tr>
        <w:trPr>
          <w:trHeight w:val="203"/>
        </w:trPr>
        <w:tc>
          <w:tcPr>
            <w:tcW w:w="8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relationship/trade name,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37,882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(34,632)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customer relationship/trade name</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w:t>
            </w:r>
          </w:p>
        </w:tc>
      </w:tr>
      <w:tr>
        <w:trPr>
          <w:trHeight w:val="203"/>
        </w:trPr>
        <w:tc>
          <w:tcPr>
            <w:tcW w:w="8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Publisher/data supply relationships,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publisher/data supply relationships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8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intangible assets,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155,958</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(129,059)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(121,375)</w:t>
            </w: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right="40"/>
        <w:spacing w:after="0" w:line="300" w:lineRule="auto"/>
        <w:rPr>
          <w:sz w:val="20"/>
          <w:szCs w:val="20"/>
          <w:color w:val="auto"/>
        </w:rPr>
      </w:pPr>
      <w:r>
        <w:rPr>
          <w:rFonts w:ascii="Arial" w:cs="Arial" w:eastAsia="Arial" w:hAnsi="Arial"/>
          <w:sz w:val="17"/>
          <w:szCs w:val="17"/>
          <w:color w:val="auto"/>
        </w:rPr>
        <w:t>Total amortization expense related to intangible assets was $7.6 million and $4.5 million for the six months ended September 30, 2024 and 2023, respectively.</w:t>
      </w:r>
    </w:p>
    <w:p>
      <w:pPr>
        <w:spacing w:after="0" w:line="167"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The following table presents the estimated future amortization expenses related to intangible assets. The amount for fiscal 2025 represents the remaining six months ending March 31, 2025. All other periods represent fiscal years ending March 31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4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2025</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6,822</w:t>
            </w:r>
          </w:p>
        </w:tc>
        <w:tc>
          <w:tcPr>
            <w:tcW w:w="0" w:type="dxa"/>
            <w:vAlign w:val="bottom"/>
          </w:tcPr>
          <w:p>
            <w:pPr>
              <w:spacing w:after="0"/>
              <w:rPr>
                <w:sz w:val="1"/>
                <w:szCs w:val="1"/>
                <w:color w:val="auto"/>
              </w:rPr>
            </w:pPr>
          </w:p>
        </w:tc>
      </w:tr>
      <w:tr>
        <w:trPr>
          <w:trHeight w:val="223"/>
        </w:trPr>
        <w:tc>
          <w:tcPr>
            <w:tcW w:w="8260" w:type="dxa"/>
            <w:vAlign w:val="bottom"/>
          </w:tcPr>
          <w:p>
            <w:pPr>
              <w:ind w:left="540"/>
              <w:spacing w:after="0"/>
              <w:rPr>
                <w:sz w:val="20"/>
                <w:szCs w:val="20"/>
                <w:color w:val="auto"/>
              </w:rPr>
            </w:pPr>
            <w:r>
              <w:rPr>
                <w:rFonts w:ascii="Arial" w:cs="Arial" w:eastAsia="Arial" w:hAnsi="Arial"/>
                <w:sz w:val="17"/>
                <w:szCs w:val="17"/>
                <w:color w:val="auto"/>
              </w:rPr>
              <w:t>2026</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9,167</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26,989</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7"/>
                <w:szCs w:val="17"/>
                <w:b w:val="1"/>
                <w:bCs w:val="1"/>
                <w:color w:val="auto"/>
              </w:rPr>
              <w:t>10.  OTHER ACCRUED EXPENSES:</w:t>
            </w: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82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60" w:type="dxa"/>
            <w:vAlign w:val="bottom"/>
          </w:tcPr>
          <w:p>
            <w:pPr>
              <w:spacing w:after="0"/>
              <w:rPr>
                <w:sz w:val="20"/>
                <w:szCs w:val="20"/>
                <w:color w:val="auto"/>
              </w:rPr>
            </w:pPr>
            <w:r>
              <w:rPr>
                <w:rFonts w:ascii="Arial" w:cs="Arial" w:eastAsia="Arial" w:hAnsi="Arial"/>
                <w:sz w:val="17"/>
                <w:szCs w:val="17"/>
                <w:color w:val="auto"/>
              </w:rPr>
              <w:t>Other accrued expenses consist of the following (dollars in thousands):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 of non-qualified retirement plan</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Short-term lease liabilities (see Note 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10,125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miscellaneous accrued expenses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17,918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18,448</w:t>
            </w: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Other accrued expenses</w:t>
            </w:r>
          </w:p>
        </w:tc>
        <w:tc>
          <w:tcPr>
            <w:tcW w:w="460" w:type="dxa"/>
            <w:vAlign w:val="bottom"/>
            <w:tcBorders>
              <w:bottom w:val="single" w:sz="8" w:color="auto"/>
            </w:tcBorders>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44,515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42,857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4" w:name="page25"/>
    <w:bookmarkEnd w:id="24"/>
    <w:p>
      <w:pPr>
        <w:spacing w:after="0"/>
        <w:tabs>
          <w:tab w:leader="none" w:pos="420" w:val="left"/>
        </w:tabs>
        <w:rPr>
          <w:sz w:val="20"/>
          <w:szCs w:val="20"/>
          <w:color w:val="auto"/>
        </w:rPr>
      </w:pPr>
      <w:r>
        <w:rPr>
          <w:rFonts w:ascii="Arial" w:cs="Arial" w:eastAsia="Arial" w:hAnsi="Arial"/>
          <w:sz w:val="17"/>
          <w:szCs w:val="17"/>
          <w:b w:val="1"/>
          <w:bCs w:val="1"/>
          <w:color w:val="auto"/>
        </w:rPr>
        <w:t>11.</w:t>
        <w:tab/>
        <w:t>OTHER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6"/>
                <w:szCs w:val="16"/>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2024</w:t>
            </w:r>
          </w:p>
        </w:tc>
        <w:tc>
          <w:tcPr>
            <w:tcW w:w="20" w:type="dxa"/>
            <w:vAlign w:val="bottom"/>
          </w:tcPr>
          <w:p>
            <w:pPr>
              <w:spacing w:after="0"/>
              <w:rPr>
                <w:sz w:val="16"/>
                <w:szCs w:val="16"/>
                <w:color w:val="auto"/>
              </w:rPr>
            </w:pPr>
          </w:p>
        </w:tc>
      </w:tr>
      <w:tr>
        <w:trPr>
          <w:trHeight w:val="216"/>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Uncertain tax positions</w:t>
            </w:r>
          </w:p>
        </w:tc>
        <w:tc>
          <w:tcPr>
            <w:tcW w:w="48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27,094</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25,289</w:t>
            </w:r>
          </w:p>
        </w:tc>
        <w:tc>
          <w:tcPr>
            <w:tcW w:w="20" w:type="dxa"/>
            <w:vAlign w:val="bottom"/>
          </w:tcPr>
          <w:p>
            <w:pPr>
              <w:spacing w:after="0"/>
              <w:rPr>
                <w:sz w:val="18"/>
                <w:szCs w:val="18"/>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Long-term lease liabilities (see Note 4)</w:t>
            </w:r>
          </w:p>
        </w:tc>
        <w:tc>
          <w:tcPr>
            <w:tcW w:w="48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28,894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32,097</w:t>
            </w:r>
          </w:p>
        </w:tc>
        <w:tc>
          <w:tcPr>
            <w:tcW w:w="20" w:type="dxa"/>
            <w:vAlign w:val="bottom"/>
          </w:tcPr>
          <w:p>
            <w:pPr>
              <w:spacing w:after="0"/>
              <w:rPr>
                <w:sz w:val="19"/>
                <w:szCs w:val="19"/>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restructuring accruals and related sublease deposits</w:t>
            </w:r>
          </w:p>
        </w:tc>
        <w:tc>
          <w:tcPr>
            <w:tcW w:w="4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3,423</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20" w:type="dxa"/>
            <w:vAlign w:val="bottom"/>
          </w:tcPr>
          <w:p>
            <w:pPr>
              <w:spacing w:after="0"/>
              <w:rPr>
                <w:sz w:val="19"/>
                <w:szCs w:val="19"/>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48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w:t>
            </w:r>
          </w:p>
        </w:tc>
        <w:tc>
          <w:tcPr>
            <w:tcW w:w="20" w:type="dxa"/>
            <w:vAlign w:val="bottom"/>
          </w:tcPr>
          <w:p>
            <w:pPr>
              <w:spacing w:after="0"/>
              <w:rPr>
                <w:sz w:val="19"/>
                <w:szCs w:val="19"/>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D9D9D9"/>
            </w:tcBorders>
            <w:shd w:val="clear" w:color="auto" w:fill="CCEEFF"/>
          </w:tcPr>
          <w:p>
            <w:pPr>
              <w:jc w:val="right"/>
              <w:ind w:right="13"/>
              <w:spacing w:after="0"/>
              <w:rPr>
                <w:sz w:val="20"/>
                <w:szCs w:val="20"/>
                <w:color w:val="auto"/>
              </w:rPr>
            </w:pPr>
            <w:r>
              <w:rPr>
                <w:rFonts w:ascii="Arial" w:cs="Arial" w:eastAsia="Arial" w:hAnsi="Arial"/>
                <w:sz w:val="17"/>
                <w:szCs w:val="17"/>
                <w:color w:val="auto"/>
              </w:rPr>
              <w:t>3,690</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4,165</w:t>
            </w:r>
          </w:p>
        </w:tc>
        <w:tc>
          <w:tcPr>
            <w:tcW w:w="20" w:type="dxa"/>
            <w:vAlign w:val="bottom"/>
            <w:tcBorders>
              <w:bottom w:val="single" w:sz="8" w:color="D9D9D9"/>
            </w:tcBorders>
            <w:shd w:val="clear" w:color="auto" w:fill="D9D9D9"/>
          </w:tcPr>
          <w:p>
            <w:pPr>
              <w:spacing w:after="0"/>
              <w:rPr>
                <w:sz w:val="19"/>
                <w:szCs w:val="19"/>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7"/>
                <w:szCs w:val="17"/>
                <w:color w:val="auto"/>
              </w:rPr>
              <w:t>Other liabilities</w:t>
            </w:r>
          </w:p>
        </w:tc>
        <w:tc>
          <w:tcPr>
            <w:tcW w:w="480" w:type="dxa"/>
            <w:vAlign w:val="bottom"/>
            <w:tcBorders>
              <w:bottom w:val="single" w:sz="8" w:color="auto"/>
            </w:tcBorders>
          </w:tcPr>
          <w:p>
            <w:pPr>
              <w:jc w:val="right"/>
              <w:ind w:right="278"/>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D9D9D9"/>
            </w:tcBorders>
          </w:tcPr>
          <w:p>
            <w:pPr>
              <w:jc w:val="right"/>
              <w:ind w:right="13"/>
              <w:spacing w:after="0"/>
              <w:rPr>
                <w:sz w:val="20"/>
                <w:szCs w:val="20"/>
                <w:color w:val="auto"/>
              </w:rPr>
            </w:pPr>
            <w:r>
              <w:rPr>
                <w:rFonts w:ascii="Arial" w:cs="Arial" w:eastAsia="Arial" w:hAnsi="Arial"/>
                <w:sz w:val="17"/>
                <w:szCs w:val="17"/>
                <w:color w:val="auto"/>
              </w:rPr>
              <w:t>63,363</w:t>
            </w:r>
          </w:p>
        </w:tc>
        <w:tc>
          <w:tcPr>
            <w:tcW w:w="140" w:type="dxa"/>
            <w:vAlign w:val="bottom"/>
            <w:tcBorders>
              <w:right w:val="single" w:sz="8" w:color="D9D9D9"/>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65,732</w:t>
            </w:r>
          </w:p>
        </w:tc>
        <w:tc>
          <w:tcPr>
            <w:tcW w:w="20" w:type="dxa"/>
            <w:vAlign w:val="bottom"/>
            <w:tcBorders>
              <w:bottom w:val="single" w:sz="8" w:color="auto"/>
            </w:tcBorders>
            <w:shd w:val="clear" w:color="auto" w:fill="D9D9D9"/>
          </w:tcPr>
          <w:p>
            <w:pPr>
              <w:spacing w:after="0"/>
              <w:rPr>
                <w:sz w:val="18"/>
                <w:szCs w:val="18"/>
                <w:color w:val="auto"/>
              </w:rPr>
            </w:pPr>
          </w:p>
        </w:tc>
      </w:tr>
      <w:tr>
        <w:trPr>
          <w:trHeight w:val="20"/>
        </w:trPr>
        <w:tc>
          <w:tcPr>
            <w:tcW w:w="8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440" w:hanging="435"/>
        <w:spacing w:after="0"/>
        <w:tabs>
          <w:tab w:leader="none" w:pos="4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ALLOWANCE FOR CREDIT LOSSES:</w:t>
      </w:r>
    </w:p>
    <w:p>
      <w:pPr>
        <w:spacing w:after="0" w:line="22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activity of allowance for credit losses, returns and credits (dollars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Balance at</w:t>
            </w: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Additions charged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rPr>
              <w:t>Bad debts written off,</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Balance at end of</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w w:val="99"/>
              </w:rPr>
              <w:t>beginning of</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to costs and</w:t>
            </w: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changes</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9"/>
              </w:rPr>
              <w:t>net of amounts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period</w:t>
            </w: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recovered</w:t>
            </w:r>
          </w:p>
        </w:tc>
        <w:tc>
          <w:tcPr>
            <w:tcW w:w="260" w:type="dxa"/>
            <w:vAlign w:val="bottom"/>
          </w:tcPr>
          <w:p>
            <w:pPr>
              <w:spacing w:after="0"/>
              <w:rPr>
                <w:sz w:val="15"/>
                <w:szCs w:val="15"/>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six months ended September 30,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9,199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9,936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440" w:hanging="435"/>
        <w:spacing w:after="0"/>
        <w:tabs>
          <w:tab w:leader="none" w:pos="4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IMPAIRMENT AND OTHER CHARGES:</w:t>
      </w:r>
    </w:p>
    <w:p>
      <w:pPr>
        <w:spacing w:after="0" w:line="226" w:lineRule="exact"/>
        <w:rPr>
          <w:sz w:val="20"/>
          <w:szCs w:val="20"/>
          <w:color w:val="auto"/>
        </w:rPr>
      </w:pPr>
    </w:p>
    <w:p>
      <w:pPr>
        <w:ind w:right="380"/>
        <w:spacing w:after="0" w:line="300" w:lineRule="auto"/>
        <w:rPr>
          <w:sz w:val="20"/>
          <w:szCs w:val="20"/>
          <w:color w:val="auto"/>
        </w:rPr>
      </w:pPr>
      <w:r>
        <w:rPr>
          <w:rFonts w:ascii="Arial" w:cs="Arial" w:eastAsia="Arial" w:hAnsi="Arial"/>
          <w:sz w:val="17"/>
          <w:szCs w:val="17"/>
          <w:color w:val="auto"/>
        </w:rPr>
        <w:t>Restructuring activities result in various costs, including asset write-offs, right of use ("ROU") asset group impairments, exit charges including severance, contract termination fees, and decommissioning and other costs.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 reconciliation of the beginning and ending restructuring liabilities is shown below for the six months ended September 30, 2024. The restructuring charges and adjustments are included in gains, losses and other items, net in the condensed consolidated statements of operations. The reserve balances are included in other accrued expenses and other liabilities in the condensed consolidated balance sheets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Employee-related</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Lease</w:t>
            </w:r>
          </w:p>
        </w:tc>
        <w:tc>
          <w:tcPr>
            <w:tcW w:w="340" w:type="dxa"/>
            <w:vAlign w:val="bottom"/>
          </w:tcPr>
          <w:p>
            <w:pPr>
              <w:spacing w:after="0"/>
              <w:rPr>
                <w:sz w:val="14"/>
                <w:szCs w:val="14"/>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accruals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4,605</w:t>
            </w: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7"/>
                <w:szCs w:val="17"/>
                <w:color w:val="auto"/>
              </w:rPr>
              <w:t>Restructuring charges and adjustments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(2,179)</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Balances at September 30,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Employee-related Restructuring Plans</w:t>
      </w:r>
    </w:p>
    <w:p>
      <w:pPr>
        <w:spacing w:after="0" w:line="22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During the six months ended September 30, 2024, the Company recorded a total of $0.6 million in employee-related restructuring charges and adjustments. The expense included $0.5 million of severance and other employee-related charges in the United States and $0.1 million in adjustments to the fiscal 2021 employee-related restructuring plans for employees in the United States. Of the fiscal 2025 employee-related restructuring plans, $0.3 million remained accrued as of September 30, 2024 and is expected to be paid out during fiscal 2025.</w:t>
      </w:r>
    </w:p>
    <w:p>
      <w:pPr>
        <w:spacing w:after="0" w:line="192"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In fiscal 2024, the Company recorded a total of $4.2 million in employee-related restructuring charges and adjustments. The expense included severance and other employee-related charges in the United States, Europe, and APAC of $4.0 million and adjustments to the fiscal 2021 and fiscal 2023 employee-related restructuring plans for employees in the United States and Europe of $0.2 million. Of the fiscal 2024 employee-related restructuring plans, $0.3 million remained accrued as of September 30, 2024 and is expected to be paid out during fiscal 2025.</w:t>
      </w:r>
    </w:p>
    <w:p>
      <w:pPr>
        <w:spacing w:after="0" w:line="19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fiscal 2021, the Company recorded a total of $1.7 million in employee-related restructuring charges and adjustments. The expense included severance and other employee-related charges in the United States and Europe. The remaining fiscal 2021 employee-related charges were paid out during fiscal 2025.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Lease-related Impairments and Restructuring Plans</w:t>
      </w:r>
    </w:p>
    <w:p>
      <w:pPr>
        <w:spacing w:after="0" w:line="2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fiscal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w:t>
      </w:r>
    </w:p>
    <w:p>
      <w:pPr>
        <w:spacing w:after="0" w:line="19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impairment charges totaling $26.5 million during fiscal 2023 and 2024,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$4.3 million. Additionally, the Company recorded $ 2.8 million in lease-related restructuring charges and adjustments during fiscal 2023 and 2024 that covered other obligations related to the leased office spaces in San Francisco and Phoenix. Of the combined fiscal 2023 and 2024 lease-related restructuring charges of $ 2.8 million, $1.5 million remain accrued as of September 30, 2024 and will be satisfied over the remainder of the San Francisco lease term, which continues through April 2029.</w:t>
      </w:r>
    </w:p>
    <w:p>
      <w:pPr>
        <w:spacing w:after="0" w:line="200" w:lineRule="exact"/>
        <w:rPr>
          <w:sz w:val="20"/>
          <w:szCs w:val="20"/>
          <w:color w:val="auto"/>
        </w:rPr>
      </w:pPr>
    </w:p>
    <w:p>
      <w:pPr>
        <w:spacing w:after="0" w:line="21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fiscal 2017, the Company made the strategic decision to exit and sub-lease a certain leased office facility under a staggered-exit plan. The full exit was completed in fiscal 2019. We intend to continue subleasing the facility to the extent possible. The liability will be satisfied over the remainder of the leased property's term, which continues through November 2025. Any future changes in the estimates or in the actual sublease income may require future adjustments to the liabilities, which would impact net earnings (loss) in the period the adjustment is recorded. Through September 30, 2024, the Company has recorded a total of $7.3 million of restructuring charges and adjustments related to this lease. Of the amount accrued for this facility lease, $0.9 million remained accrued at September 30, 2024.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Gains, Losses and Other Items, Net</w:t>
      </w: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summarizes the activity included in gains, losses and other items, net in the condensed consolidated statements of operations for each of the periods presented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6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99"/>
              </w:rPr>
              <w:t>Six Months Ended September 30,</w:t>
            </w:r>
          </w:p>
        </w:tc>
      </w:tr>
      <w:tr>
        <w:trPr>
          <w:trHeight w:val="190"/>
        </w:trPr>
        <w:tc>
          <w:tcPr>
            <w:tcW w:w="61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Employee-related restructuring plan charges</w:t>
            </w:r>
          </w:p>
        </w:tc>
        <w:tc>
          <w:tcPr>
            <w:tcW w:w="800" w:type="dxa"/>
            <w:vAlign w:val="bottom"/>
            <w:shd w:val="clear" w:color="auto" w:fill="CCEEFF"/>
          </w:tcPr>
          <w:p>
            <w:pPr>
              <w:jc w:val="right"/>
              <w:ind w:right="601"/>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Lease-related restructuring plan charges and adjustments</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398</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 group impairments and adjustments</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w:t>
            </w:r>
          </w:p>
        </w:tc>
      </w:tr>
      <w:tr>
        <w:trPr>
          <w:trHeight w:val="223"/>
        </w:trPr>
        <w:tc>
          <w:tcPr>
            <w:tcW w:w="6120" w:type="dxa"/>
            <w:vAlign w:val="bottom"/>
          </w:tcPr>
          <w:p>
            <w:pPr>
              <w:ind w:left="20"/>
              <w:spacing w:after="0"/>
              <w:rPr>
                <w:sz w:val="20"/>
                <w:szCs w:val="20"/>
                <w:color w:val="auto"/>
              </w:rPr>
            </w:pPr>
            <w:r>
              <w:rPr>
                <w:rFonts w:ascii="Arial" w:cs="Arial" w:eastAsia="Arial" w:hAnsi="Arial"/>
                <w:sz w:val="17"/>
                <w:szCs w:val="17"/>
                <w:color w:val="auto"/>
              </w:rPr>
              <w:t>Goodwill impairment</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2,875</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6,574</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603</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6,690</w:t>
            </w:r>
          </w:p>
        </w:tc>
      </w:tr>
      <w:tr>
        <w:trPr>
          <w:trHeight w:val="20"/>
        </w:trPr>
        <w:tc>
          <w:tcPr>
            <w:tcW w:w="6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hanging="495"/>
        <w:spacing w:after="0"/>
        <w:tabs>
          <w:tab w:leader="none" w:pos="5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Legal Matters</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is involved in various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condensed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condensed consolidated financial condition or results of operations. The Company maintains insurance coverage above certain limits.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Commitments</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following table presents the Company’s purchase commitments at September 30, 2024. Purchase commitments primarily include contractual commitments for the purchase of data, hosting services, software-as-a-service arrangements and leasehold improvements. The table does not include the future payment of liabilities related to uncertain tax positions of $27.1 million as the Company is not able to predict the periods in which the payments will be made. The amount for 2025 represents the remaining six months ending March 31, 2025. All other periods represent fiscal years ending March 31 (dollars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84"/>
              <w:spacing w:after="0"/>
              <w:rPr>
                <w:sz w:val="20"/>
                <w:szCs w:val="20"/>
                <w:color w:val="auto"/>
              </w:rPr>
            </w:pPr>
            <w:r>
              <w:rPr>
                <w:rFonts w:ascii="Arial" w:cs="Arial" w:eastAsia="Arial" w:hAnsi="Arial"/>
                <w:sz w:val="14"/>
                <w:szCs w:val="14"/>
                <w:b w:val="1"/>
                <w:bCs w:val="1"/>
                <w:color w:val="auto"/>
                <w:w w:val="98"/>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34,486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22,318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6,327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66,506</w:t>
            </w:r>
          </w:p>
        </w:tc>
      </w:tr>
    </w:tbl>
    <w:p>
      <w:pPr>
        <w:spacing w:after="0" w:line="272"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7" w:name="page28"/>
    <w:bookmarkEnd w:id="27"/>
    <w:p>
      <w:pPr>
        <w:ind w:left="440" w:hanging="435"/>
        <w:spacing w:after="0"/>
        <w:tabs>
          <w:tab w:leader="none" w:pos="4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determining the quarterly provision for income taxes, the Company has historically applied its estimated annual effective tax rate ("AETR") to its year-to-date ordinary income or loss. However, due to the fact that small changes in the Company's annual estimated pretax income or loss would result in significant changes in the estimated AETR, the historical method was not considered to provide a reliable estimate as it is disproportionately sensitive to minor fluctuations in forecasted income. As such, the Company has computed its income tax expense for the three and six months ended September 30, 2024 using a discrete approach based on actual year-to-date results. The income tax expense was primarily driven by nondeductible stock-based compensation, capitalization of research and development expenditures in accordance with Internal Revenue Code ("IRC") Section 174, as modified by the Tax Cuts and Jobs Act of 2017, and the valuation allowance. Realization of the Company's net deferred tax assets is dependent upon its generation of sufficient taxable income of the proper character in future years in appropriate tax jurisdictions to obtain benefit from the reversal of deductible temporary differences as well as net operating loss and tax credit carryforwards. As of September 30, 2024, the Company continues to maintain a full valuation allowance on its net deferred tax assets except in certain foreign jurisdictions.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hanging="435"/>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 AND FAIR VALUE MEASUREMENTS: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86" w:lineRule="exact"/>
        <w:rPr>
          <w:sz w:val="20"/>
          <w:szCs w:val="20"/>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50" w:lineRule="exact"/>
        <w:rPr>
          <w:rFonts w:ascii="Arial" w:cs="Arial" w:eastAsia="Arial" w:hAnsi="Arial"/>
          <w:sz w:val="17"/>
          <w:szCs w:val="17"/>
          <w:color w:val="auto"/>
        </w:rPr>
      </w:pPr>
    </w:p>
    <w:p>
      <w:pPr>
        <w:ind w:left="640" w:right="100" w:hanging="320"/>
        <w:spacing w:after="0" w:line="271"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following table details the fair value measurements within the fair value hierarchy of the Company's financial assets and liabilities 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2024 and March 31, 2024 that are measured at fair value on a recurring basis (dollars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rPr>
              <w:t>September 30, 2024</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80" w:type="dxa"/>
            <w:vAlign w:val="bottom"/>
          </w:tcPr>
          <w:p>
            <w:pPr>
              <w:spacing w:after="0"/>
              <w:rPr>
                <w:sz w:val="12"/>
                <w:szCs w:val="12"/>
                <w:color w:val="auto"/>
              </w:rPr>
            </w:pPr>
          </w:p>
        </w:tc>
        <w:tc>
          <w:tcPr>
            <w:tcW w:w="12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Investments</w:t>
            </w:r>
          </w:p>
        </w:tc>
        <w:tc>
          <w:tcPr>
            <w:tcW w:w="17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25,695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25,695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313,251</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16,498</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Treasury securities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41"/>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338,946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364,938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4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4"/>
                <w:szCs w:val="14"/>
                <w:b w:val="1"/>
                <w:bCs w:val="1"/>
                <w:color w:val="auto"/>
              </w:rPr>
              <w:t>March 31, 2024</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80" w:type="dxa"/>
            <w:vAlign w:val="bottom"/>
          </w:tcPr>
          <w:p>
            <w:pPr>
              <w:spacing w:after="0"/>
              <w:rPr>
                <w:sz w:val="12"/>
                <w:szCs w:val="12"/>
                <w:color w:val="auto"/>
              </w:rPr>
            </w:pPr>
          </w:p>
        </w:tc>
        <w:tc>
          <w:tcPr>
            <w:tcW w:w="12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Investments</w:t>
            </w:r>
          </w:p>
        </w:tc>
        <w:tc>
          <w:tcPr>
            <w:tcW w:w="17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33,224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303,643</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14,284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14,284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Treasury securities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24,545</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41"/>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336,867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383,196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For certain financial instruments, including accounts receivable and accounts payable, the carrying amounts approximate their fair value due to the relatively short maturity of these balances.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held $3.1 million and $2.7 million of strategic investments without readily determinable fair values at September 30, 2024 and March 31, 2024, respectively (see Note 6). Strategic investments consist of non-controlling equity investments in privately held companies. These investments are accounted for under the cost method of accounting and are included in other assets on the condensed consolidated balance sheets. There were no impairment charges during the six months ended September 30, 2024 or 2023.</w:t>
      </w:r>
    </w:p>
    <w:p>
      <w:pPr>
        <w:spacing w:after="0" w:line="19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Certain of the Company’s non-financial assets were measured at fair value on a nonrecurring basis during the six months ended September 30, 2023. Property and equipment and right-of-use assets were reduced to fair value when they were impaired as a result of the Company’s lease-related restructuring plans. For additional information, see Note 13. During the quarter ended September 30, 2023, triggering events occurred which required the Company to test the recoverability of goodwill associated with its APAC reporting unit. The triggering event was the restructuring of operations in the APAC region. Accordingly, we tested goodwill for impairment and determined that the fair value of the APAC reporting unit had decreased, resulting in complete impairment of the goodwill amount of $2.9 million.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Introduction and Overview</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LiveRamp Holdings, Inc. ("LiveRamp", "we", "us", or the "Company") is a global technology company that helps companies build enduring brand and business value by collaborating responsibly with data. A groundbreaking leader in foundational identity, LiveRamp offers a connected customer view with clarity and context while protecting brand and consumer trust. Our best-in-class enterprise platform enables data collaboration, where companies can share first-party consumer data with trusted business partners securely and in a privacy-conscious manner. We offer flexibility to collaborate wherever data lives to support a wide range of data collaboration use cases—within organizations, between brands, and across our global network of premier partners. Global innovators, from iconic consumer brands and tech platforms to retailers, financial services, and healthcare leaders, turn to LiveRamp to deepen customer engagement and loyalty, activate new partnerships, and maximize the value of their first-party data while staying on the forefront of rapidly evolving compliance and privacy requirements.</w:t>
      </w:r>
    </w:p>
    <w:p>
      <w:pPr>
        <w:spacing w:after="0" w:line="20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retail, automotive, telecommunications, high tech, consumer packaged goods, healthcare, travel, entertainment and non-profit. Through our expansive partner ecosystem we serve thousands of additional companies, unlocking access to unique customer moments and creating powerful network effects.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operates as one operating segment. An operating segment is defined as a component of an enterprise for which separate financial information is evaluated regularly by the chief operating decision maker. Our chief operating decision maker evaluates our financial information and resources and assesses the performance of these resources on a consolidated basis. Since we operate as one operating segment, all required financial segment information can be found in the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Revenues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LiveRamp recognizes revenue from the following sources: (i) Subscription revenue, 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/LiveRamp Data Collaboration Platform</w:t>
      </w: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As depicted in the graphic below, we power the industry’s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/LiveRamp Data Collaboration Platform provides customers with four core capabilities:</w:t>
      </w:r>
    </w:p>
    <w:p>
      <w:pPr>
        <w:spacing w:after="0" w:line="250" w:lineRule="exact"/>
        <w:rPr>
          <w:sz w:val="20"/>
          <w:szCs w:val="20"/>
          <w:color w:val="auto"/>
        </w:rPr>
      </w:pPr>
    </w:p>
    <w:p>
      <w:pPr>
        <w:ind w:left="640" w:hanging="320"/>
        <w:spacing w:after="0" w:line="253" w:lineRule="auto"/>
        <w:tabs>
          <w:tab w:leader="none" w:pos="63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Live/Identity</w:t>
      </w:r>
      <w:r>
        <w:rPr>
          <w:rFonts w:ascii="Arial" w:cs="Arial" w:eastAsia="Arial" w:hAnsi="Arial"/>
          <w:sz w:val="17"/>
          <w:szCs w:val="17"/>
          <w:color w:val="auto"/>
        </w:rPr>
        <w:t>. We provide enterprise identity infrastructure that resolves disparate consumer identities across different internal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external systems to create an accurate, connected view of the customer. Our approach to identity is built from two complementary graphs, combining offline data and online data and providing accuracy with a focus on privacy. LiveRamp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 w:cs="Arial" w:eastAsia="Arial" w:hAnsi="Arial"/>
          <w:sz w:val="22"/>
          <w:szCs w:val="22"/>
          <w:color w:val="auto"/>
          <w:vertAlign w:val="superscript"/>
        </w:rPr>
        <w:t>TM</w:t>
      </w:r>
      <w:r>
        <w:rPr>
          <w:rFonts w:ascii="Arial" w:cs="Arial" w:eastAsia="Arial" w:hAnsi="Arial"/>
          <w:sz w:val="17"/>
          <w:szCs w:val="17"/>
          <w:color w:val="auto"/>
        </w:rPr>
        <w:t>, a durable and privacy-centric connector to the digital ecosystem. This provides marketers with a consistent view of the consumer that is necessary for personalized segmentation, targeting, and measurement.</w:t>
      </w:r>
    </w:p>
    <w:p>
      <w:pPr>
        <w:spacing w:after="0" w:line="205" w:lineRule="exact"/>
        <w:rPr>
          <w:rFonts w:ascii="Arial" w:cs="Arial" w:eastAsia="Arial" w:hAnsi="Arial"/>
          <w:sz w:val="17"/>
          <w:szCs w:val="17"/>
          <w:b w:val="1"/>
          <w:bCs w:val="1"/>
          <w:i w:val="1"/>
          <w:iCs w:val="1"/>
          <w:color w:val="auto"/>
        </w:rPr>
      </w:pPr>
    </w:p>
    <w:p>
      <w:pPr>
        <w:ind w:left="640" w:hanging="320"/>
        <w:spacing w:after="0" w:line="264" w:lineRule="auto"/>
        <w:tabs>
          <w:tab w:leader="none" w:pos="63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Live/Access. </w:t>
      </w:r>
      <w:r>
        <w:rPr>
          <w:rFonts w:ascii="Arial" w:cs="Arial" w:eastAsia="Arial" w:hAnsi="Arial"/>
          <w:sz w:val="17"/>
          <w:szCs w:val="17"/>
          <w:color w:val="auto"/>
        </w:rPr>
        <w:t>Our Data Marketplace provides customers with simplified access to industry-leading third-party data providers globally.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200 data providers across all verticals and data types.</w:t>
      </w:r>
    </w:p>
    <w:p>
      <w:pPr>
        <w:spacing w:after="0" w:line="199" w:lineRule="exact"/>
        <w:rPr>
          <w:rFonts w:ascii="Arial" w:cs="Arial" w:eastAsia="Arial" w:hAnsi="Arial"/>
          <w:sz w:val="17"/>
          <w:szCs w:val="17"/>
          <w:b w:val="1"/>
          <w:bCs w:val="1"/>
          <w:i w:val="1"/>
          <w:iCs w:val="1"/>
          <w:color w:val="auto"/>
        </w:rPr>
      </w:pPr>
    </w:p>
    <w:p>
      <w:pPr>
        <w:ind w:left="640" w:right="20" w:hanging="320"/>
        <w:spacing w:after="0" w:line="266" w:lineRule="auto"/>
        <w:tabs>
          <w:tab w:leader="none" w:pos="63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Live/Connectivity. </w:t>
      </w:r>
      <w:r>
        <w:rPr>
          <w:rFonts w:ascii="Arial" w:cs="Arial" w:eastAsia="Arial" w:hAnsi="Arial"/>
          <w:sz w:val="17"/>
          <w:szCs w:val="17"/>
          <w:color w:val="auto"/>
        </w:rPr>
        <w:t>We enable organizations to leverage their customer and prospect data in the digital and TV ecosystems and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w:t>
      </w:r>
    </w:p>
    <w:p>
      <w:pPr>
        <w:spacing w:after="0" w:line="195" w:lineRule="exact"/>
        <w:rPr>
          <w:rFonts w:ascii="Arial" w:cs="Arial" w:eastAsia="Arial" w:hAnsi="Arial"/>
          <w:sz w:val="17"/>
          <w:szCs w:val="17"/>
          <w:b w:val="1"/>
          <w:bCs w:val="1"/>
          <w:i w:val="1"/>
          <w:iCs w:val="1"/>
          <w:color w:val="auto"/>
        </w:rPr>
      </w:pPr>
    </w:p>
    <w:p>
      <w:pPr>
        <w:ind w:left="640" w:right="220" w:hanging="320"/>
        <w:spacing w:after="0" w:line="264" w:lineRule="auto"/>
        <w:tabs>
          <w:tab w:leader="none" w:pos="63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Live/Insights. </w:t>
      </w:r>
      <w:r>
        <w:rPr>
          <w:rFonts w:ascii="Arial" w:cs="Arial" w:eastAsia="Arial" w:hAnsi="Arial"/>
          <w:sz w:val="17"/>
          <w:szCs w:val="17"/>
          <w:color w:val="auto"/>
        </w:rPr>
        <w:t>Data Collaboration enables advanced measurement and analytics that helps produce insight-driven innovation.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enable trusted data collaboration between organizations and their trusted partners in a neutral, manageable environment. Our platform provides customers with collaborative opportunities to safely and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replacing customer identifiers with RampID. Customers then can use that aggregated view of each customer to measure reach and frequency, sales lift, closed loop offline-to-online conversion and cross-channel attribution.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1297305</wp:posOffset>
            </wp:positionH>
            <wp:positionV relativeFrom="page">
              <wp:posOffset>588645</wp:posOffset>
            </wp:positionV>
            <wp:extent cx="4954270" cy="4271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954270" cy="427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Subscription</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primarily charge for our platform services on an annual basis. Our subscription pricing is based primarily on data volume, which is a function of data input records and connection points.</w:t>
      </w:r>
    </w:p>
    <w:p>
      <w:pPr>
        <w:spacing w:after="0" w:line="16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Our solutions are sold to enterprise marketers and the companies they partner with to execute their marketing, including agencies, marketing technology providers, publishers and data providers. Today, we work with 885 direct customers world-wide and serve thousands of additional customers indirectly through our reseller partnership arrangements.</w:t>
      </w:r>
    </w:p>
    <w:p>
      <w:pPr>
        <w:spacing w:after="0" w:line="186" w:lineRule="exact"/>
        <w:rPr>
          <w:sz w:val="20"/>
          <w:szCs w:val="20"/>
          <w:color w:val="auto"/>
        </w:rPr>
      </w:pPr>
    </w:p>
    <w:p>
      <w:pPr>
        <w:ind w:left="640" w:right="40" w:hanging="320"/>
        <w:spacing w:after="0" w:line="27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 and Agencies. </w:t>
      </w:r>
      <w:r>
        <w:rPr>
          <w:rFonts w:ascii="Arial" w:cs="Arial" w:eastAsia="Arial" w:hAnsi="Arial"/>
          <w:sz w:val="17"/>
          <w:szCs w:val="17"/>
          <w:color w:val="auto"/>
        </w:rPr>
        <w:t>We work with over 500 of the largest brands and agencies in the world, helping them execute people-based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by creating an omni-channel understanding of the consumer and activating that understanding across their choice of best-of-breed digital marketing platforms.</w:t>
      </w:r>
    </w:p>
    <w:p>
      <w:pPr>
        <w:spacing w:after="0" w:line="186" w:lineRule="exact"/>
        <w:rPr>
          <w:rFonts w:ascii="Arial" w:cs="Arial" w:eastAsia="Arial" w:hAnsi="Arial"/>
          <w:sz w:val="17"/>
          <w:szCs w:val="17"/>
          <w:color w:val="auto"/>
        </w:rPr>
      </w:pPr>
    </w:p>
    <w:p>
      <w:pPr>
        <w:ind w:left="640" w:right="120" w:hanging="320"/>
        <w:spacing w:after="0" w:line="27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Providers. </w:t>
      </w:r>
      <w:r>
        <w:rPr>
          <w:rFonts w:ascii="Arial" w:cs="Arial" w:eastAsia="Arial" w:hAnsi="Arial"/>
          <w:sz w:val="17"/>
          <w:szCs w:val="17"/>
          <w:color w:val="auto"/>
        </w:rPr>
        <w:t>We provide marketing technology providers with the identity foundation required to offer people-based targeting, measurement and personalization within their platforms. This adds value for brands by increasing audience reach, as well as the speed at which they can activate their marketing data.</w:t>
      </w:r>
    </w:p>
    <w:p>
      <w:pPr>
        <w:spacing w:after="0" w:line="186"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Publishers. </w:t>
      </w:r>
      <w:r>
        <w:rPr>
          <w:rFonts w:ascii="Arial" w:cs="Arial" w:eastAsia="Arial" w:hAnsi="Arial"/>
          <w:sz w:val="17"/>
          <w:szCs w:val="17"/>
          <w:color w:val="auto"/>
        </w:rPr>
        <w:t>We enable publishers of any size to offer people-based marketing on their properties. This adds value for brands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direct access to their customers and prospects in the publisher's premium inventory.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2" w:name="page33"/>
    <w:bookmarkEnd w:id="32"/>
    <w:p>
      <w:pPr>
        <w:ind w:left="640" w:hanging="320"/>
        <w:spacing w:after="0" w:line="278"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Sellers. </w:t>
      </w:r>
      <w:r>
        <w:rPr>
          <w:rFonts w:ascii="Arial" w:cs="Arial" w:eastAsia="Arial" w:hAnsi="Arial"/>
          <w:sz w:val="17"/>
          <w:szCs w:val="17"/>
          <w:color w:val="auto"/>
        </w:rPr>
        <w:t>Leveraging our vast network of integrations, we allow data sellers to easily connect to the digital ecosystem and monetize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own data. Data can be distributed to customers or made available through the LiveRamp Data Marketplace feature. This adds value for brands as it allows them to augment their understanding of consumers and increase their understanding of customers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Marketplace and Other</w:t>
      </w:r>
    </w:p>
    <w:p>
      <w:pPr>
        <w:spacing w:after="0" w:line="239"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As we have scaled the LiveRamp network and technology, we have found additional ways to leverage our platform, deliver more value to customers and create incremental revenue streams. Leveraging our common identity system and broad integration network, the Data Marketplace seamlessly connects data sellers’ audience data across the marketing ecosystem. The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w:t>
      </w:r>
    </w:p>
    <w:p>
      <w:pPr>
        <w:spacing w:after="0" w:line="1" w:lineRule="exact"/>
        <w:rPr>
          <w:sz w:val="20"/>
          <w:szCs w:val="20"/>
          <w:color w:val="auto"/>
        </w:rPr>
      </w:pPr>
    </w:p>
    <w:p>
      <w:pPr>
        <w:ind w:right="480"/>
        <w:spacing w:after="0" w:line="316" w:lineRule="auto"/>
        <w:rPr>
          <w:sz w:val="20"/>
          <w:szCs w:val="20"/>
          <w:color w:val="auto"/>
        </w:rPr>
      </w:pPr>
      <w:r>
        <w:rPr>
          <w:rFonts w:ascii="Arial" w:cs="Arial" w:eastAsia="Arial" w:hAnsi="Arial"/>
          <w:sz w:val="17"/>
          <w:szCs w:val="17"/>
          <w:color w:val="auto"/>
        </w:rPr>
        <w:t>industries and encompassing all types of data. Data providers include sources and brands exclusive to LiveRamp, emerging platforms with access to previously unavailable deterministic data, and data partnerships enabled by our platform.</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w:t>
      </w:r>
    </w:p>
    <w:p>
      <w:pPr>
        <w:spacing w:after="0" w:line="200" w:lineRule="exact"/>
        <w:rPr>
          <w:sz w:val="20"/>
          <w:szCs w:val="20"/>
          <w:color w:val="auto"/>
        </w:rPr>
      </w:pPr>
    </w:p>
    <w:p>
      <w:pPr>
        <w:spacing w:after="0" w:line="203"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To complement our product offering, we provide professional services and enhanced support entitlements to help customers leverage our platform and drive business outcomes. Our services offering includes product implementation, data science analytics, audience measurement</w:t>
      </w:r>
    </w:p>
    <w:p>
      <w:pPr>
        <w:spacing w:after="0" w:line="1"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and general advisory. We generate revenue from services primarily from project fees paid by subscribers to our platform. Service projects are sold on an ad hoc basis as well as bundled with platform subscriptions. Professional services revenue is approximately 4% of total Company revenue.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auto"/>
        </w:rPr>
        <w:t>Summary Results and Notable Events</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A financial summary of the quarter ended September 30, 2024 compared to the same period in fiscal 2024 is presented below:</w:t>
      </w:r>
    </w:p>
    <w:p>
      <w:pPr>
        <w:spacing w:after="0" w:line="198"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Revenues were $185.5 million, a 16.0% increase from $159.9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 of revenue was $51.2 million, a 24.3% increase from $41.2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Gross margin decreased to 72.4% from 74.2%.</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operating expenses were $126.8 million, a 14.8% increase from $110.5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 of revenue and operating expenses for fiscal 2025 and 2024 included the following items:</w:t>
      </w:r>
    </w:p>
    <w:p>
      <w:pPr>
        <w:spacing w:after="0" w:line="184" w:lineRule="exact"/>
        <w:rPr>
          <w:rFonts w:ascii="Arial" w:cs="Arial" w:eastAsia="Arial" w:hAnsi="Arial"/>
          <w:sz w:val="17"/>
          <w:szCs w:val="17"/>
          <w:color w:val="auto"/>
        </w:rPr>
      </w:pPr>
    </w:p>
    <w:p>
      <w:pPr>
        <w:ind w:left="1260" w:right="280" w:hanging="311"/>
        <w:spacing w:after="0" w:line="300"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Non-cash stock compensation of $29.1 million and $15.7 million, respectively (cost of revenue of $1.5 million and $0.6 million, respectively, and operating expenses of $27.6 million and $15.1 million, respectively)</w:t>
      </w:r>
    </w:p>
    <w:p>
      <w:pPr>
        <w:spacing w:after="0" w:line="114" w:lineRule="exact"/>
        <w:rPr>
          <w:rFonts w:ascii="Arial" w:cs="Arial" w:eastAsia="Arial" w:hAnsi="Arial"/>
          <w:sz w:val="17"/>
          <w:szCs w:val="17"/>
          <w:color w:val="auto"/>
        </w:rPr>
      </w:pPr>
    </w:p>
    <w:p>
      <w:pPr>
        <w:ind w:left="1260" w:hanging="311"/>
        <w:spacing w:after="0"/>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Purchased intangible asset amortization of $3.7 million and $1.2 million, respectively (cost of revenue)</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Restructuring and other charges of $0.4 million and $6.6 million, respectively (gains, losses, and other items, net)</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other income, net was $4.2 million, a decrease of $2.2 million from $6.4 million.</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earnings were $1.7 million, or $0.03 per diluted share, compared to net earnings of $4.9 million, or $0.07 per diluted share.</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cash provided by operating activities was $55.6 million compared to $35.8 million.</w:t>
      </w:r>
    </w:p>
    <w:p>
      <w:pPr>
        <w:spacing w:after="0" w:line="184"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repurchased 1.9 million shares of its common stock for $49.9 million compared to 0.5 million shares for $15.1 million under the Company's common stock repurchase program.</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This summary and the following discussion and analysis highlight financial results as well as other significant events and transactions of the Company during the quarter ended September 30, 2024 compared to the same period in fiscal 2024, unless otherwise stated. However, this summary is not intended to be a full discussion of the Company's results. This summary should be read in conjunction with the following discussion of Results of Operations and Capital Resources and Liquidity and with the Company's condensed consolidated financial statements and footnotes accompanying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auto"/>
        </w:rPr>
        <w:t>Key Performance Metrics</w:t>
      </w:r>
    </w:p>
    <w:p>
      <w:pPr>
        <w:spacing w:after="0" w:line="252"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In addition to measures of financial performance presented in our condensed consolidated financial statements, we monitor the key metrics set forth below to help us evaluate revenue growth trends, establish budgets and measure the effectiveness of our sales and marketing efforts. The below data is presented in millions, except for percentages.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4"/>
                <w:szCs w:val="14"/>
                <w:b w:val="1"/>
                <w:bCs w:val="1"/>
                <w:color w:val="auto"/>
              </w:rPr>
              <w:t>% Change</w:t>
            </w:r>
          </w:p>
        </w:tc>
      </w:tr>
      <w:tr>
        <w:trPr>
          <w:trHeight w:val="161"/>
        </w:trPr>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September 30, 2024 from</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September 30, 2023 from</w:t>
            </w:r>
          </w:p>
        </w:tc>
      </w:tr>
      <w:tr>
        <w:trPr>
          <w:trHeight w:val="199"/>
        </w:trPr>
        <w:tc>
          <w:tcPr>
            <w:tcW w:w="480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2023</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September 30, 2023</w:t>
            </w:r>
          </w:p>
        </w:tc>
        <w:tc>
          <w:tcPr>
            <w:tcW w:w="1700" w:type="dxa"/>
            <w:vAlign w:val="bottom"/>
          </w:tcPr>
          <w:p>
            <w:pPr>
              <w:jc w:val="right"/>
              <w:ind w:right="130"/>
              <w:spacing w:after="0"/>
              <w:rPr>
                <w:sz w:val="20"/>
                <w:szCs w:val="20"/>
                <w:color w:val="auto"/>
              </w:rPr>
            </w:pPr>
            <w:r>
              <w:rPr>
                <w:rFonts w:ascii="Arial" w:cs="Arial" w:eastAsia="Arial" w:hAnsi="Arial"/>
                <w:sz w:val="14"/>
                <w:szCs w:val="14"/>
                <w:b w:val="1"/>
                <w:bCs w:val="1"/>
                <w:color w:val="auto"/>
              </w:rPr>
              <w:t>September 30, 2022</w:t>
            </w:r>
          </w:p>
        </w:tc>
      </w:tr>
      <w:tr>
        <w:trPr>
          <w:trHeight w:val="79"/>
        </w:trPr>
        <w:tc>
          <w:tcPr>
            <w:tcW w:w="48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r>
      <w:tr>
        <w:trPr>
          <w:trHeight w:val="19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Subscription net retention</w:t>
            </w:r>
          </w:p>
        </w:tc>
        <w:tc>
          <w:tcPr>
            <w:tcW w:w="5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107 %</w:t>
            </w:r>
          </w:p>
        </w:tc>
        <w:tc>
          <w:tcPr>
            <w:tcW w:w="100" w:type="dxa"/>
            <w:vAlign w:val="bottom"/>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101 %</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8"/>
        </w:trPr>
        <w:tc>
          <w:tcPr>
            <w:tcW w:w="4800" w:type="dxa"/>
            <w:vAlign w:val="bottom"/>
          </w:tcPr>
          <w:p>
            <w:pPr>
              <w:ind w:left="120"/>
              <w:spacing w:after="0"/>
              <w:rPr>
                <w:sz w:val="20"/>
                <w:szCs w:val="20"/>
                <w:color w:val="auto"/>
              </w:rPr>
            </w:pPr>
            <w:r>
              <w:rPr>
                <w:rFonts w:ascii="Arial" w:cs="Arial" w:eastAsia="Arial" w:hAnsi="Arial"/>
                <w:sz w:val="14"/>
                <w:szCs w:val="14"/>
                <w:color w:val="auto"/>
              </w:rPr>
              <w:t>Annualized recurring revenue</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483</w:t>
            </w:r>
          </w:p>
        </w:tc>
        <w:tc>
          <w:tcPr>
            <w:tcW w:w="6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tcPr>
          <w:p>
            <w:pPr>
              <w:ind w:left="440"/>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13 %</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22"/>
        </w:trPr>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Remaining performance obligation</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6"/>
                <w:szCs w:val="16"/>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490</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188"/>
        </w:trPr>
        <w:tc>
          <w:tcPr>
            <w:tcW w:w="4800" w:type="dxa"/>
            <w:vAlign w:val="bottom"/>
          </w:tcPr>
          <w:p>
            <w:pPr>
              <w:ind w:left="120"/>
              <w:spacing w:after="0"/>
              <w:rPr>
                <w:sz w:val="20"/>
                <w:szCs w:val="20"/>
                <w:color w:val="auto"/>
              </w:rPr>
            </w:pPr>
            <w:r>
              <w:rPr>
                <w:rFonts w:ascii="Arial" w:cs="Arial" w:eastAsia="Arial" w:hAnsi="Arial"/>
                <w:sz w:val="14"/>
                <w:szCs w:val="14"/>
                <w:color w:val="auto"/>
              </w:rPr>
              <w:t>Current remaining performance obligation</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374</w:t>
            </w:r>
          </w:p>
        </w:tc>
        <w:tc>
          <w:tcPr>
            <w:tcW w:w="6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tcPr>
          <w:p>
            <w:pPr>
              <w:ind w:left="440"/>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16 %</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Subscription Net Retention</w:t>
      </w:r>
    </w:p>
    <w:p>
      <w:pPr>
        <w:spacing w:after="0" w:line="25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w:t>
      </w:r>
    </w:p>
    <w:p>
      <w:pPr>
        <w:spacing w:after="0" w:line="195" w:lineRule="exact"/>
        <w:rPr>
          <w:sz w:val="20"/>
          <w:szCs w:val="20"/>
          <w:color w:val="auto"/>
        </w:rPr>
      </w:pPr>
    </w:p>
    <w:p>
      <w:pPr>
        <w:jc w:val="both"/>
        <w:ind w:right="140"/>
        <w:spacing w:after="0" w:line="300" w:lineRule="auto"/>
        <w:rPr>
          <w:sz w:val="20"/>
          <w:szCs w:val="20"/>
          <w:color w:val="auto"/>
        </w:rPr>
      </w:pPr>
      <w:r>
        <w:rPr>
          <w:rFonts w:ascii="Arial" w:cs="Arial" w:eastAsia="Arial" w:hAnsi="Arial"/>
          <w:sz w:val="17"/>
          <w:szCs w:val="17"/>
          <w:color w:val="auto"/>
        </w:rPr>
        <w:t>SNR at September 30, 2024 compared to September 30, 2023 increased 6%. Lower contraction levels and increasing usage revenue were the primary contributors to the improvement. The acquisition of Habu contributed approximately two percentage points to the current period growth.</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Annualized Recurring Revenue</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Annualized Recurring Revenue (“ARR”) is defined as the last month of quarter recurring revenue annualized. Recurring revenue is fixed and contracted subscription revenue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spacing w:after="0" w:line="200"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Our ARR growth of 13% was attributable to both new customer revenue and net growth (upsell revenue less downsell and churn) in existing customer revenue. The increasing growth rate compared to the 2% growth in the previous year is due to improvement in net growth in existing customer revenue. The acquisition of Habu contributed approximately three percentage points to the current period growth.</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 and Current Remaining Performance Obligations</w:t>
      </w:r>
    </w:p>
    <w:p>
      <w:pPr>
        <w:spacing w:after="0" w:line="25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35" w:name="page36"/>
    <w:bookmarkEnd w:id="35"/>
    <w:p>
      <w:pPr>
        <w:spacing w:after="0" w:line="266" w:lineRule="auto"/>
        <w:rPr>
          <w:sz w:val="20"/>
          <w:szCs w:val="20"/>
          <w:color w:val="auto"/>
        </w:rPr>
      </w:pPr>
      <w:r>
        <w:rPr>
          <w:rFonts w:ascii="Arial" w:cs="Arial" w:eastAsia="Arial" w:hAnsi="Arial"/>
          <w:sz w:val="17"/>
          <w:szCs w:val="17"/>
          <w:color w:val="auto"/>
        </w:rPr>
        <w:t>While the Company believes RPO and CRPO are leading indicators of revenue as they represent sales activity not yet recognized in revenue, they are not necessarily indicative of future revenue growth as they are influenced by several factors, including seasonality of contract renewal timing and average contract terms. The Company monitors RPO and CRPO to manage the business and evaluate performance. RPO increased due to several large, multi-year renewals. CRPO increased due to new customer additions, as well as the multi-year renewals. The relative decline in RPO and CRPO growth (in terms of % change) is primarily due to timing of multi-year renewals and revenue run-off from large multi-year arrangements subject to future renewal.</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909" w:right="4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26" w:lineRule="exact"/>
        <w:rPr>
          <w:sz w:val="20"/>
          <w:szCs w:val="20"/>
          <w:color w:val="auto"/>
        </w:rPr>
      </w:pPr>
    </w:p>
    <w:p>
      <w:pPr>
        <w:ind w:right="800"/>
        <w:spacing w:after="0" w:line="286" w:lineRule="auto"/>
        <w:rPr>
          <w:sz w:val="20"/>
          <w:szCs w:val="20"/>
          <w:color w:val="auto"/>
        </w:rPr>
      </w:pPr>
      <w:r>
        <w:rPr>
          <w:rFonts w:ascii="Arial" w:cs="Arial" w:eastAsia="Arial" w:hAnsi="Arial"/>
          <w:sz w:val="17"/>
          <w:szCs w:val="17"/>
          <w:color w:val="auto"/>
        </w:rPr>
        <w:t>A summary of selected financial information for each of the periods reported is presented below (dollars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6"/>
          </w:tcPr>
          <w:p>
            <w:pPr>
              <w:ind w:left="640"/>
              <w:spacing w:after="0"/>
              <w:rPr>
                <w:sz w:val="20"/>
                <w:szCs w:val="20"/>
                <w:color w:val="auto"/>
              </w:rPr>
            </w:pPr>
            <w:r>
              <w:rPr>
                <w:rFonts w:ascii="Arial" w:cs="Arial" w:eastAsia="Arial" w:hAnsi="Arial"/>
                <w:sz w:val="14"/>
                <w:szCs w:val="14"/>
                <w:b w:val="1"/>
                <w:bCs w:val="1"/>
                <w:color w:val="auto"/>
              </w:rPr>
              <w:t>For the 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185,483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361,444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256,222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216,629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income, net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41"/>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 from continuing operations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7"/>
                <w:szCs w:val="17"/>
                <w:color w:val="auto"/>
              </w:rPr>
              <w:t>Diluted earnings (loss) per share from continuing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960" w:type="dxa"/>
            <w:vAlign w:val="bottom"/>
            <w:vMerge w:val="continue"/>
          </w:tcPr>
          <w:p>
            <w:pPr>
              <w:spacing w:after="0"/>
              <w:rPr>
                <w:sz w:val="10"/>
                <w:szCs w:val="10"/>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0"/>
                <w:szCs w:val="10"/>
                <w:color w:val="auto"/>
              </w:rPr>
            </w:pPr>
          </w:p>
        </w:tc>
        <w:tc>
          <w:tcPr>
            <w:tcW w:w="28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0"/>
                <w:szCs w:val="10"/>
                <w:color w:val="auto"/>
              </w:rPr>
            </w:pPr>
          </w:p>
        </w:tc>
        <w:tc>
          <w:tcPr>
            <w:tcW w:w="280" w:type="dxa"/>
            <w:vAlign w:val="bottom"/>
            <w:vMerge w:val="restart"/>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0"/>
                <w:szCs w:val="10"/>
                <w:color w:val="auto"/>
              </w:rPr>
            </w:pPr>
          </w:p>
        </w:tc>
        <w:tc>
          <w:tcPr>
            <w:tcW w:w="28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Arial" w:cs="Arial" w:eastAsia="Arial" w:hAnsi="Arial"/>
                <w:sz w:val="17"/>
                <w:szCs w:val="17"/>
                <w:color w:val="auto"/>
              </w:rPr>
              <w:t>operations</w:t>
            </w:r>
          </w:p>
        </w:tc>
        <w:tc>
          <w:tcPr>
            <w:tcW w:w="2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6"/>
          </w:tcPr>
          <w:p>
            <w:pPr>
              <w:ind w:left="640"/>
              <w:spacing w:after="0"/>
              <w:rPr>
                <w:sz w:val="20"/>
                <w:szCs w:val="20"/>
                <w:color w:val="auto"/>
              </w:rPr>
            </w:pPr>
            <w:r>
              <w:rPr>
                <w:rFonts w:ascii="Arial" w:cs="Arial" w:eastAsia="Arial" w:hAnsi="Arial"/>
                <w:sz w:val="14"/>
                <w:szCs w:val="14"/>
                <w:b w:val="1"/>
                <w:bCs w:val="1"/>
                <w:color w:val="auto"/>
              </w:rPr>
              <w:t>For the 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spacing w:after="0"/>
              <w:rPr>
                <w:sz w:val="17"/>
                <w:szCs w:val="17"/>
                <w:color w:val="auto"/>
              </w:rPr>
            </w:pPr>
          </w:p>
        </w:tc>
        <w:tc>
          <w:tcPr>
            <w:tcW w:w="920" w:type="dxa"/>
            <w:vAlign w:val="bottom"/>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920" w:type="dxa"/>
            <w:vAlign w:val="bottom"/>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Subscription</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Marketplace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361,444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Total revenues for the quarter ended September 30, 2024 were $185.5 million, a $25.6 million, or 16.0%, increase from the same quarter a year ago. The increase was due to revenue growth in both Subscription and Marketplace and Other. The Subscription revenue growth was $17.6 million, or 14.0%, primarily due to upsell to existing customers, higher variable revenue and to a lesser extent new logo deals. Subscription revenue also included approximately $3.5 million of revenue associated with the fiscal 2024 acquisition of Habu. The Marketplace and Other revenue growth was $8.0 million, or 23.5%, primarily due to Data Marketplace and Services volume growth. On a geographic basis, U.S. revenue increased $25.8 million, or 17.2%. International revenue decreased $0.2 million, or 1.5%.</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Total revenues for the six months ended September 30, 2024 were $361.4 million, a $47.5 million, or 15.1%, increase compared to the same period a year ago. The increase was due to revenue growth in both Subscription and Marketplace and Other. The Subscription revenue growth was $30.5 million, or 12.3%, primarily due to upsell to existing customers, new logo deals and higher variable revenue. Subscription revenue also included approximately $6.8 million of revenue associated with the fiscal 2024 acquisition of Habu. The Marketplace and Other revenue growth was $ 17.0 million, or 25.6%, primarily due to Data Marketplace and Services volume growth. On a geographic basis, U.S. revenue increased $47.9 million, or 16.3%. International revenue decreased $0.4 million, or 2.0%.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color w:val="auto"/>
        </w:rPr>
        <w:t>Cost of Revenue and Gross Profit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cost of revenue and gross profit for each of the periods reported is presented below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left="540"/>
              <w:spacing w:after="0"/>
              <w:rPr>
                <w:sz w:val="20"/>
                <w:szCs w:val="20"/>
                <w:color w:val="auto"/>
              </w:rPr>
            </w:pPr>
            <w:r>
              <w:rPr>
                <w:rFonts w:ascii="Arial" w:cs="Arial" w:eastAsia="Arial" w:hAnsi="Arial"/>
                <w:sz w:val="14"/>
                <w:szCs w:val="14"/>
                <w:b w:val="1"/>
                <w:bCs w:val="1"/>
                <w:color w:val="auto"/>
              </w:rPr>
              <w:t>For the 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For the six months ended</w:t>
            </w:r>
          </w:p>
        </w:tc>
        <w:tc>
          <w:tcPr>
            <w:tcW w:w="920" w:type="dxa"/>
            <w:vAlign w:val="bottom"/>
          </w:tcPr>
          <w:p>
            <w:pPr>
              <w:spacing w:after="0"/>
              <w:rPr>
                <w:sz w:val="16"/>
                <w:szCs w:val="16"/>
                <w:color w:val="auto"/>
              </w:rPr>
            </w:pPr>
          </w:p>
        </w:tc>
      </w:tr>
      <w:tr>
        <w:trPr>
          <w:trHeight w:val="197"/>
        </w:trPr>
        <w:tc>
          <w:tcPr>
            <w:tcW w:w="3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190"/>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r>
      <w:tr>
        <w:trPr>
          <w:trHeight w:val="197"/>
        </w:trPr>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Arial" w:cs="Arial" w:eastAsia="Arial" w:hAnsi="Arial"/>
                <w:sz w:val="14"/>
                <w:szCs w:val="14"/>
                <w:b w:val="1"/>
                <w:bCs w:val="1"/>
                <w:color w:val="auto"/>
              </w:rPr>
              <w:t>Change</w:t>
            </w:r>
          </w:p>
        </w:tc>
      </w:tr>
      <w:tr>
        <w:trPr>
          <w:trHeight w:val="21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51,234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41,212</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102,983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86,833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35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134,249</w:t>
            </w:r>
          </w:p>
        </w:tc>
        <w:tc>
          <w:tcPr>
            <w:tcW w:w="42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118,659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60"/>
              <w:spacing w:after="0"/>
              <w:rPr>
                <w:sz w:val="20"/>
                <w:szCs w:val="20"/>
                <w:color w:val="auto"/>
              </w:rPr>
            </w:pPr>
            <w:r>
              <w:rPr>
                <w:rFonts w:ascii="Arial" w:cs="Arial" w:eastAsia="Arial" w:hAnsi="Arial"/>
                <w:sz w:val="17"/>
                <w:szCs w:val="17"/>
                <w:color w:val="auto"/>
              </w:rPr>
              <w:t>258,461</w:t>
            </w:r>
          </w:p>
        </w:tc>
        <w:tc>
          <w:tcPr>
            <w:tcW w:w="40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227,107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85"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Cost of revenue includes third-party direct costs including identity graph data, other data and cloud-based hosting costs, as well as costs of IT, security and product operations functions. Cost of revenue also includes amortization of acquisition-related intangibles.</w:t>
      </w:r>
    </w:p>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Cost of revenue was $51.2 million for the quarter ended September 30, 2024, a $10.0 million, or 24.3%, increase from the same quarter a year ago. Gross profit increased to $134.2 million (72.4% gross margin) from $118.7 million (74.2% gross margin) in the prior year quarter due to revenue increases offset partially by an increase in cloud infrastructure costs (increased $4.0 million), services costs (increased $2.3 million) due to higher services revenue, intangible asset amortization (increased $2.5 million) and stock-based compensation expense (increased $0.9 million). U.S. gross margins decreased to 73.3% from 76.2% while International gross margins increased to 57.3% from 46.4%.</w:t>
      </w:r>
    </w:p>
    <w:p>
      <w:pPr>
        <w:spacing w:after="0" w:line="194"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Cost of revenue was $103.0 million for the six months ended September 30, 2024, a $16.2 million, or 18.6%, increase from the same period a year ago. Gross profit increased to $ 258.5 million (71.5% gross margin) from $227.1 million (72.3% gross margin) in the prior period due to revenue increases offset partially by an increase in services costs (increased $8.8 million) due to higher services revenue, higher cloud infrastructure costs (increased $5.8 million), increased intangible asset amortization (increased $3.1 million) and stock-based compensation expense (increased $1.8 million). U.S. gross margins decreased to 72.4% from 74.2%, and International gross margins increased to 56.4% from 44.9%.</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operating expenses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6"/>
          </w:tcPr>
          <w:p>
            <w:pPr>
              <w:ind w:left="640"/>
              <w:spacing w:after="0"/>
              <w:rPr>
                <w:sz w:val="20"/>
                <w:szCs w:val="20"/>
                <w:color w:val="auto"/>
              </w:rPr>
            </w:pPr>
            <w:r>
              <w:rPr>
                <w:rFonts w:ascii="Arial" w:cs="Arial" w:eastAsia="Arial" w:hAnsi="Arial"/>
                <w:sz w:val="14"/>
                <w:szCs w:val="14"/>
                <w:b w:val="1"/>
                <w:bCs w:val="1"/>
                <w:color w:val="auto"/>
              </w:rPr>
              <w:t>For the 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5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33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398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58"/>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8"/>
              <w:spacing w:after="0"/>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223"/>
        </w:trPr>
        <w:tc>
          <w:tcPr>
            <w:tcW w:w="3980" w:type="dxa"/>
            <w:vAlign w:val="bottom"/>
          </w:tcPr>
          <w:p>
            <w:pPr>
              <w:ind w:left="24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left="358"/>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left="418"/>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58"/>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8"/>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Gains, losses and 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38"/>
              <w:spacing w:after="0"/>
              <w:rPr>
                <w:sz w:val="20"/>
                <w:szCs w:val="20"/>
                <w:color w:val="auto"/>
              </w:rPr>
            </w:pPr>
            <w:r>
              <w:rPr>
                <w:rFonts w:ascii="Arial" w:cs="Arial" w:eastAsia="Arial" w:hAnsi="Arial"/>
                <w:sz w:val="17"/>
                <w:szCs w:val="17"/>
                <w:color w:val="auto"/>
                <w:w w:val="99"/>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98"/>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126,762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ind w:left="418"/>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440"/>
        <w:spacing w:after="0" w:line="300" w:lineRule="auto"/>
        <w:rPr>
          <w:sz w:val="20"/>
          <w:szCs w:val="20"/>
          <w:color w:val="auto"/>
        </w:rPr>
      </w:pPr>
      <w:r>
        <w:rPr>
          <w:rFonts w:ascii="Arial" w:cs="Arial" w:eastAsia="Arial" w:hAnsi="Arial"/>
          <w:sz w:val="17"/>
          <w:szCs w:val="17"/>
          <w:color w:val="auto"/>
        </w:rPr>
        <w:t>Research and development (“R&amp;D”) expense includes operating expenses for the Company’s engineering and product/project management functions supporting research, new development, and related product enhancement.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8" w:name="page39"/>
    <w:bookmarkEnd w:id="38"/>
    <w:p>
      <w:pPr>
        <w:ind w:right="40"/>
        <w:spacing w:after="0" w:line="268" w:lineRule="auto"/>
        <w:rPr>
          <w:sz w:val="20"/>
          <w:szCs w:val="20"/>
          <w:color w:val="auto"/>
        </w:rPr>
      </w:pPr>
      <w:r>
        <w:rPr>
          <w:rFonts w:ascii="Arial" w:cs="Arial" w:eastAsia="Arial" w:hAnsi="Arial"/>
          <w:sz w:val="17"/>
          <w:szCs w:val="17"/>
          <w:color w:val="auto"/>
        </w:rPr>
        <w:t>R&amp;D expenses were $43.9 million for the quarter ended September 30, 2024, an increase of $ 10.2 million, or 30.1%, compared to the same quarter a year ago, and are 23.7% of total revenues compared to 21.1% in the same quarter a year ago. The increase is primarily due to stock-based compensation expense (increased $5.6 million), headcount-related expenses (increased $4.0 million) and professional services expenses (increased $0.5 million). Stock-based compensation expense in the prior year quarter was favorably impacted due to the acceleration of stock-based compensation expense in the fourth quarter of fiscal 2023.</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R&amp;D expenses were $88.0 million for the six months ended September 30, 2024, an increase of $19.8 million, or 28.9%, compared to the same period a year ago, and are 24.3% of total revenues compared to 21.7% in the prior year period. The increase is primarily due to stock-based compensation expense (increased $10.8 million), headcount-related expenses (increased $8.0 million) and professional services expenses (increased $1.0 million). Stock-based compensation expense in the prior year period was favorably impacted due to the acceleration of stock-based compensation expense in the fourth quarter of fiscal 2023.</w:t>
      </w:r>
    </w:p>
    <w:p>
      <w:pPr>
        <w:spacing w:after="0" w:line="194"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Sales and marketing (“S&amp;M”) expense includes operating expenses for the Company’s sales, marketing, and product marketing functions. S&amp;M expense also includes provisions for credit losses.</w:t>
      </w:r>
    </w:p>
    <w:p>
      <w:pPr>
        <w:spacing w:after="0" w:line="167"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color w:val="auto"/>
        </w:rPr>
        <w:t>S&amp;M expenses were $51.1 million for the quarter ended September 30, 2024, an increase of $7.0 million, or 15.8%, compared to the same quarter a year ago, and are 27.6% of total revenues in both periods. The increase is primarily due to stock-based compensation expense (increased $2.6 million), headcount-related expenses (increased $3.0 million), and professional services expenses (increased $0.5 million). Stock-based compensation expense in the prior year quarter was favorably impacted due to the acceleration of stock-based compensation expense in the fourth quarter of fiscal 2023.</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S&amp;M expenses were $105.3 million for the six months ended September 30, 2024, an increase of $16.3 million, or 18.3%, compared to the same period a year ago, and are 29.1% of total revenues compared to 28.4% in the prior year period. The increase is primarily due to stock-based compensation expense (increased $6.0 million), headcount-related expenses (increased $6.1 million), professional services expenses (increased $1.6 million), and marketing expenses (increased $1.4 million). Stock-based compensation expense in the prior year period was favorably impacted due to the acceleration of stock-based compensation expense in the fourth quarter of fiscal 2023.</w:t>
      </w:r>
    </w:p>
    <w:p>
      <w:pPr>
        <w:spacing w:after="0" w:line="194"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General and administrative ("G&amp;A") expense represents operating expenses for the Company's finance, human resources, legal, corporate IT, and other corporate administrative functions.</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G&amp;A expenses were $31.4 million for the quarter ended September 30, 2024, an increase of $ 5.4 million, or 20.6%, compared to the same quarter a year ago, and are 16.9% of total revenues compared to 16.3% in the same quarter a year ago. The increase is primarily due to stock-based compensation expense (increased $4.2 million) and professional services expenses (increased $1.2 million). Stock-based compensation expense in the prior year quarter was favorably impacted due to the acceleration of stock-based compensation expense in the fourth quarter of fiscal 2023.</w:t>
      </w:r>
    </w:p>
    <w:p>
      <w:pPr>
        <w:spacing w:after="0" w:line="200" w:lineRule="exact"/>
        <w:rPr>
          <w:sz w:val="20"/>
          <w:szCs w:val="20"/>
          <w:color w:val="auto"/>
        </w:rPr>
      </w:pPr>
    </w:p>
    <w:p>
      <w:pPr>
        <w:spacing w:after="0" w:line="205"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G&amp;A expenses were $62.3 million for the six months ended September 30, 2024, an increase of $9.7 million, or 18.3%, compared to the same period a year ago, and are 17.2% of total revenues compared to 16.8% in the prior year period. The increase is primarily due to stock-based compensation expense (increased $9.5 million) and professional services expenses (increased $2.0 million), offset partially by a decrease in transformation costs (decreased $1.9 million). Stock-based compensation expense in the prior year period was favorably impacted due to the acceleration of stock-based compensation expense in the fourth quarter of fiscal 2023.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Gains, losses, and other items, net represents restructuring costs and other adjustments.</w:t>
      </w:r>
    </w:p>
    <w:p>
      <w:pPr>
        <w:spacing w:after="0" w:line="25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Gains, losses and other items, net was $0.4 million for the quarter ended September 30, 2024, a decrease of $6.2 million compared to the same quarter a year ago. The prior year quarter costs primarily related to $ 2.8 million related to the impairment of APAC goodwill, $2.3 million in lease impairments and restructuring and $1.4 million related to termination benefits for employees whose positions were eliminated. The current quarter was all related to employee termination benefits.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39" w:name="page40"/>
    <w:bookmarkEnd w:id="39"/>
    <w:p>
      <w:pPr>
        <w:jc w:val="both"/>
        <w:ind w:right="240"/>
        <w:spacing w:after="0" w:line="278" w:lineRule="auto"/>
        <w:rPr>
          <w:sz w:val="20"/>
          <w:szCs w:val="20"/>
          <w:color w:val="auto"/>
        </w:rPr>
      </w:pPr>
      <w:r>
        <w:rPr>
          <w:rFonts w:ascii="Arial" w:cs="Arial" w:eastAsia="Arial" w:hAnsi="Arial"/>
          <w:sz w:val="17"/>
          <w:szCs w:val="17"/>
          <w:color w:val="auto"/>
        </w:rPr>
        <w:t>Gains, losses and other items, net was $0.6 million for the six months ended September 30, 2024, a decrease of $6.1 million compared to the same period a year ago. The prior year costs primarily related to $2.8 million related to the impairment of APAC goodwill, $2.3 million in lease impairments and restructuring and $1.5 million related to termination benefits for employees whose positions were eliminated.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Operations and Operating Margin</w:t>
      </w:r>
    </w:p>
    <w:p>
      <w:pPr>
        <w:spacing w:after="0" w:line="250"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Income from operations was $7.5 million for the quarter ended September 30, 2024 compared to income from operations of $8.2 million in the same quarter a year ago. Operating margin for the quarter ended September 30, 2024 was 4.0% compared to 5.1% in the same quarter a year ago. Margins in the prior year quarter were positively impacted by the acceleration of stock-based compensation previously discussed.</w:t>
      </w:r>
    </w:p>
    <w:p>
      <w:pPr>
        <w:spacing w:after="0" w:line="186"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Income from operations was $2.2 million for the six months ended September 30, 2024 compared to income from operations of $10.5 million in the same period a year ago. Operating margin was 0.6% compared to 3.3% in the prior year period. Margins in the prior year period were positively impacted by the acceleration of stock-based compensation previously discussed.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Other Income and Income Taxes</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Total other income, net was $4.2 million for the quarter ended September 30, 2024 compared to total other income, net of $ 6.4 million in the same quarter a year ago. Total other income, net was $8.6 million for the six months ended September 30, 2024 compared to $11.3 million in the same period a year ago. The quarter and year-to-date decreases are primarily attributable to lower invested cash and short-term investments.</w:t>
      </w:r>
    </w:p>
    <w:p>
      <w:pPr>
        <w:spacing w:after="0" w:line="186"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Income tax expense was $10.0 million on pretax income of $11.7 million for the quarter ended September 30, 2024, resulting in an 85.2% effective tax rate. This compares to a prior year quarter income tax expense of $10.2 million on pretax income of $14.6 million, or a 69.4% effective tax rate. Income tax expense was $16.6 million on pretax income of $10.9 million for the six months ended September 30, 2024, resulting in an 152.9% effective tax rate. This compares to a prior year period income tax expense of $18.9 million on pretax income of $21.8 million, or an 86.7% effective tax rate. Tax expense for all periods reflects the impact of the capitalization of research and development expenditures in accordance with Internal Revenue Code ("IRC") Section 174, as modified by the Tax Cuts and Jobs Act of 2017, the valuation allowance, and nondeductible stock-based compensation.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Capital Resources and Liquidity</w:t>
      </w:r>
    </w:p>
    <w:p>
      <w:pPr>
        <w:spacing w:after="0" w:line="22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Company’s cash and cash equivalents are primarily located in the United States. At September 30, 2024, approximately $19.9 million of the total cash balance of $338.9 million, or approximately 5.9%, was located outside of the United States. The Company has no current plans to repatriate this cash to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Net accounts receivable balances were $192.1 million at September 30, 2024, an increase of $1.8 million, compared to $190.3 million at</w:t>
      </w:r>
    </w:p>
    <w:p>
      <w:pPr>
        <w:spacing w:after="0" w:line="3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March 31, 2024. Days sales outstanding ("DSO"), a measurement of the time it takes to collect receivables, was 95 days at September 30, 2024, compared to 101 days at March 31, 2024. DSO can fluctuate due to the timing and nature of contracts that lead to up-front billings related to deferred revenue on services not yet performed, and Data Marketplace contracts, which are billed on a gross basis, recognized on a net basis, but for which the amount that is due to data sellers is not reflected as an offset to accounts receivable. Compared to March 31, 2024, DSO at September 30, 2024 was positively impacted by approximately two days as the increased impact of Data Marketplace gross accounts receivable was offset by collections of Data Marketplace receivables. All customer accounts are actively managed, and no losses in excess of amounts reserved are currently expected.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at September 30, 2024 totaled $382.7 million, a $2.8 million decrease when compared to $385.5 million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909" w:right="399" w:bottom="1440" w:gutter="0" w:footer="0" w:header="0"/>
        </w:sectPr>
      </w:pPr>
    </w:p>
    <w:bookmarkStart w:id="40" w:name="page41"/>
    <w:bookmarkEnd w:id="40"/>
    <w:p>
      <w:pPr>
        <w:spacing w:after="0" w:line="262" w:lineRule="auto"/>
        <w:rPr>
          <w:sz w:val="20"/>
          <w:szCs w:val="20"/>
          <w:color w:val="auto"/>
        </w:rPr>
      </w:pPr>
      <w:r>
        <w:rPr>
          <w:rFonts w:ascii="Arial" w:cs="Arial" w:eastAsia="Arial" w:hAnsi="Arial"/>
          <w:sz w:val="17"/>
          <w:szCs w:val="17"/>
          <w:color w:val="auto"/>
        </w:rPr>
        <w:t>Management believes that the Company's existing available cash will be sufficient to meet the Company's working capital and capital expenditure requirements for the foreseeable future. However, in light of the risk of recession, the military conflicts in Europe and the Middle East, cost increases, high interest rates, capital markets volatility, bank failures and general inflationary pressures, our liquidity position may change due to the inability to collect from our customers, inability to raise new capital via issuance of equity or debt, and disruption in completing repayments or disbursements to our creditors. We have historically taken and may continue to take advantage of opportunities to generate additional liquidity through capital market transactions. These impacts have caused significant disruptions to the global financial markets, which could increase the cost of capital and adversely impact our ability to raise additional capital, which could negatively affect our liquidity in the future.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reported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For the six months ended</w:t>
            </w: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85"/>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61,457</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22,161</w:t>
            </w:r>
          </w:p>
        </w:tc>
        <w:tc>
          <w:tcPr>
            <w:tcW w:w="10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(34,319)</w:t>
            </w:r>
          </w:p>
        </w:tc>
      </w:tr>
      <w:tr>
        <w:trPr>
          <w:trHeight w:val="230"/>
        </w:trPr>
        <w:tc>
          <w:tcPr>
            <w:tcW w:w="8260" w:type="dxa"/>
            <w:vAlign w:val="bottom"/>
          </w:tcPr>
          <w:p>
            <w:pPr>
              <w:ind w:left="20"/>
              <w:spacing w:after="0"/>
              <w:rPr>
                <w:sz w:val="20"/>
                <w:szCs w:val="20"/>
                <w:color w:val="auto"/>
              </w:rPr>
            </w:pPr>
            <w:r>
              <w:rPr>
                <w:rFonts w:ascii="Arial" w:cs="Arial" w:eastAsia="Arial" w:hAnsi="Arial"/>
                <w:sz w:val="17"/>
                <w:szCs w:val="17"/>
                <w:color w:val="auto"/>
              </w:rPr>
              <w:t>Net cash provided by discontinued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387</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5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Cash flows from operating activities are primarily influenced by growth in our operations, increases or decreases in collections from our customers, and related payments to our suppliers and employees. The timing of cash receipts from customers and payments to suppliers can significantly impact our cash flows from operating activities. Our collection and payment cycles can vary from period to period.</w:t>
      </w:r>
    </w:p>
    <w:p>
      <w:pPr>
        <w:spacing w:after="0" w:line="186"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In the six months ended September 30, 2024, net cash provided by operating activities of $46.3 million resulted primarily from operating results adjusted for non-cash items of $61.6 million offset by changes in operating assets and liabilities of $15.3 million. Net cash provided by operating assets and liabilities was primarily related to a decrease in accounts payable and other liabilities of $32.0 million primarily due to the payment of annual incentive compensation and the timing of payments to suppliers.</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In the six months ended September 30, 2023, net cash provided by operating activities of $61.5 million resulted primarily from operating results adjusted for non-cash items of $43.2 million and changes in operating assets and liabilities of $18.3 million. Net cash provided by operating assets and liabilities was primarily related to a $29.2 million Internal Revenue Service refund related to fiscal 2021, an increase in income taxes payable of $13.9 million, and an increase in other assets of $5.7 million, offset partially by a decrease in accounts payable and other liabilities of $12.9 million and an increase in accounts receivable of $16.3 million. The change in accounts payable and other liabilities is primarily due to the payment of annual incentive compensation, and the timing of payments to suppliers. The change in accounts receivable is primarily due to revenue growth and the timing of cash receipts from customers.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3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investing activities have primarily consisted of business acquisitions, capital expenditures, purchases and sales of investments and strategic investments. Capital expenditures may vary from period to period due to the timing of the expansion of our operations, the addition of new headcount, new facilities, and acquisitions. Investing activities also include purchases and sales of short-term investments using available cash reserves.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1" w:name="page42"/>
    <w:bookmarkEnd w:id="41"/>
    <w:p>
      <w:pPr>
        <w:ind w:right="260"/>
        <w:spacing w:after="0" w:line="278" w:lineRule="auto"/>
        <w:rPr>
          <w:sz w:val="20"/>
          <w:szCs w:val="20"/>
          <w:color w:val="auto"/>
        </w:rPr>
      </w:pPr>
      <w:r>
        <w:rPr>
          <w:rFonts w:ascii="Arial" w:cs="Arial" w:eastAsia="Arial" w:hAnsi="Arial"/>
          <w:sz w:val="17"/>
          <w:szCs w:val="17"/>
          <w:color w:val="auto"/>
        </w:rPr>
        <w:t>In the six months ended September 30, 2024, net cash provided by investing activities consisted of the proceeds from the sale of short-term investments of $25.0 million, partially offset by purchases of short-term investments of $2.0 million, capital expenditures of $0.5 million and the purchases of strategic investments of $0.4 million.</w:t>
      </w:r>
    </w:p>
    <w:p>
      <w:pPr>
        <w:spacing w:after="0" w:line="186"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In the six months ended September 30, 2023, net cash provided by investing activities consisted of the proceeds from the sale of short-term investments of $25.8 million, partially offset by purchases of short-term investments of $24.4 million, purchases of strategic investments of $1.0 million and capital expenditures of $0.3 million.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37"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Our financing activities have consisted of acquisition of treasury stock, proceeds from our equity compensation plans, and shares repurchased for tax withholdings upon vesting of stock-based awards.</w:t>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the six months ended September 30, 2024, net cash used in financing activities was $67.1 million, consisting of the acquisition of treasury shares pursuant to the board of directors' approved stock repurchase plan of $65.7 million (2.4 million shares) and $7.7 million for shares repurchased for tax withholdings upon vesting of stock-based awards. These uses of cash were partially offset by proceeds of $6.3 million from the sale of common stock from our equity compensation plans.</w:t>
      </w:r>
    </w:p>
    <w:p>
      <w:pPr>
        <w:spacing w:after="0" w:line="19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the six months ended September 30, 2023, net cash used in financing activities was $34.3 million, consisting of the acquisition of treasury shares pursuant to the board of directors' approved stock repurchase plan of $35.3 million (1.3 million shares) and $4.6 million for shares repurchased for tax withholdings upon vesting of stock-based awards. These uses of cash were partially offset by proceeds of $5.6 million from the sale of common stock from our equity compensation plans.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Repurchase Program</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92"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During the six months ended September 30, 2024, the Company repurchased 2.4 million shares of its common stock for $65.7 million under the modified common stock repurchase program. Through September 30, 2024, the Company had repurchased a total of 40.2 million shares of its common stock for $1.0 billion under the program, leaving remaining capacity of $291.7 million.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25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following tables present the Company’s contractual cash obligations and purchase commitments at September 30, 2024 (dollars in 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$27.1 million as the Company is not able to predict the periods in which the payments will be made. The amount for 2025 represents the remaining six months ending March 31, 2025. All other periods represent fiscal years ending March 31 (dollars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64"/>
              <w:spacing w:after="0"/>
              <w:rPr>
                <w:sz w:val="20"/>
                <w:szCs w:val="20"/>
                <w:color w:val="auto"/>
              </w:rPr>
            </w:pPr>
            <w:r>
              <w:rPr>
                <w:rFonts w:ascii="Arial" w:cs="Arial" w:eastAsia="Arial" w:hAnsi="Arial"/>
                <w:sz w:val="14"/>
                <w:szCs w:val="14"/>
                <w:b w:val="1"/>
                <w:bCs w:val="1"/>
                <w:color w:val="auto"/>
                <w:w w:val="99"/>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21"/>
              <w:spacing w:after="0"/>
              <w:rPr>
                <w:sz w:val="20"/>
                <w:szCs w:val="20"/>
                <w:color w:val="auto"/>
              </w:rPr>
            </w:pPr>
            <w:r>
              <w:rPr>
                <w:rFonts w:ascii="Arial" w:cs="Arial" w:eastAsia="Arial" w:hAnsi="Arial"/>
                <w:sz w:val="14"/>
                <w:szCs w:val="14"/>
                <w:b w:val="1"/>
                <w:bCs w:val="1"/>
                <w:color w:val="auto"/>
                <w:w w:val="96"/>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24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5,438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44,333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Future minimum payments as of September 30, 2024 related to restructuring plans as a result of the Company's exit from certain leased office facilities are (dollars in thousands): Fiscal 2025: $1,349; and Fiscal 2026: $1,799.</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84"/>
              <w:spacing w:after="0"/>
              <w:rPr>
                <w:sz w:val="20"/>
                <w:szCs w:val="20"/>
                <w:color w:val="auto"/>
              </w:rPr>
            </w:pPr>
            <w:r>
              <w:rPr>
                <w:rFonts w:ascii="Arial" w:cs="Arial" w:eastAsia="Arial" w:hAnsi="Arial"/>
                <w:sz w:val="14"/>
                <w:szCs w:val="14"/>
                <w:b w:val="1"/>
                <w:bCs w:val="1"/>
                <w:color w:val="auto"/>
                <w:w w:val="98"/>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6"/>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34,486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22,318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6,327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3,375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66,506</w:t>
            </w:r>
          </w:p>
        </w:tc>
      </w:tr>
    </w:tbl>
    <w:p>
      <w:pPr>
        <w:spacing w:after="0" w:line="285"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For a description of certain risks that could have an impact on results of operations or financial condition, including liquidity and capital resources, see “Risk Factors” contained in Part I, Item 1A, of the Company's Annual Report on Form 10-K for the fiscal year ended March 31, 2024 ("2024 Annual Report") as filed with the Securities and Exchange Commission ("SEC") on May 22, 2024 and Part II, Item 1A of this Quarterly Report on Form 10-Q.</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Non-U.S. Operations</w:t>
      </w:r>
    </w:p>
    <w:p>
      <w:pPr>
        <w:spacing w:after="0" w:line="226"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Company has a presence in the United Kingdom, France, the Netherlands, Italy, Spain, Brazil, India, Australia, China, Singapore and Japan.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changes in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w:t>
      </w:r>
    </w:p>
    <w:p>
      <w:pPr>
        <w:spacing w:after="0" w:line="23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prepare our condensed consolidated financial statements in conformity with U.S. GAAP as set forth in the FASB ASC, and we consider the various staff accounting bulletins and other applicable guidance issued by the SEC.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periods. The consolidated financial statements in the 2024 Annual Report include a summary of significant accounting policies used in the preparation of the Company’s consolidated financial statements. In addition, the Management’s Discussion and Analysis of Financial Condition and Results of Operations filed as part of the 2024 Annual Report contains a discussion of the policies that management has identified as the most critical because they require management’s use of complex and/or significant judgments. None of the Company’s critical accounting policies have materially changed since the date of the 2024 Annual Report other than as described in the "Accounting Pronouncements Adopted during the Current Year" section of Note 1, “Basis of Presentation and Summary of Significant Accounting Policies,” of the Notes to Condensed Consolidated Financial Statements accompanying this Quarterly Report on Form 10-Q.</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239" w:lineRule="exact"/>
        <w:rPr>
          <w:sz w:val="20"/>
          <w:szCs w:val="20"/>
          <w:color w:val="auto"/>
        </w:rPr>
      </w:pPr>
    </w:p>
    <w:p>
      <w:pPr>
        <w:ind w:right="420"/>
        <w:spacing w:after="0" w:line="278" w:lineRule="auto"/>
        <w:rPr>
          <w:sz w:val="20"/>
          <w:szCs w:val="20"/>
          <w:color w:val="auto"/>
        </w:rPr>
      </w:pPr>
      <w:r>
        <w:rPr>
          <w:rFonts w:ascii="Arial" w:cs="Arial" w:eastAsia="Arial" w:hAnsi="Arial"/>
          <w:sz w:val="17"/>
          <w:szCs w:val="17"/>
          <w:color w:val="auto"/>
        </w:rPr>
        <w:t>For information on recent accounting pronouncements, see “Accounting Pronouncements Adopted During the Current Year" and “Recent Accounting Pronouncements Not Yet Adopted” under Note 1, “Basis of Presentation and Summary of Significant Accounting Policies,” of the Notes to Condensed Consolidated Financial Statements accompanying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6"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We believe there have been no material changes in our market risk exposures for the six months ended September 30, 2024, as compared with those discussed in the 2024 Annual Report.</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6" w:lineRule="exact"/>
        <w:rPr>
          <w:sz w:val="20"/>
          <w:szCs w:val="20"/>
          <w:color w:val="auto"/>
        </w:rPr>
      </w:pPr>
    </w:p>
    <w:p>
      <w:pPr>
        <w:ind w:left="420" w:hanging="415"/>
        <w:spacing w:after="0"/>
        <w:tabs>
          <w:tab w:leader="none" w:pos="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224"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our Chief Financial Officer (our principal financial and accounting officer), evaluated the effectiveness of our disclosure controls and procedures (as defined under Rule 13a-15(e) of the Securities Exchange Act of 1934, as amended (the "Exchange Act")). Based on this evaluation, our principal executive officer and our principal financial and accounting officer concluded that as of September 30, 2024, our disclosure controls and procedures were effective.</w:t>
      </w:r>
    </w:p>
    <w:p>
      <w:pPr>
        <w:spacing w:after="0" w:line="167" w:lineRule="exact"/>
        <w:rPr>
          <w:sz w:val="20"/>
          <w:szCs w:val="20"/>
          <w:color w:val="auto"/>
        </w:rPr>
      </w:pPr>
    </w:p>
    <w:p>
      <w:pPr>
        <w:ind w:left="420" w:hanging="415"/>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224" w:lineRule="exact"/>
        <w:rPr>
          <w:sz w:val="20"/>
          <w:szCs w:val="20"/>
          <w:color w:val="auto"/>
        </w:rPr>
      </w:pPr>
    </w:p>
    <w:p>
      <w:pPr>
        <w:ind w:left="640"/>
        <w:spacing w:after="0" w:line="278"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under the Exchange Act) that occurred during the fiscal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6" w:lineRule="exact"/>
        <w:rPr>
          <w:sz w:val="20"/>
          <w:szCs w:val="20"/>
          <w:color w:val="auto"/>
        </w:rPr>
      </w:pPr>
    </w:p>
    <w:p>
      <w:pPr>
        <w:ind w:right="300"/>
        <w:spacing w:after="0" w:line="300" w:lineRule="auto"/>
        <w:rPr>
          <w:sz w:val="20"/>
          <w:szCs w:val="20"/>
          <w:color w:val="auto"/>
        </w:rPr>
      </w:pPr>
      <w:r>
        <w:rPr>
          <w:rFonts w:ascii="Arial" w:cs="Arial" w:eastAsia="Arial" w:hAnsi="Arial"/>
          <w:sz w:val="17"/>
          <w:szCs w:val="17"/>
          <w:color w:val="auto"/>
        </w:rPr>
        <w:t>The information required by this item is set forth under Note 14, “Commitments and Contingencies,” to our unaudited condensed consolidated financial statements in Part I, Item 1 of this Quarterly Report on Form 10-Q and is incorporated herein by reference.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risks described in Part I, Item 1A, “Risk Factors” in the 2024 Annual Report, remain current in all material respects, except as set forth below.</w:t>
      </w:r>
    </w:p>
    <w:p>
      <w:pPr>
        <w:spacing w:after="0" w:line="25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January 2020, Google announced that at some point in the following 24 months the Chrome browser would block third-party cookies. In April 2021, Google began releasing software updates to its Chrome browser with features intended to phase out third-party cookies. In May 2023, Google stated that it would deprecate third-party cookies by mid-2024 and in January 2024 started by deprecating third-party cookies for 1% of users globally. In April 2024, Google announced that the deprecation of third-party cookies will not be completed in 2024.</w:t>
      </w:r>
    </w:p>
    <w:p>
      <w:pPr>
        <w:spacing w:after="0" w:line="192"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In July 2024, Google announced that, instead of deprecating third-party cookies, it will introduce “a new experience in Chrome that lets people make an informed choice that applies across their web browsing.” While Google has determined not to deprecate cookies at this time, it is possible that Google's ongoing efforts in this area may have a substantial impact on the ability to collect and use data from Internet users.</w:t>
      </w:r>
    </w:p>
    <w:p>
      <w:pPr>
        <w:spacing w:after="0" w:line="18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foregoing shall be deemed to update the risks described in Part I, Item 1A, “Risk Factors” in the 2024 Annual Report, including, but not limited to those risks described under the headings “</w:t>
      </w:r>
      <w:r>
        <w:rPr>
          <w:rFonts w:ascii="Arial" w:cs="Arial" w:eastAsia="Arial" w:hAnsi="Arial"/>
          <w:sz w:val="17"/>
          <w:szCs w:val="17"/>
          <w:i w:val="1"/>
          <w:iCs w:val="1"/>
          <w:color w:val="auto"/>
        </w:rPr>
        <w:t>As the use of ‘third-party cookies' or other tracking technology continues to be pressured by</w:t>
      </w:r>
      <w:r>
        <w:rPr>
          <w:rFonts w:ascii="Arial" w:cs="Arial" w:eastAsia="Arial" w:hAnsi="Arial"/>
          <w:sz w:val="17"/>
          <w:szCs w:val="17"/>
          <w:color w:val="auto"/>
        </w:rPr>
        <w:t xml:space="preserve"> </w:t>
      </w:r>
      <w:r>
        <w:rPr>
          <w:rFonts w:ascii="Arial" w:cs="Arial" w:eastAsia="Arial" w:hAnsi="Arial"/>
          <w:sz w:val="17"/>
          <w:szCs w:val="17"/>
          <w:i w:val="1"/>
          <w:iCs w:val="1"/>
          <w:color w:val="auto"/>
        </w:rPr>
        <w:t>Internet users, restricted or otherwise subject to unfavorable regulation, blocked or limited by technical changes on end users’ devices, or our and our customers’ ability to use data on our platform is otherwise restricted, our business could be materially impacted.</w:t>
      </w:r>
      <w:r>
        <w:rPr>
          <w:rFonts w:ascii="Arial" w:cs="Arial" w:eastAsia="Arial" w:hAnsi="Arial"/>
          <w:sz w:val="17"/>
          <w:szCs w:val="17"/>
          <w:color w:val="auto"/>
        </w:rPr>
        <w:t>” and “</w:t>
      </w:r>
      <w:r>
        <w:rPr>
          <w:rFonts w:ascii="Arial" w:cs="Arial" w:eastAsia="Arial" w:hAnsi="Arial"/>
          <w:sz w:val="17"/>
          <w:szCs w:val="17"/>
          <w:i w:val="1"/>
          <w:iCs w:val="1"/>
          <w:color w:val="auto"/>
        </w:rPr>
        <w:t>Changes in legislative, judicial, regulatory, or cultural environments relating to information collection and use may limit our ability to collect and use data. Such developments could cause revenues to decline, increase the cost and availability of data and adversely affect the demand for our products and services.</w:t>
      </w:r>
      <w:r>
        <w:rPr>
          <w:rFonts w:ascii="Arial" w:cs="Arial" w:eastAsia="Arial" w:hAnsi="Arial"/>
          <w:sz w:val="17"/>
          <w:szCs w:val="17"/>
          <w:color w:val="auto"/>
        </w:rPr>
        <w:t>”</w:t>
      </w:r>
    </w:p>
    <w:p>
      <w:pPr>
        <w:spacing w:after="0" w:line="200" w:lineRule="exact"/>
        <w:rPr>
          <w:sz w:val="20"/>
          <w:szCs w:val="20"/>
          <w:color w:val="auto"/>
        </w:rPr>
      </w:pPr>
    </w:p>
    <w:p>
      <w:pPr>
        <w:spacing w:after="0" w:line="21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risk factors in the 2024 Annual Report, as updated above, do not identify all risks that we face. Our operations could also be affected by factors that are not presently known to us or that we currently consider to be immaterial to our operations. If any of the identified risks or others not specified in our SEC filings materialize, our business, financial condition, or results of operations could be materially adversely affected. In these circumstances,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2" w:lineRule="exact"/>
        <w:rPr>
          <w:sz w:val="20"/>
          <w:szCs w:val="20"/>
          <w:color w:val="auto"/>
        </w:rPr>
      </w:pPr>
    </w:p>
    <w:p>
      <w:pPr>
        <w:ind w:left="1560" w:hanging="296"/>
        <w:spacing w:after="0"/>
        <w:tabs>
          <w:tab w:leader="none" w:pos="1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60" w:hanging="296"/>
        <w:spacing w:after="0"/>
        <w:tabs>
          <w:tab w:leader="none" w:pos="1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80" w:hanging="316"/>
        <w:spacing w:after="0"/>
        <w:tabs>
          <w:tab w:leader="none" w:pos="1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table below provides information regarding purchases by LiveRamp of its common stock during the periods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6"/>
                <w:szCs w:val="16"/>
                <w:color w:val="auto"/>
              </w:rPr>
            </w:pPr>
          </w:p>
        </w:tc>
        <w:tc>
          <w:tcPr>
            <w:tcW w:w="2120" w:type="dxa"/>
            <w:vAlign w:val="bottom"/>
          </w:tcPr>
          <w:p>
            <w:pPr>
              <w:jc w:val="center"/>
              <w:ind w:right="64"/>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9"/>
                <w:szCs w:val="19"/>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Total Number of Shares</w:t>
            </w:r>
          </w:p>
        </w:tc>
        <w:tc>
          <w:tcPr>
            <w:tcW w:w="160" w:type="dxa"/>
            <w:vAlign w:val="bottom"/>
          </w:tcPr>
          <w:p>
            <w:pPr>
              <w:spacing w:after="0"/>
              <w:rPr>
                <w:sz w:val="19"/>
                <w:szCs w:val="19"/>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12"/>
                <w:szCs w:val="12"/>
                <w:color w:val="auto"/>
              </w:rPr>
            </w:pPr>
          </w:p>
        </w:tc>
        <w:tc>
          <w:tcPr>
            <w:tcW w:w="21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Total Number of</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Publicly</w:t>
            </w:r>
          </w:p>
        </w:tc>
        <w:tc>
          <w:tcPr>
            <w:tcW w:w="160" w:type="dxa"/>
            <w:vAlign w:val="bottom"/>
          </w:tcPr>
          <w:p>
            <w:pPr>
              <w:spacing w:after="0"/>
              <w:rPr>
                <w:sz w:val="11"/>
                <w:szCs w:val="11"/>
                <w:color w:val="auto"/>
              </w:rPr>
            </w:pPr>
          </w:p>
        </w:tc>
        <w:tc>
          <w:tcPr>
            <w:tcW w:w="21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1"/>
        </w:trPr>
        <w:tc>
          <w:tcPr>
            <w:tcW w:w="4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Period</w:t>
            </w:r>
          </w:p>
        </w:tc>
        <w:tc>
          <w:tcPr>
            <w:tcW w:w="14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9"/>
              </w:rPr>
              <w:t>Announced Plans or</w:t>
            </w:r>
          </w:p>
        </w:tc>
        <w:tc>
          <w:tcPr>
            <w:tcW w:w="160" w:type="dxa"/>
            <w:vAlign w:val="bottom"/>
          </w:tcPr>
          <w:p>
            <w:pPr>
              <w:spacing w:after="0"/>
              <w:rPr>
                <w:sz w:val="12"/>
                <w:szCs w:val="12"/>
                <w:color w:val="auto"/>
              </w:rPr>
            </w:pPr>
          </w:p>
        </w:tc>
        <w:tc>
          <w:tcPr>
            <w:tcW w:w="212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9"/>
              </w:rPr>
              <w:t>Purchased Under the</w:t>
            </w:r>
          </w:p>
        </w:tc>
        <w:tc>
          <w:tcPr>
            <w:tcW w:w="0" w:type="dxa"/>
            <w:vAlign w:val="bottom"/>
          </w:tcPr>
          <w:p>
            <w:pPr>
              <w:spacing w:after="0"/>
              <w:rPr>
                <w:sz w:val="1"/>
                <w:szCs w:val="1"/>
                <w:color w:val="auto"/>
              </w:rPr>
            </w:pPr>
          </w:p>
        </w:tc>
      </w:tr>
      <w:tr>
        <w:trPr>
          <w:trHeight w:val="184"/>
        </w:trPr>
        <w:tc>
          <w:tcPr>
            <w:tcW w:w="43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Programs</w:t>
            </w:r>
          </w:p>
        </w:tc>
        <w:tc>
          <w:tcPr>
            <w:tcW w:w="160" w:type="dxa"/>
            <w:vAlign w:val="bottom"/>
          </w:tcPr>
          <w:p>
            <w:pPr>
              <w:spacing w:after="0"/>
              <w:rPr>
                <w:sz w:val="15"/>
                <w:szCs w:val="15"/>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w w:val="99"/>
              </w:rPr>
              <w:t>Plans or Programs</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July 1, 2024 - July 31, 2024</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31.19</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275,000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132,962,617</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7"/>
                <w:szCs w:val="17"/>
                <w:color w:val="auto"/>
              </w:rPr>
              <w:t>August 1, 2024 - August 31, 2024</w:t>
            </w:r>
          </w:p>
        </w:tc>
        <w:tc>
          <w:tcPr>
            <w:tcW w:w="1320" w:type="dxa"/>
            <w:vAlign w:val="bottom"/>
          </w:tcPr>
          <w:p>
            <w:pPr>
              <w:jc w:val="right"/>
              <w:spacing w:after="0"/>
              <w:rPr>
                <w:sz w:val="20"/>
                <w:szCs w:val="20"/>
                <w:color w:val="auto"/>
              </w:rPr>
            </w:pPr>
            <w:r>
              <w:rPr>
                <w:rFonts w:ascii="Arial" w:cs="Arial" w:eastAsia="Arial" w:hAnsi="Arial"/>
                <w:sz w:val="17"/>
                <w:szCs w:val="17"/>
                <w:color w:val="auto"/>
              </w:rPr>
              <w:t>1,227,459</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24.45</w:t>
            </w:r>
          </w:p>
        </w:tc>
        <w:tc>
          <w:tcPr>
            <w:tcW w:w="12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7"/>
                <w:szCs w:val="17"/>
                <w:color w:val="auto"/>
              </w:rPr>
              <w:t>1,227,459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4"/>
              <w:spacing w:after="0"/>
              <w:rPr>
                <w:sz w:val="20"/>
                <w:szCs w:val="20"/>
                <w:color w:val="auto"/>
              </w:rPr>
            </w:pPr>
            <w:r>
              <w:rPr>
                <w:rFonts w:ascii="Arial" w:cs="Arial" w:eastAsia="Arial" w:hAnsi="Arial"/>
                <w:sz w:val="17"/>
                <w:szCs w:val="17"/>
                <w:color w:val="auto"/>
              </w:rPr>
              <w:t>302,947,112</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1, 2024 - September 30,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443,494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443,494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291,672,502</w:t>
            </w:r>
          </w:p>
        </w:tc>
        <w:tc>
          <w:tcPr>
            <w:tcW w:w="0" w:type="dxa"/>
            <w:vAlign w:val="bottom"/>
          </w:tcPr>
          <w:p>
            <w:pPr>
              <w:spacing w:after="0"/>
              <w:rPr>
                <w:sz w:val="1"/>
                <w:szCs w:val="1"/>
                <w:color w:val="auto"/>
              </w:rPr>
            </w:pPr>
          </w:p>
        </w:tc>
      </w:tr>
      <w:tr>
        <w:trPr>
          <w:trHeight w:val="216"/>
        </w:trPr>
        <w:tc>
          <w:tcPr>
            <w:tcW w:w="43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1,945,953</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25.63</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1,945,953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August 29, 2011, the board of directors adopted a common stock repurchase program. That program was subsequently modified and expanded, most recently on August 14, 2024. Under the modified common stock repurchase program, the Company may purchase up to $1.3 billion of its common stock through the period ending December 31, 2026. Through September 30, 2024, the Company had repurchased a total of 40.2 million shares of its common stock for $1.0 billion, leaving remaining capacity of $291.7 million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 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 Not applicable.</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c. Except as set forth below, during the three months ended September 30, 2024, none of the Company’s directors or officers (as defined in Rule 16a-1(f) under the Exchange Act) adopted or terminated a Rule 10b5-1 trading arrangement or non-Rule 10b5-1 trading arrangement (as such terms are defined in Item 408 of Regulation S-K).</w:t>
      </w:r>
    </w:p>
    <w:p>
      <w:pPr>
        <w:spacing w:after="0" w:line="18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On September 30, 2024, Kimberly Bloomston, Chief Product Officer of the Company, adopted a Rule 10b5-1 trading arrangement (the "Plan”) providing for the sale, subject to certain conditions, of an aggregate of (i) 11,294 shares of the Company’s common stock plus (ii) the net shares issued to Ms. Bloomston upon the vesting of time-based restricted stock unit awards and performance stock unit awards representing 79,782 shares of the Company’s common stock (assuming that any shares underlying performance stock units vest at target amounts), excluding any shares withheld to satisfy tax withholding obligations in connection with the settlement of such awards. Trades under the Plan are scheduled to commence December 30, 2024, and the Plan will expire on October 7, 2025, or, if earlier, upon completion of all authorized transactions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44" w:right="39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6. Exhibits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with this Quarterly Report on Form 10-Q:</w:t>
      </w:r>
    </w:p>
    <w:p>
      <w:pPr>
        <w:spacing w:after="0" w:line="254" w:lineRule="exact"/>
        <w:rPr>
          <w:sz w:val="20"/>
          <w:szCs w:val="20"/>
          <w:color w:val="auto"/>
        </w:rPr>
      </w:pPr>
    </w:p>
    <w:p>
      <w:pPr>
        <w:ind w:left="700"/>
        <w:spacing w:after="0"/>
        <w:tabs>
          <w:tab w:leader="none" w:pos="1160" w:val="left"/>
        </w:tabs>
        <w:rPr>
          <w:rFonts w:ascii="Arial" w:cs="Arial" w:eastAsia="Arial" w:hAnsi="Arial"/>
          <w:sz w:val="17"/>
          <w:szCs w:val="17"/>
          <w:u w:val="single" w:color="auto"/>
          <w:color w:val="0000FF"/>
        </w:rPr>
      </w:pPr>
      <w:r>
        <w:rPr>
          <w:rFonts w:ascii="Arial" w:cs="Arial" w:eastAsia="Arial" w:hAnsi="Arial"/>
          <w:sz w:val="17"/>
          <w:szCs w:val="17"/>
          <w:color w:val="auto"/>
        </w:rPr>
        <w:t>3.1</w:t>
      </w:r>
      <w:r>
        <w:rPr>
          <w:sz w:val="20"/>
          <w:szCs w:val="20"/>
          <w:color w:val="auto"/>
        </w:rPr>
        <w:tab/>
      </w:r>
      <w:hyperlink r:id="rId57">
        <w:r>
          <w:rPr>
            <w:rFonts w:ascii="Arial" w:cs="Arial" w:eastAsia="Arial" w:hAnsi="Arial"/>
            <w:sz w:val="17"/>
            <w:szCs w:val="17"/>
            <w:u w:val="single" w:color="auto"/>
            <w:color w:val="0000FF"/>
          </w:rPr>
          <w:t>Amended and Restated Certificate of Incorporation, as filed on August 14, 2024 (previously filed on August 16, 2024 as Exhibit</w:t>
        </w:r>
      </w:hyperlink>
    </w:p>
    <w:p>
      <w:pPr>
        <w:ind w:left="1180"/>
        <w:spacing w:after="0"/>
        <w:rPr>
          <w:rFonts w:ascii="Arial" w:cs="Arial" w:eastAsia="Arial" w:hAnsi="Arial"/>
          <w:sz w:val="17"/>
          <w:szCs w:val="17"/>
          <w:u w:val="single" w:color="auto"/>
          <w:color w:val="0000FF"/>
        </w:rPr>
      </w:pPr>
      <w:hyperlink r:id="rId57">
        <w:r>
          <w:rPr>
            <w:rFonts w:ascii="Arial" w:cs="Arial" w:eastAsia="Arial" w:hAnsi="Arial"/>
            <w:sz w:val="17"/>
            <w:szCs w:val="17"/>
            <w:u w:val="single" w:color="auto"/>
            <w:color w:val="0000FF"/>
          </w:rPr>
          <w:t>3.1 to the Company’s Current Report on Form 8-K, Commission File No. 001-38669, and incorporated herein by reference).</w:t>
        </w:r>
      </w:hyperlink>
    </w:p>
    <w:p>
      <w:pPr>
        <w:spacing w:after="0" w:line="287" w:lineRule="exact"/>
        <w:rPr>
          <w:sz w:val="20"/>
          <w:szCs w:val="20"/>
          <w:color w:val="auto"/>
        </w:rPr>
      </w:pPr>
    </w:p>
    <w:p>
      <w:pPr>
        <w:ind w:left="1180" w:right="200" w:hanging="576"/>
        <w:spacing w:after="0" w:line="227" w:lineRule="auto"/>
        <w:tabs>
          <w:tab w:leader="none" w:pos="1160" w:val="left"/>
        </w:tabs>
        <w:rPr>
          <w:rFonts w:ascii="Arial" w:cs="Arial" w:eastAsia="Arial" w:hAnsi="Arial"/>
          <w:sz w:val="17"/>
          <w:szCs w:val="17"/>
          <w:u w:val="single" w:color="auto"/>
          <w:color w:val="0000FF"/>
        </w:rPr>
      </w:pPr>
      <w:r>
        <w:rPr>
          <w:rFonts w:ascii="Arial" w:cs="Arial" w:eastAsia="Arial" w:hAnsi="Arial"/>
          <w:sz w:val="17"/>
          <w:szCs w:val="17"/>
          <w:color w:val="auto"/>
        </w:rPr>
        <w:t>10.1</w:t>
      </w:r>
      <w:r>
        <w:rPr>
          <w:sz w:val="20"/>
          <w:szCs w:val="20"/>
          <w:color w:val="auto"/>
        </w:rPr>
        <w:tab/>
      </w:r>
      <w:hyperlink r:id="rId58">
        <w:r>
          <w:rPr>
            <w:rFonts w:ascii="Arial" w:cs="Arial" w:eastAsia="Arial" w:hAnsi="Arial"/>
            <w:sz w:val="17"/>
            <w:szCs w:val="17"/>
            <w:u w:val="single" w:color="auto"/>
            <w:color w:val="0000FF"/>
          </w:rPr>
          <w:t>Amended and Restated 2005 Equity Compensation Plan of LiveRamp Holdings, Inc. (previously filed on August 16, 2024 as</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Exhibit 10.1 to the Company’s Current Report on Form 8-K, Commission File No. 001-38669, and incorporated herein by</w:t>
        </w:r>
      </w:hyperlink>
    </w:p>
    <w:p>
      <w:pPr>
        <w:ind w:left="1180"/>
        <w:spacing w:after="0"/>
        <w:rPr>
          <w:rFonts w:ascii="Arial" w:cs="Arial" w:eastAsia="Arial" w:hAnsi="Arial"/>
          <w:sz w:val="17"/>
          <w:szCs w:val="17"/>
          <w:u w:val="single" w:color="auto"/>
          <w:color w:val="0000FF"/>
        </w:rPr>
      </w:pPr>
      <w:hyperlink r:id="rId58">
        <w:r>
          <w:rPr>
            <w:rFonts w:ascii="Arial" w:cs="Arial" w:eastAsia="Arial" w:hAnsi="Arial"/>
            <w:sz w:val="17"/>
            <w:szCs w:val="17"/>
            <w:u w:val="single" w:color="auto"/>
            <w:color w:val="0000FF"/>
          </w:rPr>
          <w:t>reference).</w:t>
        </w:r>
      </w:hyperlink>
    </w:p>
    <w:p>
      <w:pPr>
        <w:spacing w:after="0" w:line="274" w:lineRule="exact"/>
        <w:rPr>
          <w:sz w:val="20"/>
          <w:szCs w:val="20"/>
          <w:color w:val="auto"/>
        </w:rPr>
      </w:pPr>
    </w:p>
    <w:p>
      <w:pPr>
        <w:ind w:left="1180" w:right="400" w:hanging="576"/>
        <w:spacing w:after="0" w:line="251" w:lineRule="auto"/>
        <w:tabs>
          <w:tab w:leader="none" w:pos="11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SEC Rule 13a-14(a)/15d-14(a), as adopted pursuant to Sections 302 and 404 of the Sarbanes-Oxley Act of 2002</w:t>
      </w:r>
    </w:p>
    <w:p>
      <w:pPr>
        <w:spacing w:after="0" w:line="260" w:lineRule="exact"/>
        <w:rPr>
          <w:sz w:val="20"/>
          <w:szCs w:val="20"/>
          <w:color w:val="auto"/>
        </w:rPr>
      </w:pPr>
    </w:p>
    <w:p>
      <w:pPr>
        <w:ind w:left="1180" w:hanging="576"/>
        <w:spacing w:after="0" w:line="251" w:lineRule="auto"/>
        <w:tabs>
          <w:tab w:leader="none" w:pos="11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SEC Rule 13a-14(a)/15d-14(a), as adopted pursuant to Sections 302 and 404 of the Sarbanes-Oxley Act of 2002</w:t>
      </w:r>
    </w:p>
    <w:p>
      <w:pPr>
        <w:spacing w:after="0" w:line="260" w:lineRule="exact"/>
        <w:rPr>
          <w:sz w:val="20"/>
          <w:szCs w:val="20"/>
          <w:color w:val="auto"/>
        </w:rPr>
      </w:pPr>
    </w:p>
    <w:p>
      <w:pPr>
        <w:ind w:left="1180" w:right="40" w:hanging="576"/>
        <w:spacing w:after="0" w:line="251"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18 U.S.C. Section 1350, as adopted pursuant to Section 906 of the Sarbanes-Oxley Act of 2002</w:t>
      </w:r>
    </w:p>
    <w:p>
      <w:pPr>
        <w:spacing w:after="0" w:line="260" w:lineRule="exact"/>
        <w:rPr>
          <w:sz w:val="20"/>
          <w:szCs w:val="20"/>
          <w:color w:val="auto"/>
        </w:rPr>
      </w:pPr>
    </w:p>
    <w:p>
      <w:pPr>
        <w:ind w:left="1180" w:right="560" w:hanging="576"/>
        <w:spacing w:after="0" w:line="251" w:lineRule="auto"/>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18 U.S.C. Section 1350, as adopted pursuant to Section 906 of the Sarbanes-Oxley Act of 2002</w:t>
      </w:r>
    </w:p>
    <w:p>
      <w:pPr>
        <w:spacing w:after="0" w:line="273" w:lineRule="exact"/>
        <w:rPr>
          <w:sz w:val="20"/>
          <w:szCs w:val="20"/>
          <w:color w:val="auto"/>
        </w:rPr>
      </w:pPr>
    </w:p>
    <w:p>
      <w:pPr>
        <w:ind w:left="1180" w:right="60" w:hanging="532"/>
        <w:spacing w:after="0" w:line="261"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quarter ended September 30, 2024, formatted in inline XBRL: (i) Condensed Consolidated Balance Sheets at September 30, 2024 and March 31, 2024, (ii) Condensed Consolidated Statements of Operations for the Three and Six Months Ended September 30, 2024 and 2023, (iii) Condensed Consolidated Statements of Comprehensive Income (Loss) for the Three and Six Months Ended September 30, 2024 and 2023, (iv) Condensed Consolidated Statements of Equity for the Three and Six Months Ended September 30, 2024,</w:t>
      </w:r>
    </w:p>
    <w:p>
      <w:pPr>
        <w:spacing w:after="0" w:line="2" w:lineRule="exact"/>
        <w:rPr>
          <w:rFonts w:ascii="Arial" w:cs="Arial" w:eastAsia="Arial" w:hAnsi="Arial"/>
          <w:sz w:val="17"/>
          <w:szCs w:val="17"/>
          <w:color w:val="auto"/>
        </w:rPr>
      </w:pPr>
    </w:p>
    <w:p>
      <w:pPr>
        <w:ind w:left="1180" w:right="140"/>
        <w:spacing w:after="0" w:line="253" w:lineRule="auto"/>
        <w:rPr>
          <w:rFonts w:ascii="Arial" w:cs="Arial" w:eastAsia="Arial" w:hAnsi="Arial"/>
          <w:sz w:val="17"/>
          <w:szCs w:val="17"/>
          <w:color w:val="auto"/>
        </w:rPr>
      </w:pPr>
      <w:r>
        <w:rPr>
          <w:rFonts w:ascii="Arial" w:cs="Arial" w:eastAsia="Arial" w:hAnsi="Arial"/>
          <w:sz w:val="17"/>
          <w:szCs w:val="17"/>
          <w:color w:val="auto"/>
        </w:rPr>
        <w:t>(v) Condensed Consolidated Statements of Equity for the Three and Six Months Ended September 30, 2023, (vi) Condensed Consolidated Statements of Cash Flows for the Six Months Ended September 30, 2024 and 2023, and (vii) the Notes to Condensed Consolidated Financial Statements, tagged in detail.</w:t>
      </w:r>
    </w:p>
    <w:p>
      <w:pPr>
        <w:spacing w:after="0" w:line="284" w:lineRule="exact"/>
        <w:rPr>
          <w:sz w:val="20"/>
          <w:szCs w:val="20"/>
          <w:color w:val="auto"/>
        </w:rPr>
      </w:pPr>
    </w:p>
    <w:p>
      <w:pPr>
        <w:ind w:left="1180" w:hanging="532"/>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u w:val="single" w:color="auto"/>
          <w:color w:val="auto"/>
        </w:rPr>
        <w:t>SIGNATURE</w:t>
      </w:r>
    </w:p>
    <w:p>
      <w:pPr>
        <w:spacing w:after="0" w:line="224"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2"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LIVERAMP HOLDINGS, INC.</w:t>
            </w:r>
          </w:p>
        </w:tc>
      </w:tr>
      <w:tr>
        <w:trPr>
          <w:trHeight w:val="744"/>
        </w:trPr>
        <w:tc>
          <w:tcPr>
            <w:tcW w:w="2020" w:type="dxa"/>
            <w:vAlign w:val="bottom"/>
          </w:tcPr>
          <w:p>
            <w:pPr>
              <w:spacing w:after="0"/>
              <w:rPr>
                <w:sz w:val="20"/>
                <w:szCs w:val="20"/>
                <w:color w:val="auto"/>
              </w:rPr>
            </w:pPr>
            <w:r>
              <w:rPr>
                <w:rFonts w:ascii="Arial" w:cs="Arial" w:eastAsia="Arial" w:hAnsi="Arial"/>
                <w:sz w:val="17"/>
                <w:szCs w:val="17"/>
                <w:color w:val="auto"/>
              </w:rPr>
              <w:t>Dated: November 6, 2024</w:t>
            </w:r>
          </w:p>
        </w:tc>
        <w:tc>
          <w:tcPr>
            <w:tcW w:w="6060" w:type="dxa"/>
            <w:vAlign w:val="bottom"/>
            <w:gridSpan w:val="2"/>
          </w:tcPr>
          <w:p>
            <w:pPr>
              <w:ind w:left="580"/>
              <w:spacing w:after="0"/>
              <w:rPr>
                <w:sz w:val="20"/>
                <w:szCs w:val="20"/>
                <w:color w:val="auto"/>
              </w:rPr>
            </w:pPr>
            <w:r>
              <w:rPr>
                <w:rFonts w:ascii="Arial" w:cs="Arial" w:eastAsia="Arial" w:hAnsi="Arial"/>
                <w:sz w:val="17"/>
                <w:szCs w:val="17"/>
                <w:color w:val="auto"/>
              </w:rPr>
              <w:t>By: /s/ Lauren Dillard</w:t>
            </w:r>
          </w:p>
        </w:tc>
      </w:tr>
      <w:tr>
        <w:trPr>
          <w:trHeight w:val="212"/>
        </w:trPr>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(Signature)</w:t>
            </w:r>
          </w:p>
        </w:tc>
      </w:tr>
      <w:tr>
        <w:trPr>
          <w:trHeight w:val="223"/>
        </w:trPr>
        <w:tc>
          <w:tcPr>
            <w:tcW w:w="2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Lauren Dillard</w:t>
            </w:r>
          </w:p>
        </w:tc>
      </w:tr>
      <w:tr>
        <w:trPr>
          <w:trHeight w:val="223"/>
        </w:trPr>
        <w:tc>
          <w:tcPr>
            <w:tcW w:w="2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30"/>
        </w:trPr>
        <w:tc>
          <w:tcPr>
            <w:tcW w:w="2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90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Scott E. Howe, certify that:</w:t>
      </w:r>
    </w:p>
    <w:p>
      <w:pPr>
        <w:spacing w:after="0" w:line="224" w:lineRule="exact"/>
        <w:rPr>
          <w:sz w:val="20"/>
          <w:szCs w:val="20"/>
          <w:color w:val="auto"/>
        </w:rPr>
      </w:pPr>
    </w:p>
    <w:p>
      <w:pPr>
        <w:ind w:left="1260" w:hanging="626"/>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50" w:lineRule="exact"/>
        <w:rPr>
          <w:rFonts w:ascii="Arial" w:cs="Arial" w:eastAsia="Arial" w:hAnsi="Arial"/>
          <w:sz w:val="17"/>
          <w:szCs w:val="17"/>
          <w:color w:val="auto"/>
        </w:rPr>
      </w:pPr>
    </w:p>
    <w:p>
      <w:pPr>
        <w:ind w:left="640" w:right="400" w:hanging="6"/>
        <w:spacing w:after="0" w:line="262"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7"/>
          <w:szCs w:val="17"/>
          <w:color w:val="auto"/>
        </w:rPr>
      </w:pPr>
    </w:p>
    <w:p>
      <w:pPr>
        <w:ind w:left="640" w:right="6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6"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660"/>
        <w:spacing w:after="0"/>
        <w:tabs>
          <w:tab w:leader="none" w:pos="5440" w:val="left"/>
          <w:tab w:leader="none" w:pos="6040" w:val="left"/>
        </w:tabs>
        <w:rPr>
          <w:sz w:val="20"/>
          <w:szCs w:val="20"/>
          <w:color w:val="auto"/>
        </w:rPr>
      </w:pPr>
      <w:r>
        <w:rPr>
          <w:rFonts w:ascii="Arial" w:cs="Arial" w:eastAsia="Arial" w:hAnsi="Arial"/>
          <w:sz w:val="17"/>
          <w:szCs w:val="17"/>
          <w:color w:val="auto"/>
        </w:rPr>
        <w:t>Dated: November 6,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19685</wp:posOffset>
            </wp:positionV>
            <wp:extent cx="28397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Scott E. Howe</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90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31.2</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Lauren Dillard, certify that:</w:t>
      </w:r>
    </w:p>
    <w:p>
      <w:pPr>
        <w:spacing w:after="0" w:line="224" w:lineRule="exact"/>
        <w:rPr>
          <w:sz w:val="20"/>
          <w:szCs w:val="20"/>
          <w:color w:val="auto"/>
        </w:rPr>
      </w:pPr>
    </w:p>
    <w:p>
      <w:pPr>
        <w:ind w:left="1260" w:hanging="626"/>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37" w:lineRule="exact"/>
        <w:rPr>
          <w:rFonts w:ascii="Arial" w:cs="Arial" w:eastAsia="Arial" w:hAnsi="Arial"/>
          <w:sz w:val="17"/>
          <w:szCs w:val="17"/>
          <w:color w:val="auto"/>
        </w:rPr>
      </w:pPr>
    </w:p>
    <w:p>
      <w:pPr>
        <w:ind w:left="640" w:right="400" w:hanging="6"/>
        <w:spacing w:after="0" w:line="270" w:lineRule="auto"/>
        <w:tabs>
          <w:tab w:leader="none" w:pos="1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7"/>
          <w:szCs w:val="17"/>
          <w:color w:val="auto"/>
        </w:rPr>
      </w:pPr>
    </w:p>
    <w:p>
      <w:pPr>
        <w:ind w:left="640" w:right="60" w:hanging="6"/>
        <w:spacing w:after="0" w:line="281" w:lineRule="auto"/>
        <w:tabs>
          <w:tab w:leader="none" w:pos="1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1"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80"/>
        <w:spacing w:after="0"/>
        <w:tabs>
          <w:tab w:leader="none" w:pos="5180" w:val="left"/>
          <w:tab w:leader="none" w:pos="5800" w:val="left"/>
        </w:tabs>
        <w:rPr>
          <w:sz w:val="20"/>
          <w:szCs w:val="20"/>
          <w:color w:val="auto"/>
        </w:rPr>
      </w:pPr>
      <w:r>
        <w:rPr>
          <w:rFonts w:ascii="Arial" w:cs="Arial" w:eastAsia="Arial" w:hAnsi="Arial"/>
          <w:sz w:val="17"/>
          <w:szCs w:val="17"/>
          <w:color w:val="auto"/>
        </w:rPr>
        <w:t>Dated: November 6,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19685</wp:posOffset>
            </wp:positionV>
            <wp:extent cx="32226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Lauren Dillard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320" w:top="90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September 30, 2024 as filed with the Securities and Exchange Commission on the date hereof (the “Report”), I, Scott E. Howe, Chief Executive Officer of the Company, certify, pursuant to 18 U.S.C. § 1350, as adopted pursuant to § 906 of the Sarbanes-Oxley Act of 2002, to my knowledge, that:</w:t>
      </w:r>
    </w:p>
    <w:p>
      <w:pPr>
        <w:spacing w:after="0" w:line="200" w:lineRule="exact"/>
        <w:rPr>
          <w:sz w:val="20"/>
          <w:szCs w:val="20"/>
          <w:color w:val="auto"/>
        </w:rPr>
      </w:pPr>
    </w:p>
    <w:p>
      <w:pPr>
        <w:spacing w:after="0" w:line="208" w:lineRule="exact"/>
        <w:rPr>
          <w:sz w:val="20"/>
          <w:szCs w:val="20"/>
          <w:color w:val="auto"/>
        </w:rPr>
      </w:pPr>
    </w:p>
    <w:p>
      <w:pPr>
        <w:ind w:left="620" w:hanging="300"/>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5" w:lineRule="exact"/>
        <w:rPr>
          <w:rFonts w:ascii="Arial" w:cs="Arial" w:eastAsia="Arial" w:hAnsi="Arial"/>
          <w:sz w:val="21"/>
          <w:szCs w:val="21"/>
          <w:color w:val="auto"/>
        </w:rPr>
      </w:pPr>
    </w:p>
    <w:p>
      <w:pPr>
        <w:ind w:left="640" w:right="340" w:hanging="320"/>
        <w:spacing w:after="0" w:line="243" w:lineRule="auto"/>
        <w:tabs>
          <w:tab w:leader="none" w:pos="631"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19685</wp:posOffset>
            </wp:positionV>
            <wp:extent cx="3330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Scott E. Howe</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November 6, 2024</w:t>
      </w:r>
    </w:p>
    <w:p>
      <w:pPr>
        <w:sectPr>
          <w:pgSz w:w="11900" w:h="16838" w:orient="portrait"/>
          <w:cols w:equalWidth="0" w:num="1">
            <w:col w:w="11240"/>
          </w:cols>
          <w:pgMar w:left="320" w:top="90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September 30, 2024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spacing w:after="0" w:line="201" w:lineRule="exact"/>
        <w:rPr>
          <w:sz w:val="20"/>
          <w:szCs w:val="20"/>
          <w:color w:val="auto"/>
        </w:rPr>
      </w:pPr>
    </w:p>
    <w:p>
      <w:pPr>
        <w:ind w:left="620" w:hanging="300"/>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5" w:lineRule="exact"/>
        <w:rPr>
          <w:rFonts w:ascii="Arial" w:cs="Arial" w:eastAsia="Arial" w:hAnsi="Arial"/>
          <w:sz w:val="21"/>
          <w:szCs w:val="21"/>
          <w:color w:val="auto"/>
        </w:rPr>
      </w:pPr>
    </w:p>
    <w:p>
      <w:pPr>
        <w:ind w:left="640" w:right="340" w:hanging="320"/>
        <w:spacing w:after="0" w:line="243" w:lineRule="auto"/>
        <w:tabs>
          <w:tab w:leader="none" w:pos="631" w:val="left"/>
        </w:tabs>
        <w:numPr>
          <w:ilvl w:val="0"/>
          <w:numId w:val="31"/>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19685</wp:posOffset>
            </wp:positionV>
            <wp:extent cx="3072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Lauren Dillard</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Executive Vice President and Chief Financial Officer</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November 6, 2024</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1."/>
      <w:numFmt w:val="decimal"/>
      <w:start w:val="5"/>
    </w:lvl>
  </w:abstractNum>
  <w:abstractNum w:abstractNumId="11">
    <w:nsid w:val="333AB105"/>
    <w:multiLevelType w:val="hybridMultilevel"/>
    <w:lvl w:ilvl="0">
      <w:lvlJc w:val="left"/>
      <w:lvlText w:val="%1."/>
      <w:numFmt w:val="decimal"/>
      <w:start w:val="9"/>
    </w:lvl>
  </w:abstractNum>
  <w:abstractNum w:abstractNumId="12">
    <w:nsid w:val="721DA317"/>
    <w:multiLevelType w:val="hybridMultilevel"/>
    <w:lvl w:ilvl="0">
      <w:lvlJc w:val="left"/>
      <w:lvlText w:val="%1."/>
      <w:numFmt w:val="decimal"/>
      <w:start w:val="12"/>
    </w:lvl>
  </w:abstractNum>
  <w:abstractNum w:abstractNumId="13">
    <w:nsid w:val="2443A858"/>
    <w:multiLevelType w:val="hybridMultilevel"/>
    <w:lvl w:ilvl="0">
      <w:lvlJc w:val="left"/>
      <w:lvlText w:val="%1."/>
      <w:numFmt w:val="decimal"/>
      <w:start w:val="13"/>
    </w:lvl>
  </w:abstractNum>
  <w:abstractNum w:abstractNumId="14">
    <w:nsid w:val="2D1D5AE9"/>
    <w:multiLevelType w:val="hybridMultilevel"/>
    <w:lvl w:ilvl="0">
      <w:lvlJc w:val="left"/>
      <w:lvlText w:val="%1."/>
      <w:numFmt w:val="decimal"/>
      <w:start w:val="14"/>
    </w:lvl>
  </w:abstractNum>
  <w:abstractNum w:abstractNumId="15">
    <w:nsid w:val="6763845E"/>
    <w:multiLevelType w:val="hybridMultilevel"/>
    <w:lvl w:ilvl="0">
      <w:lvlJc w:val="left"/>
      <w:lvlText w:val="%1."/>
      <w:numFmt w:val="decimal"/>
      <w:start w:val="15"/>
    </w:lvl>
  </w:abstractNum>
  <w:abstractNum w:abstractNumId="16">
    <w:nsid w:val="75A2A8D4"/>
    <w:multiLevelType w:val="hybridMultilevel"/>
    <w:lvl w:ilvl="0">
      <w:lvlJc w:val="left"/>
      <w:lvlText w:val="%1."/>
      <w:numFmt w:val="decimal"/>
      <w:start w:val="16"/>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lvl w:ilvl="1">
      <w:lvlJc w:val="left"/>
      <w:lvlText w:val="◦"/>
      <w:numFmt w:val="bullet"/>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2"/>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7" Type="http://schemas.openxmlformats.org/officeDocument/2006/relationships/hyperlink" Target="https://www.sec.gov/Archives/edgar/data/733269/000110465924090501/tm2421918d1_ex3-1.htm" TargetMode="External"/><Relationship Id="rId58" Type="http://schemas.openxmlformats.org/officeDocument/2006/relationships/hyperlink" Target="https://www.sec.gov/Archives/edgar/data/733269/000110465924090501/tm242191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2024-11-06T16:36:25Z</dcterms:created>
  <dcterms:modified xsi:type="dcterms:W3CDTF">2024-11-06T16:36:25Z</dcterms:modified>
</cp:coreProperties>
</file>