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CHOW VIVIAN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LIVERAMP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225 BUSH STREET, 17TH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LiveRamp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RAMP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35"/>
        <w:gridCol w:w="905"/>
        <w:gridCol w:w="774"/>
        <w:gridCol w:w="601"/>
        <w:gridCol w:w="348"/>
        <w:gridCol w:w="888"/>
        <w:gridCol w:w="454"/>
        <w:gridCol w:w="616"/>
        <w:gridCol w:w="1163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$.10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31,263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issued to the reporting person as part of her compensation for service as a director of the registrant.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BY: JERRY C. JONES, ATTORNEY-IN-FACT FOR: VIVIAN CHOW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9634" TargetMode="External"/><Relationship Id="rId5" Type="http://schemas.openxmlformats.org/officeDocument/2006/relationships/hyperlink" Target="http://www.sec.gov/cgi-bin/browse-edgar?action=getcompany&amp;CIK=00007332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3210</Characters>
  <CharactersWithSpaces>3737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