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61347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6134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520"/>
          </w:cols>
          <w:pgMar w:left="460" w:top="219" w:right="4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JONES JERRY C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LIVERAMP HOLDINGS,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225 BUSH STREET,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13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LiveRamp Holdings,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RAMP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46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2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ETHICS &amp; LEGAL OFFICER</w:t>
      </w:r>
    </w:p>
    <w:p>
      <w:pPr>
        <w:spacing w:after="0" w:line="56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265"/>
          </w:cols>
          <w:pgMar w:left="460" w:top="219" w:right="4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5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76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94104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206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2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060" w:type="dxa"/>
            <w:vAlign w:val="bottom"/>
            <w:gridSpan w:val="2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ind w:left="10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ind w:left="10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$.10 PAR VALUE   05/29/2026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29.66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260,024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$.10 PAR VALUE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5,396.8796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MANAGED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ACCOUNT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$.10 PAR VALUE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3,494.7296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MANAGED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ACCOUNT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0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were withheld by the issuer to satisfy certain of the reporting person's tax obligations that arose as a result of the reporting person's retirement eligibility under the Amended and Restated 2005 Equity Compensation Plan.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JERRY C. JONES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06/02/2026</w:t>
            </w:r>
          </w:p>
        </w:tc>
      </w:tr>
      <w:tr>
        <w:trPr>
          <w:trHeight w:val="20"/>
        </w:trPr>
        <w:tc>
          <w:tcPr>
            <w:tcW w:w="1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26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19" w:right="4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179680" TargetMode="External"/><Relationship Id="rId14" Type="http://schemas.openxmlformats.org/officeDocument/2006/relationships/hyperlink" Target="http://www.sec.gov/cgi-bin/browse-edgar?action=getcompany&amp;CIK=000073326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2026-06-02T16:54:22Z</dcterms:created>
  <dcterms:modified xsi:type="dcterms:W3CDTF">2026-06-02T16:54:22Z</dcterms:modified>
</cp:coreProperties>
</file>