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10-Q</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(Mark One)</w:t>
      </w:r>
    </w:p>
    <w:p>
      <w:pPr>
        <w:spacing w:after="0" w:line="46"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40" w:lineRule="exact"/>
        <w:rPr>
          <w:sz w:val="24"/>
          <w:szCs w:val="24"/>
          <w:color w:val="auto"/>
        </w:rPr>
      </w:pPr>
    </w:p>
    <w:p>
      <w:pPr>
        <w:jc w:val="center"/>
        <w:ind w:left="540"/>
        <w:spacing w:after="0"/>
        <w:rPr>
          <w:sz w:val="20"/>
          <w:szCs w:val="20"/>
          <w:color w:val="auto"/>
        </w:rPr>
      </w:pPr>
      <w:r>
        <w:rPr>
          <w:rFonts w:ascii="Arial" w:cs="Arial" w:eastAsia="Arial" w:hAnsi="Arial"/>
          <w:sz w:val="16"/>
          <w:szCs w:val="16"/>
          <w:color w:val="auto"/>
        </w:rPr>
        <w:t>For the quarterly period ended June 30, 2019</w:t>
      </w:r>
    </w:p>
    <w:p>
      <w:pPr>
        <w:spacing w:after="0" w:line="19" w:lineRule="exact"/>
        <w:rPr>
          <w:sz w:val="24"/>
          <w:szCs w:val="24"/>
          <w:color w:val="auto"/>
        </w:rPr>
      </w:pPr>
    </w:p>
    <w:p>
      <w:pPr>
        <w:jc w:val="center"/>
        <w:ind w:left="500"/>
        <w:spacing w:after="0"/>
        <w:rPr>
          <w:sz w:val="20"/>
          <w:szCs w:val="20"/>
          <w:color w:val="auto"/>
        </w:rPr>
      </w:pPr>
      <w:r>
        <w:rPr>
          <w:rFonts w:ascii="Arial" w:cs="Arial" w:eastAsia="Arial" w:hAnsi="Arial"/>
          <w:sz w:val="16"/>
          <w:szCs w:val="16"/>
          <w:color w:val="auto"/>
        </w:rPr>
        <w:t>OR</w:t>
      </w:r>
    </w:p>
    <w:p>
      <w:pPr>
        <w:spacing w:after="0" w:line="11" w:lineRule="exact"/>
        <w:rPr>
          <w:sz w:val="24"/>
          <w:szCs w:val="24"/>
          <w:color w:val="auto"/>
        </w:rPr>
      </w:pPr>
    </w:p>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TRANSITION REPORT PURSUANT TO SECTION 13 OR 15(d) OF THE SECURITIES EXCHANGE ACT OF 1934</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6680" w:type="dxa"/>
            <w:vAlign w:val="bottom"/>
            <w:gridSpan w:val="2"/>
          </w:tcPr>
          <w:p>
            <w:pPr>
              <w:ind w:left="60"/>
              <w:spacing w:after="0"/>
              <w:rPr>
                <w:sz w:val="20"/>
                <w:szCs w:val="20"/>
                <w:color w:val="auto"/>
              </w:rPr>
            </w:pPr>
            <w:r>
              <w:rPr>
                <w:rFonts w:ascii="Arial" w:cs="Arial" w:eastAsia="Arial" w:hAnsi="Arial"/>
                <w:sz w:val="16"/>
                <w:szCs w:val="16"/>
                <w:color w:val="auto"/>
              </w:rPr>
              <w:t>For the transition period from ----- to -----</w:t>
            </w:r>
          </w:p>
        </w:tc>
        <w:tc>
          <w:tcPr>
            <w:tcW w:w="0" w:type="dxa"/>
            <w:vAlign w:val="bottom"/>
          </w:tcPr>
          <w:p>
            <w:pPr>
              <w:spacing w:after="0"/>
              <w:rPr>
                <w:sz w:val="1"/>
                <w:szCs w:val="1"/>
                <w:color w:val="auto"/>
              </w:rPr>
            </w:pPr>
          </w:p>
        </w:tc>
      </w:tr>
      <w:tr>
        <w:trPr>
          <w:trHeight w:val="381"/>
        </w:trPr>
        <w:tc>
          <w:tcPr>
            <w:tcW w:w="4480" w:type="dxa"/>
            <w:vAlign w:val="bottom"/>
          </w:tcPr>
          <w:p>
            <w:pPr>
              <w:spacing w:after="0"/>
              <w:rPr>
                <w:sz w:val="24"/>
                <w:szCs w:val="24"/>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Commission file number 1-38669</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220" w:type="dxa"/>
            <w:vAlign w:val="bottom"/>
            <w:gridSpan w:val="2"/>
          </w:tcPr>
          <w:p>
            <w:pPr>
              <w:jc w:val="center"/>
              <w:ind w:left="3857"/>
              <w:spacing w:after="0"/>
              <w:rPr>
                <w:sz w:val="20"/>
                <w:szCs w:val="20"/>
                <w:color w:val="auto"/>
              </w:rPr>
            </w:pPr>
            <w:r>
              <w:rPr>
                <w:rFonts w:ascii="Arial" w:cs="Arial" w:eastAsia="Arial" w:hAnsi="Arial"/>
                <w:sz w:val="25"/>
                <w:szCs w:val="25"/>
                <w:b w:val="1"/>
                <w:bCs w:val="1"/>
                <w:color w:val="auto"/>
              </w:rPr>
              <w:t>LiveRamp Holdings,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160" w:type="dxa"/>
            <w:vAlign w:val="bottom"/>
            <w:gridSpan w:val="3"/>
          </w:tcPr>
          <w:p>
            <w:pPr>
              <w:jc w:val="center"/>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51"/>
        </w:trPr>
        <w:tc>
          <w:tcPr>
            <w:tcW w:w="4480" w:type="dxa"/>
            <w:vAlign w:val="bottom"/>
          </w:tcPr>
          <w:p>
            <w:pPr>
              <w:jc w:val="center"/>
              <w:ind w:left="37"/>
              <w:spacing w:after="0"/>
              <w:rPr>
                <w:sz w:val="20"/>
                <w:szCs w:val="20"/>
                <w:color w:val="auto"/>
              </w:rPr>
            </w:pPr>
            <w:r>
              <w:rPr>
                <w:rFonts w:ascii="Arial" w:cs="Arial" w:eastAsia="Arial" w:hAnsi="Arial"/>
                <w:sz w:val="16"/>
                <w:szCs w:val="16"/>
                <w:b w:val="1"/>
                <w:bCs w:val="1"/>
                <w:color w:val="auto"/>
              </w:rPr>
              <w:t>Delaware</w:t>
            </w:r>
          </w:p>
        </w:tc>
        <w:tc>
          <w:tcPr>
            <w:tcW w:w="2740" w:type="dxa"/>
            <w:vAlign w:val="bottom"/>
          </w:tcPr>
          <w:p>
            <w:pPr>
              <w:spacing w:after="0"/>
              <w:rPr>
                <w:sz w:val="21"/>
                <w:szCs w:val="21"/>
                <w:color w:val="auto"/>
              </w:rPr>
            </w:pPr>
          </w:p>
        </w:tc>
        <w:tc>
          <w:tcPr>
            <w:tcW w:w="3940" w:type="dxa"/>
            <w:vAlign w:val="bottom"/>
          </w:tcPr>
          <w:p>
            <w:pPr>
              <w:jc w:val="right"/>
              <w:ind w:right="1762"/>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195"/>
        </w:trPr>
        <w:tc>
          <w:tcPr>
            <w:tcW w:w="4480" w:type="dxa"/>
            <w:vAlign w:val="bottom"/>
          </w:tcPr>
          <w:p>
            <w:pPr>
              <w:jc w:val="center"/>
              <w:ind w:left="17"/>
              <w:spacing w:after="0"/>
              <w:rPr>
                <w:sz w:val="20"/>
                <w:szCs w:val="20"/>
                <w:color w:val="auto"/>
              </w:rPr>
            </w:pPr>
            <w:r>
              <w:rPr>
                <w:rFonts w:ascii="Arial" w:cs="Arial" w:eastAsia="Arial" w:hAnsi="Arial"/>
                <w:sz w:val="16"/>
                <w:szCs w:val="16"/>
                <w:color w:val="auto"/>
              </w:rPr>
              <w:t>(State or Other Jurisdiction of Incorporation or Organization)</w:t>
            </w:r>
          </w:p>
        </w:tc>
        <w:tc>
          <w:tcPr>
            <w:tcW w:w="2740" w:type="dxa"/>
            <w:vAlign w:val="bottom"/>
          </w:tcPr>
          <w:p>
            <w:pPr>
              <w:spacing w:after="0"/>
              <w:rPr>
                <w:sz w:val="16"/>
                <w:szCs w:val="16"/>
                <w:color w:val="auto"/>
              </w:rPr>
            </w:pPr>
          </w:p>
        </w:tc>
        <w:tc>
          <w:tcPr>
            <w:tcW w:w="3940" w:type="dxa"/>
            <w:vAlign w:val="bottom"/>
          </w:tcPr>
          <w:p>
            <w:pPr>
              <w:jc w:val="center"/>
              <w:ind w:right="522"/>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168"/>
        </w:trPr>
        <w:tc>
          <w:tcPr>
            <w:tcW w:w="4480" w:type="dxa"/>
            <w:vAlign w:val="bottom"/>
          </w:tcPr>
          <w:p>
            <w:pPr>
              <w:jc w:val="center"/>
              <w:ind w:left="37"/>
              <w:spacing w:after="0" w:line="168" w:lineRule="exact"/>
              <w:rPr>
                <w:sz w:val="20"/>
                <w:szCs w:val="20"/>
                <w:color w:val="auto"/>
              </w:rPr>
            </w:pPr>
            <w:r>
              <w:rPr>
                <w:rFonts w:ascii="Arial" w:cs="Arial" w:eastAsia="Arial" w:hAnsi="Arial"/>
                <w:sz w:val="16"/>
                <w:szCs w:val="16"/>
                <w:b w:val="1"/>
                <w:bCs w:val="1"/>
                <w:color w:val="auto"/>
              </w:rPr>
              <w:t>225 Bush Street, Seventeenth Floor</w:t>
            </w:r>
          </w:p>
        </w:tc>
        <w:tc>
          <w:tcPr>
            <w:tcW w:w="2740" w:type="dxa"/>
            <w:vAlign w:val="bottom"/>
          </w:tcPr>
          <w:p>
            <w:pPr>
              <w:spacing w:after="0"/>
              <w:rPr>
                <w:sz w:val="14"/>
                <w:szCs w:val="14"/>
                <w:color w:val="auto"/>
              </w:rPr>
            </w:pPr>
          </w:p>
        </w:tc>
        <w:tc>
          <w:tcPr>
            <w:tcW w:w="3940" w:type="dxa"/>
            <w:vAlign w:val="bottom"/>
            <w:vMerge w:val="restart"/>
          </w:tcPr>
          <w:p>
            <w:pPr>
              <w:jc w:val="right"/>
              <w:ind w:right="1962"/>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77"/>
        </w:trPr>
        <w:tc>
          <w:tcPr>
            <w:tcW w:w="4480" w:type="dxa"/>
            <w:vAlign w:val="bottom"/>
          </w:tcPr>
          <w:p>
            <w:pPr>
              <w:jc w:val="center"/>
              <w:ind w:left="37"/>
              <w:spacing w:after="0" w:line="178" w:lineRule="exact"/>
              <w:rPr>
                <w:sz w:val="20"/>
                <w:szCs w:val="20"/>
                <w:color w:val="auto"/>
              </w:rPr>
            </w:pPr>
            <w:r>
              <w:rPr>
                <w:rFonts w:ascii="Arial" w:cs="Arial" w:eastAsia="Arial" w:hAnsi="Arial"/>
                <w:sz w:val="16"/>
                <w:szCs w:val="16"/>
                <w:b w:val="1"/>
                <w:bCs w:val="1"/>
                <w:color w:val="auto"/>
              </w:rPr>
              <w:t>San Francisco, CA</w:t>
            </w:r>
          </w:p>
        </w:tc>
        <w:tc>
          <w:tcPr>
            <w:tcW w:w="274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tcPr>
          <w:p>
            <w:pPr>
              <w:jc w:val="center"/>
              <w:ind w:left="37"/>
              <w:spacing w:after="0"/>
              <w:rPr>
                <w:sz w:val="20"/>
                <w:szCs w:val="20"/>
                <w:color w:val="auto"/>
              </w:rPr>
            </w:pPr>
            <w:r>
              <w:rPr>
                <w:rFonts w:ascii="Arial" w:cs="Arial" w:eastAsia="Arial" w:hAnsi="Arial"/>
                <w:sz w:val="16"/>
                <w:szCs w:val="16"/>
                <w:color w:val="auto"/>
              </w:rPr>
              <w:t>(Address of Principal Executive Offices)</w:t>
            </w:r>
          </w:p>
        </w:tc>
        <w:tc>
          <w:tcPr>
            <w:tcW w:w="2740" w:type="dxa"/>
            <w:vAlign w:val="bottom"/>
          </w:tcPr>
          <w:p>
            <w:pPr>
              <w:spacing w:after="0"/>
              <w:rPr>
                <w:sz w:val="16"/>
                <w:szCs w:val="16"/>
                <w:color w:val="auto"/>
              </w:rPr>
            </w:pPr>
          </w:p>
        </w:tc>
        <w:tc>
          <w:tcPr>
            <w:tcW w:w="3940" w:type="dxa"/>
            <w:vAlign w:val="bottom"/>
          </w:tcPr>
          <w:p>
            <w:pPr>
              <w:jc w:val="center"/>
              <w:ind w:right="502"/>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2740" w:type="dxa"/>
            <w:vAlign w:val="bottom"/>
          </w:tcPr>
          <w:p>
            <w:pPr>
              <w:jc w:val="center"/>
              <w:ind w:right="443"/>
              <w:spacing w:after="0"/>
              <w:rPr>
                <w:sz w:val="20"/>
                <w:szCs w:val="20"/>
                <w:color w:val="auto"/>
              </w:rPr>
            </w:pPr>
            <w:r>
              <w:rPr>
                <w:rFonts w:ascii="Arial" w:cs="Arial" w:eastAsia="Arial" w:hAnsi="Arial"/>
                <w:sz w:val="16"/>
                <w:szCs w:val="16"/>
                <w:b w:val="1"/>
                <w:bCs w:val="1"/>
                <w:color w:val="auto"/>
              </w:rPr>
              <w:t>(866) 352-3267</w:t>
            </w:r>
          </w:p>
        </w:tc>
        <w:tc>
          <w:tcPr>
            <w:tcW w:w="3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1160" w:type="dxa"/>
            <w:vAlign w:val="bottom"/>
            <w:gridSpan w:val="3"/>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210"/>
        </w:trPr>
        <w:tc>
          <w:tcPr>
            <w:tcW w:w="11160" w:type="dxa"/>
            <w:vAlign w:val="bottom"/>
            <w:gridSpan w:val="3"/>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22"/>
        </w:trPr>
        <w:tc>
          <w:tcPr>
            <w:tcW w:w="44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bottom w:val="single" w:sz="8" w:color="auto"/>
            </w:tcBorders>
          </w:tcPr>
          <w:p>
            <w:pPr>
              <w:jc w:val="center"/>
              <w:ind w:right="423"/>
              <w:spacing w:after="0"/>
              <w:rPr>
                <w:sz w:val="20"/>
                <w:szCs w:val="20"/>
                <w:color w:val="auto"/>
              </w:rPr>
            </w:pPr>
            <w:r>
              <w:rPr>
                <w:rFonts w:ascii="Arial" w:cs="Arial" w:eastAsia="Arial" w:hAnsi="Arial"/>
                <w:sz w:val="14"/>
                <w:szCs w:val="14"/>
                <w:b w:val="1"/>
                <w:bCs w:val="1"/>
                <w:color w:val="auto"/>
              </w:rPr>
              <w:t>Trading Symbol</w:t>
            </w:r>
          </w:p>
        </w:tc>
        <w:tc>
          <w:tcPr>
            <w:tcW w:w="3940" w:type="dxa"/>
            <w:vAlign w:val="bottom"/>
            <w:tcBorders>
              <w:bottom w:val="single" w:sz="8" w:color="auto"/>
            </w:tcBorders>
          </w:tcPr>
          <w:p>
            <w:pPr>
              <w:jc w:val="center"/>
              <w:ind w:right="502"/>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4480" w:type="dxa"/>
            <w:vAlign w:val="bottom"/>
          </w:tcPr>
          <w:p>
            <w:pPr>
              <w:jc w:val="center"/>
              <w:ind w:left="37"/>
              <w:spacing w:after="0"/>
              <w:rPr>
                <w:sz w:val="20"/>
                <w:szCs w:val="20"/>
                <w:color w:val="auto"/>
              </w:rPr>
            </w:pPr>
            <w:r>
              <w:rPr>
                <w:rFonts w:ascii="Arial" w:cs="Arial" w:eastAsia="Arial" w:hAnsi="Arial"/>
                <w:sz w:val="14"/>
                <w:szCs w:val="14"/>
                <w:color w:val="auto"/>
              </w:rPr>
              <w:t>Common Stock, $.10 Par Value</w:t>
            </w:r>
          </w:p>
        </w:tc>
        <w:tc>
          <w:tcPr>
            <w:tcW w:w="2740" w:type="dxa"/>
            <w:vAlign w:val="bottom"/>
          </w:tcPr>
          <w:p>
            <w:pPr>
              <w:jc w:val="center"/>
              <w:ind w:right="403"/>
              <w:spacing w:after="0"/>
              <w:rPr>
                <w:sz w:val="20"/>
                <w:szCs w:val="20"/>
                <w:color w:val="auto"/>
              </w:rPr>
            </w:pPr>
            <w:r>
              <w:rPr>
                <w:rFonts w:ascii="Arial" w:cs="Arial" w:eastAsia="Arial" w:hAnsi="Arial"/>
                <w:sz w:val="14"/>
                <w:szCs w:val="14"/>
                <w:color w:val="auto"/>
              </w:rPr>
              <w:t>RAMP</w:t>
            </w:r>
          </w:p>
        </w:tc>
        <w:tc>
          <w:tcPr>
            <w:tcW w:w="3940" w:type="dxa"/>
            <w:vAlign w:val="bottom"/>
          </w:tcPr>
          <w:p>
            <w:pPr>
              <w:jc w:val="center"/>
              <w:ind w:right="522"/>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98" w:lineRule="exact"/>
        <w:rPr>
          <w:sz w:val="24"/>
          <w:szCs w:val="24"/>
          <w:color w:val="auto"/>
        </w:rPr>
      </w:pPr>
    </w:p>
    <w:p>
      <w:pPr>
        <w:ind w:firstLine="486"/>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4" w:lineRule="exact"/>
        <w:rPr>
          <w:sz w:val="24"/>
          <w:szCs w:val="24"/>
          <w:color w:val="auto"/>
        </w:rPr>
      </w:pPr>
    </w:p>
    <w:p>
      <w:pPr>
        <w:ind w:left="4880"/>
        <w:spacing w:after="0"/>
        <w:tabs>
          <w:tab w:leader="none" w:pos="610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194" w:lineRule="exact"/>
        <w:rPr>
          <w:sz w:val="24"/>
          <w:szCs w:val="24"/>
          <w:color w:val="auto"/>
        </w:rPr>
      </w:pPr>
    </w:p>
    <w:p>
      <w:pPr>
        <w:ind w:right="240" w:firstLine="486"/>
        <w:spacing w:after="0" w:line="246"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4880"/>
        <w:spacing w:after="0"/>
        <w:tabs>
          <w:tab w:leader="none" w:pos="610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6"/>
          <w:szCs w:val="16"/>
          <w:color w:val="auto"/>
        </w:rPr>
        <w:t>No [ ]</w:t>
      </w:r>
    </w:p>
    <w:p>
      <w:pPr>
        <w:spacing w:after="0" w:line="19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company. See the definitions of “large accelerated filer,” “accelerated filer,” “smaller reporting company” and "emerging growth company" in Rule 12b-2 of the</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Exchange Act.</w:t>
      </w:r>
    </w:p>
    <w:p>
      <w:pPr>
        <w:spacing w:after="0" w:line="46" w:lineRule="exact"/>
        <w:rPr>
          <w:sz w:val="24"/>
          <w:szCs w:val="24"/>
          <w:color w:val="auto"/>
        </w:rPr>
      </w:pPr>
    </w:p>
    <w:tbl>
      <w:tblPr>
        <w:tblLayout w:type="fixed"/>
        <w:tblInd w:w="1220" w:type="dxa"/>
        <w:tblCellMar>
          <w:top w:w="0" w:type="dxa"/>
          <w:left w:w="0" w:type="dxa"/>
          <w:bottom w:w="0" w:type="dxa"/>
          <w:right w:w="0" w:type="dxa"/>
        </w:tblCellMar>
      </w:tblPr>
      <w:tr>
        <w:trPr>
          <w:trHeight w:val="195"/>
        </w:trPr>
        <w:tc>
          <w:tcPr>
            <w:tcW w:w="4760" w:type="dxa"/>
            <w:vAlign w:val="bottom"/>
          </w:tcPr>
          <w:p>
            <w:pPr>
              <w:jc w:val="center"/>
              <w:ind w:right="1399"/>
              <w:spacing w:after="0"/>
              <w:rPr>
                <w:sz w:val="20"/>
                <w:szCs w:val="20"/>
                <w:color w:val="auto"/>
              </w:rPr>
            </w:pPr>
            <w:r>
              <w:rPr>
                <w:rFonts w:ascii="Arial" w:cs="Arial" w:eastAsia="Arial" w:hAnsi="Arial"/>
                <w:sz w:val="16"/>
                <w:szCs w:val="16"/>
                <w:color w:val="auto"/>
              </w:rPr>
              <w:t>Large accelerated filer [X]</w:t>
            </w:r>
          </w:p>
        </w:tc>
        <w:tc>
          <w:tcPr>
            <w:tcW w:w="3620" w:type="dxa"/>
            <w:vAlign w:val="bottom"/>
          </w:tcPr>
          <w:p>
            <w:pPr>
              <w:jc w:val="center"/>
              <w:ind w:left="1419"/>
              <w:spacing w:after="0"/>
              <w:rPr>
                <w:sz w:val="20"/>
                <w:szCs w:val="20"/>
                <w:color w:val="auto"/>
              </w:rPr>
            </w:pPr>
            <w:r>
              <w:rPr>
                <w:rFonts w:ascii="Arial" w:cs="Arial" w:eastAsia="Arial" w:hAnsi="Arial"/>
                <w:sz w:val="16"/>
                <w:szCs w:val="16"/>
                <w:color w:val="auto"/>
              </w:rPr>
              <w:t>Accelerated filer  [ ]</w:t>
            </w:r>
          </w:p>
        </w:tc>
      </w:tr>
      <w:tr>
        <w:trPr>
          <w:trHeight w:val="342"/>
        </w:trPr>
        <w:tc>
          <w:tcPr>
            <w:tcW w:w="4760" w:type="dxa"/>
            <w:vAlign w:val="bottom"/>
          </w:tcPr>
          <w:p>
            <w:pPr>
              <w:jc w:val="center"/>
              <w:ind w:right="1399"/>
              <w:spacing w:after="0"/>
              <w:rPr>
                <w:sz w:val="20"/>
                <w:szCs w:val="20"/>
                <w:color w:val="auto"/>
              </w:rPr>
            </w:pPr>
            <w:r>
              <w:rPr>
                <w:rFonts w:ascii="Arial" w:cs="Arial" w:eastAsia="Arial" w:hAnsi="Arial"/>
                <w:sz w:val="16"/>
                <w:szCs w:val="16"/>
                <w:color w:val="auto"/>
              </w:rPr>
              <w:t>Non-accelerated filer [ ]</w:t>
            </w:r>
          </w:p>
        </w:tc>
        <w:tc>
          <w:tcPr>
            <w:tcW w:w="3620" w:type="dxa"/>
            <w:vAlign w:val="bottom"/>
          </w:tcPr>
          <w:p>
            <w:pPr>
              <w:jc w:val="center"/>
              <w:ind w:left="141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324"/>
        </w:trPr>
        <w:tc>
          <w:tcPr>
            <w:tcW w:w="4760" w:type="dxa"/>
            <w:vAlign w:val="bottom"/>
          </w:tcPr>
          <w:p>
            <w:pPr>
              <w:jc w:val="center"/>
              <w:ind w:right="1399"/>
              <w:spacing w:after="0"/>
              <w:rPr>
                <w:sz w:val="20"/>
                <w:szCs w:val="20"/>
                <w:color w:val="auto"/>
              </w:rPr>
            </w:pPr>
            <w:r>
              <w:rPr>
                <w:rFonts w:ascii="Arial" w:cs="Arial" w:eastAsia="Arial" w:hAnsi="Arial"/>
                <w:sz w:val="16"/>
                <w:szCs w:val="16"/>
                <w:color w:val="auto"/>
              </w:rPr>
              <w:t>(Do not check if a smaller reporting company)</w:t>
            </w:r>
          </w:p>
        </w:tc>
        <w:tc>
          <w:tcPr>
            <w:tcW w:w="3620" w:type="dxa"/>
            <w:vAlign w:val="bottom"/>
          </w:tcPr>
          <w:p>
            <w:pPr>
              <w:jc w:val="center"/>
              <w:ind w:left="1419"/>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r>
    </w:tbl>
    <w:p>
      <w:pPr>
        <w:spacing w:after="0" w:line="314"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2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52" w:lineRule="exact"/>
        <w:rPr>
          <w:sz w:val="24"/>
          <w:szCs w:val="24"/>
          <w:color w:val="auto"/>
        </w:rPr>
      </w:pPr>
    </w:p>
    <w:p>
      <w:pPr>
        <w:ind w:left="4880"/>
        <w:spacing w:after="0" w:line="184" w:lineRule="exact"/>
        <w:tabs>
          <w:tab w:leader="none" w:pos="60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August 1, 2019 was 67,640,066.</w:t>
      </w:r>
    </w:p>
    <w:p>
      <w:pPr>
        <w:sectPr>
          <w:pgSz w:w="11900" w:h="16838" w:orient="portrait"/>
          <w:cols w:equalWidth="0" w:num="1">
            <w:col w:w="11320"/>
          </w:cols>
          <w:pgMar w:left="240" w:top="128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320"/>
          </w:cols>
          <w:pgMar w:left="240" w:top="128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gridSpan w:val="12"/>
          </w:tcPr>
          <w:p>
            <w:pPr>
              <w:jc w:val="center"/>
              <w:ind w:right="2000"/>
              <w:spacing w:after="0"/>
              <w:rPr>
                <w:sz w:val="20"/>
                <w:szCs w:val="20"/>
                <w:color w:val="auto"/>
              </w:rPr>
            </w:pPr>
            <w:r>
              <w:rPr>
                <w:rFonts w:ascii="Arial" w:cs="Arial" w:eastAsia="Arial" w:hAnsi="Arial"/>
                <w:sz w:val="18"/>
                <w:szCs w:val="18"/>
                <w:color w:val="auto"/>
                <w:w w:val="99"/>
              </w:rPr>
              <w:t>LIVERAMP HOLDINGS, INC. AND SUBSIDIARIES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80" w:type="dxa"/>
            <w:vAlign w:val="bottom"/>
            <w:gridSpan w:val="11"/>
          </w:tcPr>
          <w:p>
            <w:pPr>
              <w:jc w:val="center"/>
              <w:ind w:right="2620"/>
              <w:spacing w:after="0"/>
              <w:rPr>
                <w:sz w:val="20"/>
                <w:szCs w:val="20"/>
                <w:color w:val="auto"/>
              </w:rPr>
            </w:pPr>
            <w:r>
              <w:rPr>
                <w:rFonts w:ascii="Arial" w:cs="Arial" w:eastAsia="Arial" w:hAnsi="Arial"/>
                <w:sz w:val="18"/>
                <w:szCs w:val="18"/>
                <w:color w:val="auto"/>
                <w:w w:val="99"/>
              </w:rPr>
              <w:t>TABLE OF CONTENTS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80" w:type="dxa"/>
            <w:vAlign w:val="bottom"/>
            <w:gridSpan w:val="11"/>
          </w:tcPr>
          <w:p>
            <w:pPr>
              <w:jc w:val="center"/>
              <w:ind w:right="2620"/>
              <w:spacing w:after="0"/>
              <w:rPr>
                <w:sz w:val="20"/>
                <w:szCs w:val="20"/>
                <w:color w:val="auto"/>
              </w:rPr>
            </w:pPr>
            <w:r>
              <w:rPr>
                <w:rFonts w:ascii="Arial" w:cs="Arial" w:eastAsia="Arial" w:hAnsi="Arial"/>
                <w:sz w:val="18"/>
                <w:szCs w:val="18"/>
                <w:color w:val="auto"/>
                <w:w w:val="99"/>
              </w:rPr>
              <w:t>REPORT ON FORM 10-Q</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80" w:type="dxa"/>
            <w:vAlign w:val="bottom"/>
            <w:gridSpan w:val="11"/>
          </w:tcPr>
          <w:p>
            <w:pPr>
              <w:jc w:val="center"/>
              <w:ind w:right="2620"/>
              <w:spacing w:after="0"/>
              <w:rPr>
                <w:sz w:val="20"/>
                <w:szCs w:val="20"/>
                <w:color w:val="auto"/>
              </w:rPr>
            </w:pPr>
            <w:r>
              <w:rPr>
                <w:rFonts w:ascii="Arial" w:cs="Arial" w:eastAsia="Arial" w:hAnsi="Arial"/>
                <w:sz w:val="18"/>
                <w:szCs w:val="18"/>
                <w:color w:val="auto"/>
                <w:w w:val="99"/>
              </w:rPr>
              <w:t>June 30, 2019</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300" w:type="dxa"/>
            <w:vAlign w:val="bottom"/>
            <w:tcBorders>
              <w:bottom w:val="single" w:sz="8" w:color="auto"/>
            </w:tcBorders>
            <w:gridSpan w:val="6"/>
          </w:tcPr>
          <w:p>
            <w:pPr>
              <w:spacing w:after="0"/>
              <w:rPr>
                <w:rFonts w:ascii="Arial" w:cs="Arial" w:eastAsia="Arial" w:hAnsi="Arial"/>
                <w:sz w:val="18"/>
                <w:szCs w:val="18"/>
                <w:color w:val="auto"/>
              </w:rPr>
            </w:pPr>
            <w:hyperlink w:anchor="page2">
              <w:r>
                <w:rPr>
                  <w:rFonts w:ascii="Arial" w:cs="Arial" w:eastAsia="Arial" w:hAnsi="Arial"/>
                  <w:sz w:val="18"/>
                  <w:szCs w:val="18"/>
                  <w:color w:val="auto"/>
                </w:rPr>
                <w:t>Part I. Financial Information</w:t>
              </w:r>
            </w:hyperlink>
          </w:p>
        </w:tc>
        <w:tc>
          <w:tcPr>
            <w:tcW w:w="7640" w:type="dxa"/>
            <w:vAlign w:val="bottom"/>
            <w:gridSpan w:val="19"/>
          </w:tcPr>
          <w:p>
            <w:pPr>
              <w:spacing w:after="0"/>
              <w:rPr>
                <w:sz w:val="24"/>
                <w:szCs w:val="24"/>
                <w:color w:val="auto"/>
              </w:rPr>
            </w:pPr>
          </w:p>
        </w:tc>
        <w:tc>
          <w:tcPr>
            <w:tcW w:w="1260" w:type="dxa"/>
            <w:vAlign w:val="bottom"/>
            <w:gridSpan w:val="3"/>
          </w:tcPr>
          <w:p>
            <w:pPr>
              <w:ind w:left="520"/>
              <w:spacing w:after="0"/>
              <w:rPr>
                <w:sz w:val="20"/>
                <w:szCs w:val="20"/>
                <w:color w:val="auto"/>
              </w:rPr>
            </w:pPr>
            <w:r>
              <w:rPr>
                <w:rFonts w:ascii="Arial" w:cs="Arial" w:eastAsia="Arial" w:hAnsi="Arial"/>
                <w:sz w:val="18"/>
                <w:szCs w:val="18"/>
                <w:color w:val="auto"/>
                <w:w w:val="95"/>
              </w:rPr>
              <w:t>Page No.</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3">
              <w:r>
                <w:rPr>
                  <w:rFonts w:ascii="Arial" w:cs="Arial" w:eastAsia="Arial" w:hAnsi="Arial"/>
                  <w:sz w:val="18"/>
                  <w:szCs w:val="18"/>
                  <w:color w:val="auto"/>
                  <w:w w:val="98"/>
                </w:rPr>
                <w:t>Item 1.</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as of June 30, 2019 (Unaudited)</w:t>
              </w:r>
            </w:hyperlink>
          </w:p>
        </w:tc>
        <w:tc>
          <w:tcPr>
            <w:tcW w:w="940" w:type="dxa"/>
            <w:vAlign w:val="bottom"/>
            <w:gridSpan w:val="2"/>
            <w:vMerge w:val="restart"/>
          </w:tcPr>
          <w:p>
            <w:pPr>
              <w:jc w:val="center"/>
              <w:ind w:left="75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and March 31, 2019</w:t>
              </w:r>
            </w:hyperlink>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00" w:type="dxa"/>
            <w:vAlign w:val="bottom"/>
            <w:tcBorders>
              <w:top w:val="single" w:sz="8" w:color="0000FF"/>
            </w:tcBorders>
            <w:gridSpan w:val="11"/>
          </w:tcPr>
          <w:p>
            <w:pPr>
              <w:spacing w:after="0" w:line="157"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 xml:space="preserve">for the three months ended June </w:t>
              </w:r>
            </w:hyperlink>
            <w:r>
              <w:rPr>
                <w:rFonts w:ascii="Arial" w:cs="Arial" w:eastAsia="Arial" w:hAnsi="Arial"/>
                <w:sz w:val="18"/>
                <w:szCs w:val="18"/>
                <w:color w:val="0000FF"/>
                <w:w w:val="98"/>
              </w:rPr>
              <w:t xml:space="preserve">30, </w:t>
            </w:r>
            <w:hyperlink w:anchor="page3">
              <w:r>
                <w:rPr>
                  <w:rFonts w:ascii="Arial" w:cs="Arial" w:eastAsia="Arial" w:hAnsi="Arial"/>
                  <w:sz w:val="18"/>
                  <w:szCs w:val="18"/>
                  <w:color w:val="0000FF"/>
                  <w:w w:val="98"/>
                </w:rPr>
                <w:t>2019 and 2018</w:t>
              </w:r>
            </w:hyperlink>
          </w:p>
        </w:tc>
        <w:tc>
          <w:tcPr>
            <w:tcW w:w="60" w:type="dxa"/>
            <w:vAlign w:val="bottom"/>
          </w:tcPr>
          <w:p>
            <w:pPr>
              <w:spacing w:after="0"/>
              <w:rPr>
                <w:sz w:val="13"/>
                <w:szCs w:val="13"/>
                <w:color w:val="auto"/>
              </w:rPr>
            </w:pPr>
          </w:p>
        </w:tc>
        <w:tc>
          <w:tcPr>
            <w:tcW w:w="4260" w:type="dxa"/>
            <w:vAlign w:val="bottom"/>
            <w:gridSpan w:val="9"/>
          </w:tcPr>
          <w:p>
            <w:pPr>
              <w:ind w:left="20"/>
              <w:spacing w:after="0" w:line="157" w:lineRule="exact"/>
              <w:rPr>
                <w:rFonts w:ascii="Arial" w:cs="Arial" w:eastAsia="Arial" w:hAnsi="Arial"/>
                <w:sz w:val="18"/>
                <w:szCs w:val="18"/>
                <w:color w:val="0000FF"/>
              </w:rPr>
            </w:pPr>
            <w:hyperlink w:anchor="page3">
              <w:r>
                <w:rPr>
                  <w:rFonts w:ascii="Arial" w:cs="Arial" w:eastAsia="Arial" w:hAnsi="Arial"/>
                  <w:sz w:val="18"/>
                  <w:szCs w:val="18"/>
                  <w:color w:val="0000FF"/>
                </w:rPr>
                <w:t>(Unaudited)</w:t>
              </w:r>
            </w:hyperlink>
          </w:p>
        </w:tc>
        <w:tc>
          <w:tcPr>
            <w:tcW w:w="940" w:type="dxa"/>
            <w:vAlign w:val="bottom"/>
            <w:gridSpan w:val="2"/>
          </w:tcPr>
          <w:p>
            <w:pPr>
              <w:jc w:val="center"/>
              <w:ind w:left="750"/>
              <w:spacing w:after="0" w:line="157"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2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w:t>
              </w:r>
            </w:hyperlink>
          </w:p>
        </w:tc>
        <w:tc>
          <w:tcPr>
            <w:tcW w:w="3300" w:type="dxa"/>
            <w:vAlign w:val="bottom"/>
            <w:gridSpan w:val="4"/>
          </w:tcPr>
          <w:p>
            <w:pPr>
              <w:spacing w:after="0"/>
              <w:rPr>
                <w:sz w:val="18"/>
                <w:szCs w:val="18"/>
                <w:color w:val="auto"/>
              </w:rPr>
            </w:pPr>
          </w:p>
        </w:tc>
        <w:tc>
          <w:tcPr>
            <w:tcW w:w="940" w:type="dxa"/>
            <w:vAlign w:val="bottom"/>
            <w:gridSpan w:val="2"/>
            <w:vMerge w:val="restart"/>
          </w:tcPr>
          <w:p>
            <w:pPr>
              <w:jc w:val="center"/>
              <w:ind w:left="75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90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for the three months ended June 30, 2019 and 2018 (Unaudited)</w:t>
              </w:r>
            </w:hyperlink>
          </w:p>
        </w:tc>
        <w:tc>
          <w:tcPr>
            <w:tcW w:w="220" w:type="dxa"/>
            <w:vAlign w:val="bottom"/>
          </w:tcPr>
          <w:p>
            <w:pPr>
              <w:spacing w:after="0"/>
              <w:rPr>
                <w:sz w:val="13"/>
                <w:szCs w:val="13"/>
                <w:color w:val="auto"/>
              </w:rPr>
            </w:pPr>
          </w:p>
        </w:tc>
        <w:tc>
          <w:tcPr>
            <w:tcW w:w="19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Equity for the three months ended June 30, 2019 and 2018</w:t>
              </w:r>
            </w:hyperlink>
          </w:p>
        </w:tc>
        <w:tc>
          <w:tcPr>
            <w:tcW w:w="940" w:type="dxa"/>
            <w:vAlign w:val="bottom"/>
            <w:gridSpan w:val="2"/>
            <w:vMerge w:val="restart"/>
          </w:tcPr>
          <w:p>
            <w:pPr>
              <w:jc w:val="center"/>
              <w:ind w:left="75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9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(Unaudited)</w:t>
              </w:r>
            </w:hyperlink>
          </w:p>
        </w:tc>
        <w:tc>
          <w:tcPr>
            <w:tcW w:w="5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160" w:type="dxa"/>
            <w:vAlign w:val="bottom"/>
            <w:tcBorders>
              <w:top w:val="single" w:sz="8" w:color="0000FF"/>
            </w:tcBorders>
            <w:gridSpan w:val="12"/>
          </w:tcPr>
          <w:p>
            <w:pPr>
              <w:spacing w:after="0" w:line="157"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for the three months ended June 30, 2019 and 2018</w:t>
              </w:r>
            </w:hyperlink>
          </w:p>
        </w:tc>
        <w:tc>
          <w:tcPr>
            <w:tcW w:w="4260" w:type="dxa"/>
            <w:vAlign w:val="bottom"/>
            <w:gridSpan w:val="9"/>
          </w:tcPr>
          <w:p>
            <w:pPr>
              <w:ind w:left="20"/>
              <w:spacing w:after="0" w:line="157" w:lineRule="exact"/>
              <w:rPr>
                <w:rFonts w:ascii="Arial" w:cs="Arial" w:eastAsia="Arial" w:hAnsi="Arial"/>
                <w:sz w:val="18"/>
                <w:szCs w:val="18"/>
                <w:color w:val="0000FF"/>
              </w:rPr>
            </w:pPr>
            <w:hyperlink w:anchor="page6">
              <w:r>
                <w:rPr>
                  <w:rFonts w:ascii="Arial" w:cs="Arial" w:eastAsia="Arial" w:hAnsi="Arial"/>
                  <w:sz w:val="18"/>
                  <w:szCs w:val="18"/>
                  <w:color w:val="0000FF"/>
                </w:rPr>
                <w:t>(Unaudited)</w:t>
              </w:r>
            </w:hyperlink>
          </w:p>
        </w:tc>
        <w:tc>
          <w:tcPr>
            <w:tcW w:w="940" w:type="dxa"/>
            <w:vAlign w:val="bottom"/>
            <w:gridSpan w:val="2"/>
          </w:tcPr>
          <w:p>
            <w:pPr>
              <w:jc w:val="center"/>
              <w:ind w:left="750"/>
              <w:spacing w:after="0" w:line="157"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60" w:type="dxa"/>
            <w:vAlign w:val="bottom"/>
            <w:gridSpan w:val="13"/>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w:t>
              </w:r>
            </w:hyperlink>
          </w:p>
        </w:tc>
        <w:tc>
          <w:tcPr>
            <w:tcW w:w="660" w:type="dxa"/>
            <w:vAlign w:val="bottom"/>
            <w:gridSpan w:val="4"/>
          </w:tcPr>
          <w:p>
            <w:pPr>
              <w:spacing w:after="0"/>
              <w:rPr>
                <w:sz w:val="18"/>
                <w:szCs w:val="18"/>
                <w:color w:val="auto"/>
              </w:rPr>
            </w:pPr>
          </w:p>
        </w:tc>
        <w:tc>
          <w:tcPr>
            <w:tcW w:w="3300" w:type="dxa"/>
            <w:vAlign w:val="bottom"/>
            <w:gridSpan w:val="4"/>
          </w:tcPr>
          <w:p>
            <w:pPr>
              <w:spacing w:after="0"/>
              <w:rPr>
                <w:sz w:val="18"/>
                <w:szCs w:val="18"/>
                <w:color w:val="auto"/>
              </w:rPr>
            </w:pPr>
          </w:p>
        </w:tc>
        <w:tc>
          <w:tcPr>
            <w:tcW w:w="940" w:type="dxa"/>
            <w:vAlign w:val="bottom"/>
            <w:gridSpan w:val="2"/>
          </w:tcPr>
          <w:p>
            <w:pPr>
              <w:jc w:val="center"/>
              <w:ind w:left="75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9</w:t>
              </w:r>
            </w:hyperlink>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23">
              <w:r>
                <w:rPr>
                  <w:rFonts w:ascii="Arial" w:cs="Arial" w:eastAsia="Arial" w:hAnsi="Arial"/>
                  <w:sz w:val="18"/>
                  <w:szCs w:val="18"/>
                  <w:color w:val="auto"/>
                  <w:w w:val="98"/>
                </w:rPr>
                <w:t>Item 2.</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24</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38">
              <w:r>
                <w:rPr>
                  <w:rFonts w:ascii="Arial" w:cs="Arial" w:eastAsia="Arial" w:hAnsi="Arial"/>
                  <w:sz w:val="18"/>
                  <w:szCs w:val="18"/>
                  <w:color w:val="auto"/>
                  <w:w w:val="98"/>
                </w:rPr>
                <w:t>Item 3.</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37">
              <w:r>
                <w:rPr>
                  <w:rFonts w:ascii="Arial" w:cs="Arial" w:eastAsia="Arial" w:hAnsi="Arial"/>
                  <w:sz w:val="18"/>
                  <w:szCs w:val="18"/>
                  <w:color w:val="0000FF"/>
                  <w:w w:val="99"/>
                </w:rPr>
                <w:t>38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38">
              <w:r>
                <w:rPr>
                  <w:rFonts w:ascii="Arial" w:cs="Arial" w:eastAsia="Arial" w:hAnsi="Arial"/>
                  <w:sz w:val="18"/>
                  <w:szCs w:val="18"/>
                  <w:color w:val="auto"/>
                  <w:w w:val="98"/>
                </w:rPr>
                <w:t>Item 4.</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38">
              <w:r>
                <w:rPr>
                  <w:rFonts w:ascii="Arial" w:cs="Arial" w:eastAsia="Arial" w:hAnsi="Arial"/>
                  <w:sz w:val="18"/>
                  <w:szCs w:val="18"/>
                  <w:color w:val="0000FF"/>
                  <w:w w:val="99"/>
                </w:rPr>
                <w:t>38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40" w:type="dxa"/>
            <w:vAlign w:val="bottom"/>
            <w:tcBorders>
              <w:bottom w:val="single" w:sz="8" w:color="auto"/>
            </w:tcBorders>
            <w:gridSpan w:val="5"/>
          </w:tcPr>
          <w:p>
            <w:pPr>
              <w:spacing w:after="0"/>
              <w:rPr>
                <w:rFonts w:ascii="Arial" w:cs="Arial" w:eastAsia="Arial" w:hAnsi="Arial"/>
                <w:sz w:val="18"/>
                <w:szCs w:val="18"/>
                <w:color w:val="auto"/>
              </w:rPr>
            </w:pPr>
            <w:hyperlink w:anchor="page38">
              <w:r>
                <w:rPr>
                  <w:rFonts w:ascii="Arial" w:cs="Arial" w:eastAsia="Arial" w:hAnsi="Arial"/>
                  <w:sz w:val="18"/>
                  <w:szCs w:val="18"/>
                  <w:color w:val="auto"/>
                </w:rPr>
                <w:t>Part II. Other Information</w:t>
              </w:r>
            </w:hyperlink>
          </w:p>
        </w:tc>
        <w:tc>
          <w:tcPr>
            <w:tcW w:w="7800" w:type="dxa"/>
            <w:vAlign w:val="bottom"/>
            <w:gridSpan w:val="20"/>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39">
              <w:r>
                <w:rPr>
                  <w:rFonts w:ascii="Arial" w:cs="Arial" w:eastAsia="Arial" w:hAnsi="Arial"/>
                  <w:sz w:val="18"/>
                  <w:szCs w:val="18"/>
                  <w:color w:val="auto"/>
                  <w:w w:val="98"/>
                </w:rPr>
                <w:t>Item 1.</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39</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72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Item 1A.</w:t>
              </w:r>
            </w:hyperlink>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39</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39">
              <w:r>
                <w:rPr>
                  <w:rFonts w:ascii="Arial" w:cs="Arial" w:eastAsia="Arial" w:hAnsi="Arial"/>
                  <w:sz w:val="18"/>
                  <w:szCs w:val="18"/>
                  <w:color w:val="auto"/>
                  <w:w w:val="98"/>
                </w:rPr>
                <w:t>Item 2.</w:t>
              </w:r>
            </w:hyperlink>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39">
              <w:r>
                <w:rPr>
                  <w:rFonts w:ascii="Arial" w:cs="Arial" w:eastAsia="Arial" w:hAnsi="Arial"/>
                  <w:sz w:val="18"/>
                  <w:szCs w:val="18"/>
                  <w:color w:val="0000FF"/>
                  <w:w w:val="99"/>
                </w:rPr>
                <w:t>40</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40">
              <w:r>
                <w:rPr>
                  <w:rFonts w:ascii="Arial" w:cs="Arial" w:eastAsia="Arial" w:hAnsi="Arial"/>
                  <w:sz w:val="18"/>
                  <w:szCs w:val="18"/>
                  <w:color w:val="auto"/>
                  <w:w w:val="98"/>
                </w:rPr>
                <w:t>Item 3.</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40</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880" w:type="dxa"/>
            <w:vAlign w:val="bottom"/>
            <w:gridSpan w:val="11"/>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40">
              <w:r>
                <w:rPr>
                  <w:rFonts w:ascii="Arial" w:cs="Arial" w:eastAsia="Arial" w:hAnsi="Arial"/>
                  <w:sz w:val="18"/>
                  <w:szCs w:val="18"/>
                  <w:color w:val="auto"/>
                  <w:w w:val="98"/>
                </w:rPr>
                <w:t>Item 4.</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40</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500" w:type="dxa"/>
            <w:vAlign w:val="bottom"/>
            <w:gridSpan w:val="1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40">
              <w:r>
                <w:rPr>
                  <w:rFonts w:ascii="Arial" w:cs="Arial" w:eastAsia="Arial" w:hAnsi="Arial"/>
                  <w:sz w:val="18"/>
                  <w:szCs w:val="18"/>
                  <w:color w:val="auto"/>
                  <w:w w:val="98"/>
                </w:rPr>
                <w:t>Item 5.</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40</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040" w:type="dxa"/>
            <w:vAlign w:val="bottom"/>
            <w:gridSpan w:val="1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60" w:type="dxa"/>
            <w:vAlign w:val="bottom"/>
          </w:tcPr>
          <w:p>
            <w:pPr>
              <w:jc w:val="right"/>
              <w:spacing w:after="0"/>
              <w:rPr>
                <w:rFonts w:ascii="Arial" w:cs="Arial" w:eastAsia="Arial" w:hAnsi="Arial"/>
                <w:sz w:val="18"/>
                <w:szCs w:val="18"/>
                <w:color w:val="auto"/>
                <w:w w:val="98"/>
              </w:rPr>
            </w:pPr>
            <w:hyperlink w:anchor="page40">
              <w:r>
                <w:rPr>
                  <w:rFonts w:ascii="Arial" w:cs="Arial" w:eastAsia="Arial" w:hAnsi="Arial"/>
                  <w:sz w:val="18"/>
                  <w:szCs w:val="18"/>
                  <w:color w:val="auto"/>
                  <w:w w:val="98"/>
                </w:rPr>
                <w:t>Item 6.</w:t>
              </w:r>
            </w:hyperlink>
          </w:p>
        </w:tc>
        <w:tc>
          <w:tcPr>
            <w:tcW w:w="740" w:type="dxa"/>
            <w:vAlign w:val="bottom"/>
            <w:gridSpan w:val="2"/>
          </w:tcPr>
          <w:p>
            <w:pPr>
              <w:spacing w:after="0"/>
              <w:rPr>
                <w:sz w:val="18"/>
                <w:szCs w:val="18"/>
                <w:color w:val="auto"/>
              </w:rPr>
            </w:pPr>
          </w:p>
        </w:tc>
        <w:tc>
          <w:tcPr>
            <w:tcW w:w="842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1260" w:type="dxa"/>
            <w:vAlign w:val="bottom"/>
            <w:gridSpan w:val="3"/>
          </w:tcPr>
          <w:p>
            <w:pPr>
              <w:jc w:val="center"/>
              <w:ind w:left="410"/>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41</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40" w:type="dxa"/>
            <w:vAlign w:val="bottom"/>
            <w:tcBorders>
              <w:left w:val="single" w:sz="8" w:color="auto"/>
            </w:tcBorders>
            <w:gridSpan w:val="2"/>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80" w:type="dxa"/>
            <w:vAlign w:val="bottom"/>
            <w:gridSpan w:val="2"/>
          </w:tcPr>
          <w:p>
            <w:pPr>
              <w:jc w:val="right"/>
              <w:spacing w:after="0"/>
              <w:rPr>
                <w:rFonts w:ascii="Arial" w:cs="Arial" w:eastAsia="Arial" w:hAnsi="Arial"/>
                <w:sz w:val="18"/>
                <w:szCs w:val="18"/>
                <w:color w:val="0000FF"/>
                <w:w w:val="98"/>
              </w:rPr>
            </w:pPr>
            <w:hyperlink w:anchor="page41">
              <w:r>
                <w:rPr>
                  <w:rFonts w:ascii="Arial" w:cs="Arial" w:eastAsia="Arial" w:hAnsi="Arial"/>
                  <w:sz w:val="18"/>
                  <w:szCs w:val="18"/>
                  <w:color w:val="0000FF"/>
                  <w:w w:val="98"/>
                </w:rPr>
                <w:t>Signature</w:t>
              </w:r>
            </w:hyperlink>
          </w:p>
        </w:tc>
        <w:tc>
          <w:tcPr>
            <w:tcW w:w="7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gridSpan w:val="2"/>
          </w:tcPr>
          <w:p>
            <w:pPr>
              <w:jc w:val="center"/>
              <w:ind w:right="280"/>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42</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260" w:top="94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March 31, 2019</w:t>
            </w:r>
          </w:p>
        </w:tc>
      </w:tr>
      <w:tr>
        <w:trPr>
          <w:trHeight w:val="176"/>
        </w:trPr>
        <w:tc>
          <w:tcPr>
            <w:tcW w:w="3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80" w:type="dxa"/>
            <w:vAlign w:val="bottom"/>
            <w:gridSpan w:val="3"/>
          </w:tcPr>
          <w:p>
            <w:pPr>
              <w:jc w:val="center"/>
              <w:ind w:right="3920"/>
              <w:spacing w:after="0" w:line="155" w:lineRule="exact"/>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5"/>
                <w:szCs w:val="15"/>
                <w:color w:val="auto"/>
              </w:rPr>
            </w:pPr>
          </w:p>
        </w:tc>
        <w:tc>
          <w:tcPr>
            <w:tcW w:w="13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4"/>
        </w:trPr>
        <w:tc>
          <w:tcPr>
            <w:tcW w:w="3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360" w:type="dxa"/>
            <w:vAlign w:val="bottom"/>
            <w:gridSpan w:val="5"/>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1,005,477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1,061,473</w:t>
            </w:r>
          </w:p>
        </w:tc>
      </w:tr>
      <w:tr>
        <w:trPr>
          <w:trHeight w:val="253"/>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Trade accounts receivable, net</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78,563</w:t>
            </w:r>
          </w:p>
        </w:tc>
      </w:tr>
      <w:tr>
        <w:trPr>
          <w:trHeight w:val="233"/>
        </w:trPr>
        <w:tc>
          <w:tcPr>
            <w:tcW w:w="8360" w:type="dxa"/>
            <w:vAlign w:val="bottom"/>
            <w:gridSpan w:val="5"/>
          </w:tcPr>
          <w:p>
            <w:pPr>
              <w:ind w:left="140"/>
              <w:spacing w:after="0"/>
              <w:rPr>
                <w:sz w:val="20"/>
                <w:szCs w:val="20"/>
                <w:color w:val="auto"/>
              </w:rPr>
            </w:pPr>
            <w:r>
              <w:rPr>
                <w:rFonts w:ascii="Arial" w:cs="Arial" w:eastAsia="Arial" w:hAnsi="Arial"/>
                <w:sz w:val="16"/>
                <w:szCs w:val="16"/>
                <w:color w:val="auto"/>
              </w:rPr>
              <w:t>Refundable income taxes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7,890</w:t>
            </w:r>
          </w:p>
        </w:tc>
      </w:tr>
      <w:tr>
        <w:trPr>
          <w:trHeight w:val="246"/>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44,150</w:t>
            </w:r>
          </w:p>
        </w:tc>
      </w:tr>
      <w:tr>
        <w:trPr>
          <w:trHeight w:val="237"/>
        </w:trPr>
        <w:tc>
          <w:tcPr>
            <w:tcW w:w="8360" w:type="dxa"/>
            <w:vAlign w:val="bottom"/>
            <w:tcBorders>
              <w:bottom w:val="single" w:sz="8" w:color="CCEEFF"/>
            </w:tcBorders>
            <w:gridSpan w:val="5"/>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1,138,208</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1,192,076</w:t>
            </w:r>
          </w:p>
        </w:tc>
      </w:tr>
      <w:tr>
        <w:trPr>
          <w:trHeight w:val="257"/>
        </w:trPr>
        <w:tc>
          <w:tcPr>
            <w:tcW w:w="3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24,607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26,043</w:t>
            </w:r>
          </w:p>
        </w:tc>
      </w:tr>
      <w:tr>
        <w:trPr>
          <w:trHeight w:val="253"/>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Software, net of accumulated amortization</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w:t>
            </w: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207,778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204,656</w:t>
            </w:r>
          </w:p>
        </w:tc>
      </w:tr>
      <w:tr>
        <w:trPr>
          <w:trHeight w:val="253"/>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Deferred commissions, net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10,741</w:t>
            </w:r>
          </w:p>
        </w:tc>
      </w:tr>
      <w:tr>
        <w:trPr>
          <w:trHeight w:val="246"/>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32,499</w:t>
            </w:r>
          </w:p>
        </w:tc>
      </w:tr>
      <w:tr>
        <w:trPr>
          <w:trHeight w:val="237"/>
        </w:trPr>
        <w:tc>
          <w:tcPr>
            <w:tcW w:w="3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1,439,304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1,472,911</w:t>
            </w:r>
          </w:p>
        </w:tc>
      </w:tr>
      <w:tr>
        <w:trPr>
          <w:trHeight w:val="21"/>
        </w:trPr>
        <w:tc>
          <w:tcPr>
            <w:tcW w:w="3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312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auto"/>
            </w:tcBorders>
            <w:gridSpan w:val="3"/>
            <w:shd w:val="clear" w:color="auto" w:fill="CCEEFF"/>
          </w:tcPr>
          <w:p>
            <w:pPr>
              <w:jc w:val="center"/>
              <w:ind w:right="40"/>
              <w:spacing w:after="0" w:line="162" w:lineRule="exact"/>
              <w:rPr>
                <w:sz w:val="20"/>
                <w:szCs w:val="20"/>
                <w:color w:val="auto"/>
              </w:rPr>
            </w:pPr>
            <w:r>
              <w:rPr>
                <w:rFonts w:ascii="Arial" w:cs="Arial" w:eastAsia="Arial" w:hAnsi="Arial"/>
                <w:sz w:val="16"/>
                <w:szCs w:val="16"/>
                <w:b w:val="1"/>
                <w:bCs w:val="1"/>
                <w:color w:val="auto"/>
              </w:rPr>
              <w:t>LIABILITIES AND EQUITY</w:t>
            </w:r>
          </w:p>
        </w:tc>
        <w:tc>
          <w:tcPr>
            <w:tcW w:w="3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Trade 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31,203</w:t>
            </w:r>
          </w:p>
        </w:tc>
      </w:tr>
      <w:tr>
        <w:trPr>
          <w:trHeight w:val="233"/>
        </w:trPr>
        <w:tc>
          <w:tcPr>
            <w:tcW w:w="8360" w:type="dxa"/>
            <w:vAlign w:val="bottom"/>
            <w:gridSpan w:val="5"/>
          </w:tcPr>
          <w:p>
            <w:pPr>
              <w:ind w:left="140"/>
              <w:spacing w:after="0"/>
              <w:rPr>
                <w:sz w:val="20"/>
                <w:szCs w:val="20"/>
                <w:color w:val="auto"/>
              </w:rPr>
            </w:pPr>
            <w:r>
              <w:rPr>
                <w:rFonts w:ascii="Arial" w:cs="Arial" w:eastAsia="Arial" w:hAnsi="Arial"/>
                <w:sz w:val="16"/>
                <w:szCs w:val="16"/>
                <w:color w:val="auto"/>
              </w:rPr>
              <w:t>Accrued payroll and related expenses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18,715</w:t>
            </w:r>
          </w:p>
        </w:tc>
      </w:tr>
      <w:tr>
        <w:trPr>
          <w:trHeight w:val="253"/>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Other accrued expenses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40,916</w:t>
            </w:r>
          </w:p>
        </w:tc>
      </w:tr>
      <w:tr>
        <w:trPr>
          <w:trHeight w:val="237"/>
        </w:trPr>
        <w:tc>
          <w:tcPr>
            <w:tcW w:w="836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4,284</w:t>
            </w:r>
          </w:p>
        </w:tc>
      </w:tr>
      <w:tr>
        <w:trPr>
          <w:trHeight w:val="237"/>
        </w:trPr>
        <w:tc>
          <w:tcPr>
            <w:tcW w:w="8360" w:type="dxa"/>
            <w:vAlign w:val="bottom"/>
            <w:gridSpan w:val="5"/>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121,110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95,118</w:t>
            </w:r>
          </w:p>
        </w:tc>
      </w:tr>
      <w:tr>
        <w:trPr>
          <w:trHeight w:val="257"/>
        </w:trPr>
        <w:tc>
          <w:tcPr>
            <w:tcW w:w="3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43"/>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45,796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46,922</w:t>
            </w:r>
          </w:p>
        </w:tc>
      </w:tr>
      <w:tr>
        <w:trPr>
          <w:trHeight w:val="253"/>
        </w:trPr>
        <w:tc>
          <w:tcPr>
            <w:tcW w:w="83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360" w:type="dxa"/>
            <w:vAlign w:val="bottom"/>
            <w:gridSpan w:val="5"/>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14,187</w:t>
            </w:r>
          </w:p>
        </w:tc>
      </w:tr>
      <w:tr>
        <w:trPr>
          <w:trHeight w:val="233"/>
        </w:trPr>
        <w:tc>
          <w:tcPr>
            <w:tcW w:w="8360" w:type="dxa"/>
            <w:vAlign w:val="bottom"/>
            <w:gridSpan w:val="5"/>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1,422,879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1,406,813</w:t>
            </w:r>
          </w:p>
        </w:tc>
      </w:tr>
      <w:tr>
        <w:trPr>
          <w:trHeight w:val="253"/>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1,669,605</w:t>
            </w:r>
          </w:p>
        </w:tc>
      </w:tr>
      <w:tr>
        <w:trPr>
          <w:trHeight w:val="233"/>
        </w:trPr>
        <w:tc>
          <w:tcPr>
            <w:tcW w:w="8360" w:type="dxa"/>
            <w:vAlign w:val="bottom"/>
            <w:gridSpan w:val="5"/>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7,801</w:t>
            </w:r>
          </w:p>
        </w:tc>
      </w:tr>
      <w:tr>
        <w:trPr>
          <w:trHeight w:val="246"/>
        </w:trPr>
        <w:tc>
          <w:tcPr>
            <w:tcW w:w="836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Treasury stock, at cost</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(1,799,766)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(1,767,574)</w:t>
            </w:r>
          </w:p>
        </w:tc>
      </w:tr>
      <w:tr>
        <w:trPr>
          <w:trHeight w:val="237"/>
        </w:trPr>
        <w:tc>
          <w:tcPr>
            <w:tcW w:w="8360" w:type="dxa"/>
            <w:vAlign w:val="bottom"/>
            <w:tcBorders>
              <w:bottom w:val="single" w:sz="8" w:color="CCEEFF"/>
            </w:tcBorders>
            <w:gridSpan w:val="5"/>
          </w:tcPr>
          <w:p>
            <w:pPr>
              <w:ind w:left="36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1,272,157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1,330,832</w:t>
            </w:r>
          </w:p>
        </w:tc>
      </w:tr>
      <w:tr>
        <w:trPr>
          <w:trHeight w:val="262"/>
        </w:trPr>
        <w:tc>
          <w:tcPr>
            <w:tcW w:w="3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1,439,304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1,472,911</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949"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0"/>
        </w:trPr>
        <w:tc>
          <w:tcPr>
            <w:tcW w:w="8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w:t>
            </w:r>
          </w:p>
        </w:tc>
      </w:tr>
      <w:tr>
        <w:trPr>
          <w:trHeight w:val="25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r>
      <w:tr>
        <w:trPr>
          <w:trHeight w:val="257"/>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w:t>
            </w:r>
          </w:p>
        </w:tc>
      </w:tr>
      <w:tr>
        <w:trPr>
          <w:trHeight w:val="250"/>
        </w:trPr>
        <w:tc>
          <w:tcPr>
            <w:tcW w:w="836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33,323</w:t>
            </w:r>
          </w:p>
        </w:tc>
      </w:tr>
      <w:tr>
        <w:trPr>
          <w:trHeight w:val="26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r>
      <w:tr>
        <w:trPr>
          <w:trHeight w:val="250"/>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and other items, net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68,419</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(29,602)</w:t>
            </w: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(29,246)</w:t>
            </w: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(benefit)</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50"/>
        </w:trPr>
        <w:tc>
          <w:tcPr>
            <w:tcW w:w="8360" w:type="dxa"/>
            <w:vAlign w:val="bottom"/>
          </w:tcPr>
          <w:p>
            <w:pPr>
              <w:ind w:left="360"/>
              <w:spacing w:after="0"/>
              <w:rPr>
                <w:sz w:val="20"/>
                <w:szCs w:val="20"/>
                <w:color w:val="auto"/>
              </w:rPr>
            </w:pPr>
            <w:r>
              <w:rPr>
                <w:rFonts w:ascii="Arial" w:cs="Arial" w:eastAsia="Arial" w:hAnsi="Arial"/>
                <w:sz w:val="18"/>
                <w:szCs w:val="18"/>
                <w:color w:val="auto"/>
              </w:rPr>
              <w:t>Net loss from continuing operations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(27,818)</w:t>
            </w: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w:t>
            </w:r>
          </w:p>
        </w:tc>
      </w:tr>
      <w:tr>
        <w:trPr>
          <w:trHeight w:val="257"/>
        </w:trPr>
        <w:tc>
          <w:tcPr>
            <w:tcW w:w="83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50"/>
        </w:trPr>
        <w:tc>
          <w:tcPr>
            <w:tcW w:w="83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82"/>
        </w:trPr>
        <w:tc>
          <w:tcPr>
            <w:tcW w:w="8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57"/>
        </w:trPr>
        <w:tc>
          <w:tcPr>
            <w:tcW w:w="83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949" w:right="29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COMPREHENSIVE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0"/>
        </w:trPr>
        <w:tc>
          <w:tcPr>
            <w:tcW w:w="8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7"/>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57"/>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w:t>
            </w:r>
          </w:p>
        </w:tc>
      </w:tr>
      <w:tr>
        <w:trPr>
          <w:trHeight w:val="21"/>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240" w:top="949"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color w:val="auto"/>
        </w:rPr>
        <w:t>LIVERAMP HOLDINGS, INC. AND SUBSIDIARIES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CONDENSED CONSOLIDATED STATEMENTS OF EQUITY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THREE MONTHS ENDED JUNE 30, 2019 AND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2"/>
        </w:trPr>
        <w:tc>
          <w:tcPr>
            <w:tcW w:w="4000" w:type="dxa"/>
            <w:vAlign w:val="bottom"/>
          </w:tcPr>
          <w:p>
            <w:pPr>
              <w:spacing w:after="0"/>
              <w:rPr>
                <w:sz w:val="19"/>
                <w:szCs w:val="19"/>
                <w:color w:val="auto"/>
              </w:rPr>
            </w:pPr>
          </w:p>
        </w:tc>
        <w:tc>
          <w:tcPr>
            <w:tcW w:w="1660" w:type="dxa"/>
            <w:vAlign w:val="bottom"/>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4"/>
        </w:trPr>
        <w:tc>
          <w:tcPr>
            <w:tcW w:w="4000" w:type="dxa"/>
            <w:vAlign w:val="bottom"/>
          </w:tcPr>
          <w:p>
            <w:pPr>
              <w:spacing w:after="0"/>
              <w:rPr>
                <w:sz w:val="17"/>
                <w:szCs w:val="17"/>
                <w:color w:val="auto"/>
              </w:rPr>
            </w:pPr>
          </w:p>
        </w:tc>
        <w:tc>
          <w:tcPr>
            <w:tcW w:w="9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22"/>
        </w:trPr>
        <w:tc>
          <w:tcPr>
            <w:tcW w:w="4000" w:type="dxa"/>
            <w:vAlign w:val="bottom"/>
          </w:tcPr>
          <w:p>
            <w:pPr>
              <w:spacing w:after="0"/>
              <w:rPr>
                <w:sz w:val="19"/>
                <w:szCs w:val="19"/>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shares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income (loss)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9"/>
                <w:szCs w:val="19"/>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r>
      <w:tr>
        <w:trPr>
          <w:trHeight w:val="216"/>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2019</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141,865,888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1,406,813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1,669,605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(73,167,892)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(1,767,574)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1,330,832</w:t>
            </w:r>
          </w:p>
        </w:tc>
      </w:tr>
      <w:tr>
        <w:trPr>
          <w:trHeight w:val="210"/>
        </w:trPr>
        <w:tc>
          <w:tcPr>
            <w:tcW w:w="4000" w:type="dxa"/>
            <w:vAlign w:val="bottom"/>
          </w:tcPr>
          <w:p>
            <w:pPr>
              <w:ind w:left="140"/>
              <w:spacing w:after="0"/>
              <w:rPr>
                <w:sz w:val="20"/>
                <w:szCs w:val="20"/>
                <w:color w:val="auto"/>
              </w:rPr>
            </w:pPr>
            <w:r>
              <w:rPr>
                <w:rFonts w:ascii="Arial" w:cs="Arial" w:eastAsia="Arial" w:hAnsi="Arial"/>
                <w:sz w:val="14"/>
                <w:szCs w:val="14"/>
                <w:color w:val="auto"/>
              </w:rPr>
              <w:t>Employee stock awards, benefit plans and other issuances</w:t>
            </w:r>
          </w:p>
        </w:tc>
        <w:tc>
          <w:tcPr>
            <w:tcW w:w="860" w:type="dxa"/>
            <w:vAlign w:val="bottom"/>
          </w:tcPr>
          <w:p>
            <w:pPr>
              <w:jc w:val="right"/>
              <w:spacing w:after="0"/>
              <w:rPr>
                <w:sz w:val="20"/>
                <w:szCs w:val="20"/>
                <w:color w:val="auto"/>
              </w:rPr>
            </w:pPr>
            <w:r>
              <w:rPr>
                <w:rFonts w:ascii="Arial" w:cs="Arial" w:eastAsia="Arial" w:hAnsi="Arial"/>
                <w:sz w:val="14"/>
                <w:szCs w:val="14"/>
                <w:color w:val="auto"/>
              </w:rPr>
              <w:t>46,681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(221,195)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(11,033)</w:t>
            </w:r>
          </w:p>
        </w:tc>
      </w:tr>
      <w:tr>
        <w:trPr>
          <w:trHeight w:val="222"/>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r>
      <w:tr>
        <w:trPr>
          <w:trHeight w:val="210"/>
        </w:trPr>
        <w:tc>
          <w:tcPr>
            <w:tcW w:w="4000" w:type="dxa"/>
            <w:vAlign w:val="bottom"/>
          </w:tcPr>
          <w:p>
            <w:pPr>
              <w:ind w:left="140"/>
              <w:spacing w:after="0"/>
              <w:rPr>
                <w:sz w:val="20"/>
                <w:szCs w:val="20"/>
                <w:color w:val="auto"/>
              </w:rPr>
            </w:pPr>
            <w:r>
              <w:rPr>
                <w:rFonts w:ascii="Arial" w:cs="Arial" w:eastAsia="Arial" w:hAnsi="Arial"/>
                <w:sz w:val="14"/>
                <w:szCs w:val="14"/>
                <w:color w:val="auto"/>
              </w:rPr>
              <w:t>Restricted stock units vested</w:t>
            </w:r>
          </w:p>
        </w:tc>
        <w:tc>
          <w:tcPr>
            <w:tcW w:w="860" w:type="dxa"/>
            <w:vAlign w:val="bottom"/>
          </w:tcPr>
          <w:p>
            <w:pPr>
              <w:jc w:val="right"/>
              <w:spacing w:after="0"/>
              <w:rPr>
                <w:sz w:val="20"/>
                <w:szCs w:val="20"/>
                <w:color w:val="auto"/>
              </w:rPr>
            </w:pPr>
            <w:r>
              <w:rPr>
                <w:rFonts w:ascii="Arial" w:cs="Arial" w:eastAsia="Arial" w:hAnsi="Arial"/>
                <w:sz w:val="14"/>
                <w:szCs w:val="14"/>
                <w:color w:val="auto"/>
              </w:rPr>
              <w:t>487,632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treasury stock</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(20,099)</w:t>
            </w:r>
          </w:p>
        </w:tc>
      </w:tr>
      <w:tr>
        <w:trPr>
          <w:trHeight w:val="210"/>
        </w:trPr>
        <w:tc>
          <w:tcPr>
            <w:tcW w:w="4000" w:type="dxa"/>
            <w:vAlign w:val="bottom"/>
          </w:tcPr>
          <w:p>
            <w:pPr>
              <w:ind w:left="140"/>
              <w:spacing w:after="0"/>
              <w:rPr>
                <w:sz w:val="20"/>
                <w:szCs w:val="20"/>
                <w:color w:val="auto"/>
              </w:rPr>
            </w:pPr>
            <w:r>
              <w:rPr>
                <w:rFonts w:ascii="Arial" w:cs="Arial" w:eastAsia="Arial" w:hAnsi="Arial"/>
                <w:sz w:val="14"/>
                <w:szCs w:val="14"/>
                <w:color w:val="auto"/>
              </w:rPr>
              <w:t>Comprehensive loss: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40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translation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r>
      <w:tr>
        <w:trPr>
          <w:trHeight w:val="210"/>
        </w:trPr>
        <w:tc>
          <w:tcPr>
            <w:tcW w:w="4000" w:type="dxa"/>
            <w:vAlign w:val="bottom"/>
          </w:tcPr>
          <w:p>
            <w:pPr>
              <w:ind w:left="36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(42,140)</w:t>
            </w:r>
          </w:p>
        </w:tc>
      </w:tr>
      <w:tr>
        <w:trPr>
          <w:trHeight w:val="24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2019</w:t>
            </w: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142,451,563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1,422,879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1,627,465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(73,801,287)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(1,799,766)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1,272,157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4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31, 2018</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136,079,676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1,235,679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628,331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(58,304,917)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749,095</w:t>
            </w:r>
          </w:p>
        </w:tc>
      </w:tr>
      <w:tr>
        <w:trPr>
          <w:trHeight w:val="194"/>
        </w:trPr>
        <w:tc>
          <w:tcPr>
            <w:tcW w:w="4000" w:type="dxa"/>
            <w:vAlign w:val="bottom"/>
          </w:tcPr>
          <w:p>
            <w:pPr>
              <w:ind w:left="120"/>
              <w:spacing w:after="0"/>
              <w:rPr>
                <w:sz w:val="20"/>
                <w:szCs w:val="20"/>
                <w:color w:val="auto"/>
              </w:rPr>
            </w:pPr>
            <w:r>
              <w:rPr>
                <w:rFonts w:ascii="Arial" w:cs="Arial" w:eastAsia="Arial" w:hAnsi="Arial"/>
                <w:sz w:val="14"/>
                <w:szCs w:val="14"/>
                <w:color w:val="auto"/>
              </w:rPr>
              <w:t>Cumulative-effect adjustment from adoption of ASU 2014-</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78"/>
        </w:trPr>
        <w:tc>
          <w:tcPr>
            <w:tcW w:w="4000" w:type="dxa"/>
            <w:vAlign w:val="bottom"/>
          </w:tcPr>
          <w:p>
            <w:pPr>
              <w:ind w:left="120"/>
              <w:spacing w:after="0"/>
              <w:rPr>
                <w:sz w:val="20"/>
                <w:szCs w:val="20"/>
                <w:color w:val="auto"/>
              </w:rPr>
            </w:pPr>
            <w:r>
              <w:rPr>
                <w:rFonts w:ascii="Arial" w:cs="Arial" w:eastAsia="Arial" w:hAnsi="Arial"/>
                <w:sz w:val="14"/>
                <w:szCs w:val="14"/>
                <w:color w:val="auto"/>
              </w:rPr>
              <w:t>09</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12,727</w:t>
            </w:r>
          </w:p>
        </w:tc>
        <w:tc>
          <w:tcPr>
            <w:tcW w:w="8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12,727</w:t>
            </w:r>
          </w:p>
        </w:tc>
      </w:tr>
      <w:tr>
        <w:trPr>
          <w:trHeight w:val="222"/>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awards, benefit plans and other issuances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(5,928)</w:t>
            </w:r>
          </w:p>
        </w:tc>
      </w:tr>
      <w:tr>
        <w:trPr>
          <w:trHeight w:val="210"/>
        </w:trPr>
        <w:tc>
          <w:tcPr>
            <w:tcW w:w="4000" w:type="dxa"/>
            <w:vAlign w:val="bottom"/>
          </w:tcPr>
          <w:p>
            <w:pPr>
              <w:ind w:left="120"/>
              <w:spacing w:after="0"/>
              <w:rPr>
                <w:sz w:val="20"/>
                <w:szCs w:val="20"/>
                <w:color w:val="auto"/>
              </w:rPr>
            </w:pPr>
            <w:r>
              <w:rPr>
                <w:rFonts w:ascii="Arial" w:cs="Arial" w:eastAsia="Arial" w:hAnsi="Arial"/>
                <w:sz w:val="14"/>
                <w:szCs w:val="14"/>
                <w:color w:val="auto"/>
              </w:rPr>
              <w:t>Non-cash stock-based compensation</w:t>
            </w:r>
          </w:p>
        </w:tc>
        <w:tc>
          <w:tcPr>
            <w:tcW w:w="860" w:type="dxa"/>
            <w:vAlign w:val="bottom"/>
          </w:tcPr>
          <w:p>
            <w:pPr>
              <w:jc w:val="right"/>
              <w:spacing w:after="0"/>
              <w:rPr>
                <w:sz w:val="20"/>
                <w:szCs w:val="20"/>
                <w:color w:val="auto"/>
              </w:rPr>
            </w:pPr>
            <w:r>
              <w:rPr>
                <w:rFonts w:ascii="Arial" w:cs="Arial" w:eastAsia="Arial" w:hAnsi="Arial"/>
                <w:sz w:val="14"/>
                <w:szCs w:val="14"/>
                <w:color w:val="auto"/>
              </w:rPr>
              <w:t>149,416</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16,796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16,811</w:t>
            </w:r>
          </w:p>
        </w:tc>
      </w:tr>
      <w:tr>
        <w:trPr>
          <w:trHeight w:val="222"/>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 vested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1,259,681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4000" w:type="dxa"/>
            <w:vAlign w:val="bottom"/>
          </w:tcPr>
          <w:p>
            <w:pPr>
              <w:ind w:left="120"/>
              <w:spacing w:after="0"/>
              <w:rPr>
                <w:sz w:val="20"/>
                <w:szCs w:val="20"/>
                <w:color w:val="auto"/>
              </w:rPr>
            </w:pPr>
            <w:r>
              <w:rPr>
                <w:rFonts w:ascii="Arial" w:cs="Arial" w:eastAsia="Arial" w:hAnsi="Arial"/>
                <w:sz w:val="14"/>
                <w:szCs w:val="14"/>
                <w:color w:val="auto"/>
              </w:rPr>
              <w:t>Acquisition of treasury stock</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(1,853,071)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(45,766)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(45,766)</w:t>
            </w:r>
          </w:p>
        </w:tc>
      </w:tr>
      <w:tr>
        <w:trPr>
          <w:trHeight w:val="222"/>
        </w:trPr>
        <w:tc>
          <w:tcPr>
            <w:tcW w:w="4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loss: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0"/>
        </w:trPr>
        <w:tc>
          <w:tcPr>
            <w:tcW w:w="4000" w:type="dxa"/>
            <w:vAlign w:val="bottom"/>
          </w:tcPr>
          <w:p>
            <w:pPr>
              <w:ind w:left="340"/>
              <w:spacing w:after="0"/>
              <w:rPr>
                <w:sz w:val="20"/>
                <w:szCs w:val="20"/>
                <w:color w:val="auto"/>
              </w:rPr>
            </w:pPr>
            <w:r>
              <w:rPr>
                <w:rFonts w:ascii="Arial" w:cs="Arial" w:eastAsia="Arial" w:hAnsi="Arial"/>
                <w:sz w:val="14"/>
                <w:szCs w:val="14"/>
                <w:color w:val="auto"/>
              </w:rPr>
              <w:t>Foreign currency translation</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(1,868)</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(1,868)</w:t>
            </w:r>
          </w:p>
        </w:tc>
      </w:tr>
      <w:tr>
        <w:trPr>
          <w:trHeight w:val="216"/>
        </w:trPr>
        <w:tc>
          <w:tcPr>
            <w:tcW w:w="4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(3,015)</w:t>
            </w:r>
          </w:p>
        </w:tc>
      </w:tr>
      <w:tr>
        <w:trPr>
          <w:trHeight w:val="216"/>
        </w:trPr>
        <w:tc>
          <w:tcPr>
            <w:tcW w:w="4000" w:type="dxa"/>
            <w:vAlign w:val="bottom"/>
          </w:tcPr>
          <w:p>
            <w:pPr>
              <w:ind w:left="20"/>
              <w:spacing w:after="0"/>
              <w:rPr>
                <w:sz w:val="20"/>
                <w:szCs w:val="20"/>
                <w:color w:val="auto"/>
              </w:rPr>
            </w:pPr>
            <w:r>
              <w:rPr>
                <w:rFonts w:ascii="Arial" w:cs="Arial" w:eastAsia="Arial" w:hAnsi="Arial"/>
                <w:sz w:val="14"/>
                <w:szCs w:val="14"/>
                <w:color w:val="auto"/>
              </w:rPr>
              <w:t>Balances at June 30, 2018</w:t>
            </w: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137,722,557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13,773</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1,256,442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638,043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(60,549,886)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(1,195,101)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722,056</w:t>
            </w:r>
          </w:p>
        </w:tc>
      </w:tr>
      <w:tr>
        <w:trPr>
          <w:trHeight w:val="21"/>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955" w:right="2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09"/>
        </w:trPr>
        <w:tc>
          <w:tcPr>
            <w:tcW w:w="8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36"/>
        </w:trPr>
        <w:tc>
          <w:tcPr>
            <w:tcW w:w="84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3"/>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r>
      <w:tr>
        <w:trPr>
          <w:trHeight w:val="250"/>
        </w:trPr>
        <w:tc>
          <w:tcPr>
            <w:tcW w:w="8400" w:type="dxa"/>
            <w:vAlign w:val="bottom"/>
          </w:tcPr>
          <w:p>
            <w:pPr>
              <w:ind w:left="120"/>
              <w:spacing w:after="0"/>
              <w:rPr>
                <w:sz w:val="20"/>
                <w:szCs w:val="20"/>
                <w:color w:val="auto"/>
              </w:rPr>
            </w:pPr>
            <w:r>
              <w:rPr>
                <w:rFonts w:ascii="Arial" w:cs="Arial" w:eastAsia="Arial" w:hAnsi="Arial"/>
                <w:sz w:val="18"/>
                <w:szCs w:val="18"/>
                <w:color w:val="auto"/>
              </w:rPr>
              <w:t>Earnings from discontinued operations, net of tax</w:t>
            </w: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(24,803)</w:t>
            </w:r>
          </w:p>
        </w:tc>
      </w:tr>
      <w:tr>
        <w:trPr>
          <w:trHeight w:val="263"/>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operating activities: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9,403</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or impairment of assets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Non-cash stock compensation expense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17,798</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40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63"/>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commissions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50"/>
        </w:trPr>
        <w:tc>
          <w:tcPr>
            <w:tcW w:w="840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63"/>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r>
      <w:tr>
        <w:trPr>
          <w:trHeight w:val="250"/>
        </w:trPr>
        <w:tc>
          <w:tcPr>
            <w:tcW w:w="840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(1,898)</w:t>
            </w:r>
          </w:p>
        </w:tc>
      </w:tr>
      <w:tr>
        <w:trPr>
          <w:trHeight w:val="257"/>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50"/>
        </w:trPr>
        <w:tc>
          <w:tcPr>
            <w:tcW w:w="8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Payments for investments</w:t>
            </w: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57"/>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in acquisition, net of cash received</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4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Payments of debt</w:t>
            </w: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(592)</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from debt refinancing</w:t>
            </w:r>
          </w:p>
        </w:tc>
        <w:tc>
          <w:tcPr>
            <w:tcW w:w="3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0"/>
        </w:trPr>
        <w:tc>
          <w:tcPr>
            <w:tcW w:w="8400" w:type="dxa"/>
            <w:vAlign w:val="bottom"/>
          </w:tcPr>
          <w:p>
            <w:pPr>
              <w:ind w:left="220"/>
              <w:spacing w:after="0"/>
              <w:rPr>
                <w:sz w:val="20"/>
                <w:szCs w:val="20"/>
                <w:color w:val="auto"/>
              </w:rPr>
            </w:pPr>
            <w:r>
              <w:rPr>
                <w:rFonts w:ascii="Arial" w:cs="Arial" w:eastAsia="Arial" w:hAnsi="Arial"/>
                <w:sz w:val="18"/>
                <w:szCs w:val="18"/>
                <w:color w:val="auto"/>
              </w:rPr>
              <w:t>Proceeds related to the issuance of common stock under stock and employee benefit plans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4,116</w:t>
            </w:r>
          </w:p>
        </w:tc>
      </w:tr>
      <w:tr>
        <w:trPr>
          <w:trHeight w:val="263"/>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repurchased for tax withholdings upon vesting of stock-based awards</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r>
      <w:tr>
        <w:trPr>
          <w:trHeight w:val="250"/>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treasury stock</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(45,766)</w:t>
            </w:r>
          </w:p>
        </w:tc>
      </w:tr>
      <w:tr>
        <w:trPr>
          <w:trHeight w:val="250"/>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949" w:right="29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0"/>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4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discontinued operations: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340" w:type="dxa"/>
            <w:vAlign w:val="bottom"/>
          </w:tcPr>
          <w:p>
            <w:pPr>
              <w:ind w:left="100"/>
              <w:spacing w:after="0"/>
              <w:rPr>
                <w:sz w:val="20"/>
                <w:szCs w:val="20"/>
                <w:color w:val="auto"/>
              </w:rPr>
            </w:pPr>
            <w:r>
              <w:rPr>
                <w:rFonts w:ascii="Arial" w:cs="Arial" w:eastAsia="Arial" w:hAnsi="Arial"/>
                <w:sz w:val="18"/>
                <w:szCs w:val="18"/>
                <w:color w:val="auto"/>
              </w:rPr>
              <w:t>From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20,181</w:t>
            </w:r>
          </w:p>
        </w:tc>
      </w:tr>
      <w:tr>
        <w:trPr>
          <w:trHeight w:val="263"/>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From investing activities</w:t>
            </w: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r>
      <w:tr>
        <w:trPr>
          <w:trHeight w:val="250"/>
        </w:trPr>
        <w:tc>
          <w:tcPr>
            <w:tcW w:w="8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50"/>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discontinued operations</w:t>
            </w: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r>
      <w:tr>
        <w:trPr>
          <w:trHeight w:val="250"/>
        </w:trPr>
        <w:tc>
          <w:tcPr>
            <w:tcW w:w="83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57"/>
        </w:trPr>
        <w:tc>
          <w:tcPr>
            <w:tcW w:w="8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(46,463)</w:t>
            </w:r>
          </w:p>
        </w:tc>
      </w:tr>
      <w:tr>
        <w:trPr>
          <w:trHeight w:val="257"/>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1,061,473</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140,018</w:t>
            </w:r>
          </w:p>
        </w:tc>
      </w:tr>
      <w:tr>
        <w:trPr>
          <w:trHeight w:val="257"/>
        </w:trPr>
        <w:tc>
          <w:tcPr>
            <w:tcW w:w="83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1,005,477</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93,555</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(received) during the period for:</w:t>
            </w: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34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w:t>
            </w: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949" w:right="279" w:bottom="1440" w:gutter="0" w:footer="0" w:header="0"/>
        </w:sectPr>
      </w:pPr>
    </w:p>
    <w:bookmarkStart w:id="8" w:name="page9"/>
    <w:bookmarkEnd w:id="8"/>
    <w:p>
      <w:pPr>
        <w:jc w:val="center"/>
        <w:ind w:left="280" w:right="2780"/>
        <w:spacing w:after="0" w:line="256" w:lineRule="auto"/>
        <w:rPr>
          <w:sz w:val="20"/>
          <w:szCs w:val="20"/>
          <w:color w:val="auto"/>
        </w:rPr>
      </w:pPr>
      <w:r>
        <w:rPr>
          <w:rFonts w:ascii="Arial" w:cs="Arial" w:eastAsia="Arial" w:hAnsi="Arial"/>
          <w:sz w:val="18"/>
          <w:szCs w:val="18"/>
          <w:color w:val="auto"/>
        </w:rPr>
        <w:t>LIVERAMP HOLDINGS, INC. AND SUBSIDIARIES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 AND SUMMARY OF SIGNIFICANT ACCOUNTING POLICIES: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These condensed consolidated financial statements have been prepared by LiveRamp Holdings, Inc. ("Registrant", "LiveRamp", we, us or the "Company"), without audit, pursuant to the rules and regulations of the Securities and Exchange Commission (the “SEC”). In the opinion of the Registrant’s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Registrant’s annual report on Form 10-K for the fiscal year ended March 31, 2019 (“2019 Annual Report”), as filed with the SEC on May 28, 2019. This quarterly report and the accompanying condensed consolidated financial statements should be read in connection with the 2019 Annual Report. The financial information contained in this quarterly report is not necessarily indicative of the results to be expected for any other period or for the full fiscal year ending March 31, 2020.</w:t>
      </w:r>
    </w:p>
    <w:p>
      <w:pPr>
        <w:spacing w:after="0" w:line="21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Company’s 2019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 Adopted During the Current Year</w:t>
      </w:r>
    </w:p>
    <w:p>
      <w:pPr>
        <w:spacing w:after="0" w:line="2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January 2017, the Financial Accounting Standards Board ("FASB") issued ASU 2017-04, "Intangibles-Goodwill and Other (Topic 350): Simplifying the Test for Goodwill Impairment" ("ASU 2017-04"), which eliminates step two from the goodwill impairment test. Under ASU 2017-04, goodwill impairment is recognized based on step one of the preceding guidance, which calculates the carrying value in excess of the reporting unit's fair value. ASU 2017-04 is effective for annual periods beginning after December 15, 2019 (fiscal 2021 for the Company), including interim periods within those fiscal years; earlier adoption is permitted for goodwill impairment tests performed on testing dates after January 1, 2017. In the first quarter of fiscal 2020, we early adopted ASU 2017-04. The standard did not have an impact to our qualitative assessment for goodwill impairment that we performed in the first quarter of fiscal 2020.</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 a comprehensive new standard that amended various aspects of existing guidance for leases and requires additional disclosures about leasing arrangements. The new standard requires lessees to recognize a right-of-use asset and a lease liability on the balance sheet for all leases except short-term leases. For lessees, leases will continue to be classified as either operating or financing in the income statement. The Company adopted the updated guidance as of April 1, 2019 using a modified retrospective transition method. See Note 2 of these notes to condensed consolidated financial statements for further details.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Not Yet Adopted</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August 2018, the FASB issued ASU 2018-13, “Fair Value Measurement (Topic 820): Disclosure Framework”, which eliminates, modifies and adds disclosure requirements for fair value measurements. The update is effective for annual periods beginning after December 15, 2019 (fiscal 2021 for the Company), including interim periods within those fiscal years, with early adoption permitted. The Company is currently assessing the impact of this new standard on our condensed consolidated financial statements and does not expect the adoption will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949" w:right="259" w:bottom="1440" w:gutter="0" w:footer="0" w:header="0"/>
        </w:sectPr>
      </w:pPr>
    </w:p>
    <w:bookmarkStart w:id="9" w:name="page10"/>
    <w:bookmarkEnd w:id="9"/>
    <w:p>
      <w:pPr>
        <w:ind w:right="60"/>
        <w:spacing w:after="0" w:line="253" w:lineRule="auto"/>
        <w:rPr>
          <w:sz w:val="20"/>
          <w:szCs w:val="20"/>
          <w:color w:val="auto"/>
        </w:rPr>
      </w:pPr>
      <w:r>
        <w:rPr>
          <w:rFonts w:ascii="Arial" w:cs="Arial" w:eastAsia="Arial" w:hAnsi="Arial"/>
          <w:sz w:val="18"/>
          <w:szCs w:val="18"/>
          <w:color w:val="auto"/>
        </w:rPr>
        <w:t>In August 2018, the FASB issued ASU 2018-15, "Intangibles-Goodwill and Other-Internal Use Software (Subtopic 350-40): Customer’s Accounting for Implementation Costs Incurred in a Cloud Computing Arrangement That is a Service Contract" ("ASU 2018-15"). ASU 2018-15 aligns the requirements for capitalizing implementation costs incurred in a cloud computing arrangement (“CCA”) that is a service contract with the requirements for capitalizing implementation costs incurred to develop or obtain internal-use software. Previously, all implementation costs for a hosting arrangement that was a service contract were expensed when incurred.</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CCA’s, such as software as a service and other hosting arrangements, are evaluated for capitalized implementation costs in a similar manner as capitalized software development costs. If a CCA includes a software license, the software license element of the arrangement is accounted for in a manner consistent with the acquisition of other software licenses. If a CCA does not include a software license, the service element of the arrangement is accounted for as a service contract. ASU 2018-15 is effective for annual periods beginning after December 15, 2019 (fiscal 2021 for the Company), including interim periods within those fiscal years, with early adoption permitted. The Company is currently assessing the impact of this new standard on our condensed consolidated financial statements and does not expect the adoption will have a material impact on our condensed consolidated financial statements.</w:t>
      </w:r>
    </w:p>
    <w:p>
      <w:pPr>
        <w:spacing w:after="0" w:line="234"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Company does not anticipate that the adoption of any other recent accounting pronouncements will have a material impact on the Company's consolidated financial position, results of operations or cash flows.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2. TOPIC 842 ADOPTION IMPACT AND LEASES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April 1, 2019, the Company adopted the new lease guidance using a modified retrospective transition method applied to existing leases as of April 1, 2019. Results for reporting periods beginning after March 31, 2019 are presented under the new guidance, while prior period comparative amounts are not adjusted and continue to be reported in accordance with historical guidance. The Company applied the new standard using the practical expedients permitted under the transition guidance where the Company:</w:t>
      </w:r>
    </w:p>
    <w:p>
      <w:pPr>
        <w:spacing w:after="0" w:line="2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did not reassess whether any expired or existing contracts contain a 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did not reassess the classification of existing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uses its incremental borrowing rate at commencement date in determining the present value of lease payments. The Company uses judgment in determining its incremental borrowing rate, which includes selecting a yield curve based on a hypothetical credit rating.</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resulting impact, as of the adoption date, to the condensed consolidated balance sheet of applying the new guidance in fiscal 2020 was an increase to right-of-use assets included in other assets, net of $22.9 million, an increase to short-term lease liabilities included in other accrued expenses of $8.4 million, an increase to long-term lease liabilities included in other liabilities of $17.9 million, and a decrease to deferred rent included in other liabilities of $3.4 million. There was no impact to stockholders' equity or the condensed consolidated statements of operations as a result of adopting the new guidance.</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determines if an arrangement contains a lease or is a lease at inception, and whether lease and non-lease components are combined or not. Operating leases with a duration of less than 12 months are excluded from right-of-use assets and lease liabilities and related expense is recorded as incurred.</w:t>
      </w:r>
    </w:p>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June 30, 2019, right-of-use assets included in other assets, net were $20.9 million, short-term lease liabilities included in other accrued expenses were $8.4 million, and long-term lease liabilities included in other liabilities were $16.0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949" w:right="279" w:bottom="1440" w:gutter="0" w:footer="0" w:header="0"/>
        </w:sectPr>
      </w:pPr>
    </w:p>
    <w:bookmarkStart w:id="10" w:name="page11"/>
    <w:bookmarkEnd w:id="10"/>
    <w:p>
      <w:pPr>
        <w:ind w:right="420"/>
        <w:spacing w:after="0" w:line="262" w:lineRule="auto"/>
        <w:rPr>
          <w:sz w:val="20"/>
          <w:szCs w:val="20"/>
          <w:color w:val="auto"/>
        </w:rPr>
      </w:pPr>
      <w:r>
        <w:rPr>
          <w:rFonts w:ascii="Arial" w:cs="Arial" w:eastAsia="Arial" w:hAnsi="Arial"/>
          <w:sz w:val="18"/>
          <w:szCs w:val="18"/>
          <w:color w:val="auto"/>
        </w:rPr>
        <w:t>The Company leases its office facilities under non-cancellable operating leases that expire at various dates through fiscal 2024. Operating lease costs were $2.2 million for the three months ended June 30, 2019.</w:t>
      </w:r>
    </w:p>
    <w:p>
      <w:pPr>
        <w:spacing w:after="0" w:line="2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Future minimum payments under all operating leases (including operating leases with a duration of less than 12 months) as of June 30, 2019 are as follows (dollars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80" w:type="dxa"/>
            <w:vAlign w:val="bottom"/>
            <w:tcBorders>
              <w:bottom w:val="single" w:sz="8" w:color="auto"/>
            </w:tcBorders>
          </w:tcPr>
          <w:p>
            <w:pPr>
              <w:ind w:left="4800"/>
              <w:spacing w:after="0"/>
              <w:rPr>
                <w:sz w:val="20"/>
                <w:szCs w:val="20"/>
                <w:color w:val="auto"/>
              </w:rPr>
            </w:pPr>
            <w:r>
              <w:rPr>
                <w:rFonts w:ascii="Arial" w:cs="Arial" w:eastAsia="Arial" w:hAnsi="Arial"/>
                <w:sz w:val="18"/>
                <w:szCs w:val="18"/>
                <w:color w:val="auto"/>
              </w:rPr>
              <w:t>Year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10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2020</w:t>
            </w:r>
          </w:p>
        </w:tc>
        <w:tc>
          <w:tcPr>
            <w:tcW w:w="20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r>
      <w:tr>
        <w:trPr>
          <w:trHeight w:val="250"/>
        </w:trPr>
        <w:tc>
          <w:tcPr>
            <w:tcW w:w="10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Fiscal 2021</w:t>
            </w:r>
          </w:p>
        </w:tc>
        <w:tc>
          <w:tcPr>
            <w:tcW w:w="200" w:type="dxa"/>
            <w:vAlign w:val="bottom"/>
            <w:tcBorders>
              <w:bottom w:val="single" w:sz="8" w:color="D9D9D9"/>
            </w:tcBorders>
          </w:tcPr>
          <w:p>
            <w:pPr>
              <w:spacing w:after="0"/>
              <w:rPr>
                <w:sz w:val="21"/>
                <w:szCs w:val="21"/>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8,699</w:t>
            </w:r>
          </w:p>
        </w:tc>
      </w:tr>
      <w:tr>
        <w:trPr>
          <w:trHeight w:val="250"/>
        </w:trPr>
        <w:tc>
          <w:tcPr>
            <w:tcW w:w="10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200" w:type="dxa"/>
            <w:vAlign w:val="bottom"/>
            <w:tcBorders>
              <w:bottom w:val="single" w:sz="8" w:color="D9D9D9"/>
            </w:tcBorders>
            <w:shd w:val="clear" w:color="auto" w:fill="CCEEFF"/>
          </w:tcPr>
          <w:p>
            <w:pPr>
              <w:spacing w:after="0"/>
              <w:rPr>
                <w:sz w:val="21"/>
                <w:szCs w:val="21"/>
                <w:color w:val="auto"/>
              </w:rPr>
            </w:pPr>
          </w:p>
        </w:tc>
        <w:tc>
          <w:tcPr>
            <w:tcW w:w="9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8,255</w:t>
            </w:r>
          </w:p>
        </w:tc>
      </w:tr>
      <w:tr>
        <w:trPr>
          <w:trHeight w:val="250"/>
        </w:trPr>
        <w:tc>
          <w:tcPr>
            <w:tcW w:w="10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Fiscal 2023</w:t>
            </w:r>
          </w:p>
        </w:tc>
        <w:tc>
          <w:tcPr>
            <w:tcW w:w="200" w:type="dxa"/>
            <w:vAlign w:val="bottom"/>
            <w:tcBorders>
              <w:bottom w:val="single" w:sz="8" w:color="D9D9D9"/>
            </w:tcBorders>
          </w:tcPr>
          <w:p>
            <w:pPr>
              <w:spacing w:after="0"/>
              <w:rPr>
                <w:sz w:val="21"/>
                <w:szCs w:val="21"/>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2,497</w:t>
            </w:r>
          </w:p>
        </w:tc>
      </w:tr>
      <w:tr>
        <w:trPr>
          <w:trHeight w:val="250"/>
        </w:trPr>
        <w:tc>
          <w:tcPr>
            <w:tcW w:w="10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00" w:type="dxa"/>
            <w:vAlign w:val="bottom"/>
            <w:tcBorders>
              <w:bottom w:val="single" w:sz="8" w:color="D9D9D9"/>
            </w:tcBorders>
            <w:shd w:val="clear" w:color="auto" w:fill="CCEEFF"/>
          </w:tcPr>
          <w:p>
            <w:pPr>
              <w:spacing w:after="0"/>
              <w:rPr>
                <w:sz w:val="21"/>
                <w:szCs w:val="21"/>
                <w:color w:val="auto"/>
              </w:rPr>
            </w:pPr>
          </w:p>
        </w:tc>
        <w:tc>
          <w:tcPr>
            <w:tcW w:w="9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50"/>
        </w:trPr>
        <w:tc>
          <w:tcPr>
            <w:tcW w:w="10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0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undiscounted lease commitments</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w:t>
            </w:r>
          </w:p>
        </w:tc>
      </w:tr>
      <w:tr>
        <w:trPr>
          <w:trHeight w:val="250"/>
        </w:trPr>
        <w:tc>
          <w:tcPr>
            <w:tcW w:w="10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Interest</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r>
      <w:tr>
        <w:trPr>
          <w:trHeight w:val="282"/>
        </w:trPr>
        <w:tc>
          <w:tcPr>
            <w:tcW w:w="10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discounted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Future minimum payments as of June 30, 2019 related to restructuring plans as a result of of the Company's exit from certain leased office facilities (see Note 14) are: Remainder of Fiscal 2020: $1,886; Fiscal 2021: $2,544; Fiscal 2022: $2,610; Fiscal 2023: $2,663; Fiscal 2024: $2,699; and Thereafter: $4,497.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operating leases is as follows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jc w:val="right"/>
              <w:ind w:right="117"/>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94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2019</w:t>
            </w:r>
          </w:p>
        </w:tc>
      </w:tr>
      <w:tr>
        <w:trPr>
          <w:trHeight w:val="24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50"/>
        </w:trPr>
        <w:tc>
          <w:tcPr>
            <w:tcW w:w="948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6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years</w:t>
            </w: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5.0 %</w:t>
            </w:r>
          </w:p>
        </w:tc>
      </w:tr>
    </w:tbl>
    <w:p>
      <w:pPr>
        <w:spacing w:after="0" w:line="36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previously disclosed in our Fiscal 2019 Annual Report on Form 10-K and under the previous lease accounting standard, the future minimum payments under all operating leases as of March 31, 2019 was as follows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For the years ending March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2"/>
        </w:trPr>
        <w:tc>
          <w:tcPr>
            <w:tcW w:w="328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9"/>
                <w:szCs w:val="19"/>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c>
          <w:tcPr>
            <w:tcW w:w="108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256"/>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10,865</w:t>
            </w: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949" w:right="259" w:bottom="1440" w:gutter="0" w:footer="0" w:header="0"/>
        </w:sectPr>
      </w:pPr>
    </w:p>
    <w:bookmarkStart w:id="11" w:name="page12"/>
    <w:bookmarkEnd w:id="11"/>
    <w:p>
      <w:pPr>
        <w:ind w:right="6820" w:firstLine="8"/>
        <w:spacing w:after="0" w:line="532"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REVENUE FROM CONTRACTS WITH CUSTOMERS: </w:t>
      </w:r>
      <w:r>
        <w:rPr>
          <w:rFonts w:ascii="Arial" w:cs="Arial" w:eastAsia="Arial" w:hAnsi="Arial"/>
          <w:sz w:val="18"/>
          <w:szCs w:val="18"/>
          <w:u w:val="single" w:color="auto"/>
          <w:color w:val="auto"/>
        </w:rPr>
        <w:t>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primary geographical market and major service offerings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21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9"/>
                <w:szCs w:val="19"/>
                <w:color w:val="auto"/>
              </w:rPr>
            </w:pPr>
          </w:p>
        </w:tc>
      </w:tr>
      <w:tr>
        <w:trPr>
          <w:trHeight w:val="237"/>
        </w:trPr>
        <w:tc>
          <w:tcPr>
            <w:tcW w:w="218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Primary Geographical Markets</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5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56,222</w:t>
            </w:r>
          </w:p>
        </w:tc>
      </w:tr>
      <w:tr>
        <w:trPr>
          <w:trHeight w:val="250"/>
        </w:trPr>
        <w:tc>
          <w:tcPr>
            <w:tcW w:w="2180" w:type="dxa"/>
            <w:vAlign w:val="bottom"/>
          </w:tcPr>
          <w:p>
            <w:pPr>
              <w:ind w:left="20"/>
              <w:spacing w:after="0"/>
              <w:rPr>
                <w:sz w:val="20"/>
                <w:szCs w:val="20"/>
                <w:color w:val="auto"/>
              </w:rPr>
            </w:pPr>
            <w:r>
              <w:rPr>
                <w:rFonts w:ascii="Arial" w:cs="Arial" w:eastAsia="Arial" w:hAnsi="Arial"/>
                <w:sz w:val="18"/>
                <w:szCs w:val="18"/>
                <w:color w:val="auto"/>
              </w:rPr>
              <w:t>Europe</w:t>
            </w:r>
          </w:p>
        </w:tc>
        <w:tc>
          <w:tcPr>
            <w:tcW w:w="5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4,920</w:t>
            </w:r>
          </w:p>
        </w:tc>
      </w:tr>
      <w:tr>
        <w:trPr>
          <w:trHeight w:val="257"/>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5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r>
      <w:tr>
        <w:trPr>
          <w:trHeight w:val="250"/>
        </w:trPr>
        <w:tc>
          <w:tcPr>
            <w:tcW w:w="2180" w:type="dxa"/>
            <w:vAlign w:val="bottom"/>
          </w:tcPr>
          <w:p>
            <w:pPr>
              <w:spacing w:after="0"/>
              <w:rPr>
                <w:sz w:val="21"/>
                <w:szCs w:val="21"/>
                <w:color w:val="auto"/>
              </w:rPr>
            </w:pPr>
          </w:p>
        </w:tc>
        <w:tc>
          <w:tcPr>
            <w:tcW w:w="5380" w:type="dxa"/>
            <w:vAlign w:val="bottom"/>
            <w:gridSpan w:val="2"/>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62,471</w:t>
            </w:r>
          </w:p>
        </w:tc>
      </w:tr>
      <w:tr>
        <w:trPr>
          <w:trHeight w:val="27"/>
        </w:trPr>
        <w:tc>
          <w:tcPr>
            <w:tcW w:w="2180" w:type="dxa"/>
            <w:vAlign w:val="bottom"/>
          </w:tcPr>
          <w:p>
            <w:pPr>
              <w:spacing w:after="0"/>
              <w:rPr>
                <w:sz w:val="2"/>
                <w:szCs w:val="2"/>
                <w:color w:val="auto"/>
              </w:rPr>
            </w:pPr>
          </w:p>
        </w:tc>
        <w:tc>
          <w:tcPr>
            <w:tcW w:w="5380" w:type="dxa"/>
            <w:vAlign w:val="bottom"/>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73"/>
        </w:trPr>
        <w:tc>
          <w:tcPr>
            <w:tcW w:w="21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Major Offerings/Services</w:t>
            </w:r>
          </w:p>
        </w:tc>
        <w:tc>
          <w:tcPr>
            <w:tcW w:w="520" w:type="dxa"/>
            <w:vAlign w:val="bottom"/>
            <w:tcBorders>
              <w:bottom w:val="single" w:sz="8" w:color="CCEEFF"/>
            </w:tcBorders>
            <w:gridSpan w:val="2"/>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r>
      <w:tr>
        <w:trPr>
          <w:trHeight w:val="257"/>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5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51,329</w:t>
            </w:r>
          </w:p>
        </w:tc>
      </w:tr>
      <w:tr>
        <w:trPr>
          <w:trHeight w:val="25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Marketplace and Other</w:t>
            </w:r>
          </w:p>
        </w:tc>
        <w:tc>
          <w:tcPr>
            <w:tcW w:w="52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w:t>
            </w:r>
          </w:p>
        </w:tc>
      </w:tr>
      <w:tr>
        <w:trPr>
          <w:trHeight w:val="270"/>
        </w:trPr>
        <w:tc>
          <w:tcPr>
            <w:tcW w:w="2180" w:type="dxa"/>
            <w:vAlign w:val="bottom"/>
            <w:shd w:val="clear" w:color="auto" w:fill="CCEEFF"/>
          </w:tcPr>
          <w:p>
            <w:pPr>
              <w:spacing w:after="0"/>
              <w:rPr>
                <w:sz w:val="23"/>
                <w:szCs w:val="23"/>
                <w:color w:val="auto"/>
              </w:rPr>
            </w:pPr>
          </w:p>
        </w:tc>
        <w:tc>
          <w:tcPr>
            <w:tcW w:w="57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performance obligations associated with fixed commitments in customer contracts for future services that have not yet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recognized in our condensed consolidated financial statements. The amount of fixed revenue not yet recognized was $319.4 million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2019. The Company expects to recognize revenue on substantially all of these remaining performance obligations by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49" w:right="259" w:bottom="1440" w:gutter="0" w:footer="0" w:header="0"/>
        </w:sectPr>
      </w:pPr>
    </w:p>
    <w:bookmarkStart w:id="12" w:name="page13"/>
    <w:bookmarkEnd w:id="12"/>
    <w:p>
      <w:pPr>
        <w:ind w:right="6820" w:firstLine="8"/>
        <w:spacing w:after="0" w:line="501"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LOSS PER SHARE AND STOCKHOLDERS’ EQUITY: </w:t>
      </w:r>
      <w:r>
        <w:rPr>
          <w:rFonts w:ascii="Arial" w:cs="Arial" w:eastAsia="Arial" w:hAnsi="Arial"/>
          <w:sz w:val="18"/>
          <w:szCs w:val="18"/>
          <w:u w:val="single" w:color="auto"/>
          <w:color w:val="auto"/>
        </w:rPr>
        <w:t>Loss Per Share</w:t>
      </w:r>
    </w:p>
    <w:p>
      <w:pPr>
        <w:ind w:right="740"/>
        <w:spacing w:after="0" w:line="262" w:lineRule="auto"/>
        <w:rPr>
          <w:sz w:val="20"/>
          <w:szCs w:val="20"/>
          <w:color w:val="auto"/>
        </w:rPr>
      </w:pPr>
      <w:r>
        <w:rPr>
          <w:rFonts w:ascii="Arial" w:cs="Arial" w:eastAsia="Arial" w:hAnsi="Arial"/>
          <w:sz w:val="18"/>
          <w:szCs w:val="18"/>
          <w:color w:val="auto"/>
        </w:rPr>
        <w:t>A reconciliation of the numerator and denominator of basic and diluted loss per share is shown below (in thousands, except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8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r>
      <w:tr>
        <w:trPr>
          <w:trHeight w:val="24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per share:</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Net loss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(27,818)</w:t>
            </w:r>
          </w:p>
        </w:tc>
        <w:tc>
          <w:tcPr>
            <w:tcW w:w="100" w:type="dxa"/>
            <w:vAlign w:val="bottom"/>
          </w:tcPr>
          <w:p>
            <w:pPr>
              <w:spacing w:after="0"/>
              <w:rPr>
                <w:sz w:val="21"/>
                <w:szCs w:val="21"/>
                <w:color w:val="auto"/>
              </w:rPr>
            </w:pPr>
          </w:p>
        </w:tc>
      </w:tr>
      <w:tr>
        <w:trPr>
          <w:trHeight w:val="257"/>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100" w:type="dxa"/>
            <w:vAlign w:val="bottom"/>
            <w:shd w:val="clear" w:color="auto" w:fill="CCEEFF"/>
          </w:tcPr>
          <w:p>
            <w:pPr>
              <w:spacing w:after="0"/>
              <w:rPr>
                <w:sz w:val="22"/>
                <w:szCs w:val="22"/>
                <w:color w:val="auto"/>
              </w:rPr>
            </w:pPr>
          </w:p>
        </w:tc>
      </w:tr>
      <w:tr>
        <w:trPr>
          <w:trHeight w:val="257"/>
        </w:trPr>
        <w:tc>
          <w:tcPr>
            <w:tcW w:w="8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2"/>
                <w:szCs w:val="22"/>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8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68,906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76,935</w:t>
            </w:r>
          </w:p>
        </w:tc>
        <w:tc>
          <w:tcPr>
            <w:tcW w:w="100" w:type="dxa"/>
            <w:vAlign w:val="bottom"/>
          </w:tcPr>
          <w:p>
            <w:pPr>
              <w:spacing w:after="0"/>
              <w:rPr>
                <w:sz w:val="21"/>
                <w:szCs w:val="21"/>
                <w:color w:val="auto"/>
              </w:rPr>
            </w:pPr>
          </w:p>
        </w:tc>
      </w:tr>
      <w:tr>
        <w:trPr>
          <w:trHeight w:val="277"/>
        </w:trPr>
        <w:tc>
          <w:tcPr>
            <w:tcW w:w="86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r>
      <w:tr>
        <w:trPr>
          <w:trHeight w:val="257"/>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r>
      <w:tr>
        <w:trPr>
          <w:trHeight w:val="257"/>
        </w:trPr>
        <w:tc>
          <w:tcPr>
            <w:tcW w:w="8620" w:type="dxa"/>
            <w:vAlign w:val="bottom"/>
          </w:tcPr>
          <w:p>
            <w:pPr>
              <w:ind w:left="20"/>
              <w:spacing w:after="0"/>
              <w:rPr>
                <w:sz w:val="20"/>
                <w:szCs w:val="20"/>
                <w:color w:val="auto"/>
              </w:rPr>
            </w:pPr>
            <w:r>
              <w:rPr>
                <w:rFonts w:ascii="Arial" w:cs="Arial" w:eastAsia="Arial" w:hAnsi="Arial"/>
                <w:sz w:val="18"/>
                <w:szCs w:val="18"/>
                <w:color w:val="auto"/>
              </w:rPr>
              <w:t>Basic loss per share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37"/>
        </w:trPr>
        <w:tc>
          <w:tcPr>
            <w:tcW w:w="8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76,935</w:t>
            </w:r>
          </w:p>
        </w:tc>
        <w:tc>
          <w:tcPr>
            <w:tcW w:w="100" w:type="dxa"/>
            <w:vAlign w:val="bottom"/>
            <w:shd w:val="clear" w:color="auto" w:fill="CCEEFF"/>
          </w:tcPr>
          <w:p>
            <w:pPr>
              <w:spacing w:after="0"/>
              <w:rPr>
                <w:sz w:val="22"/>
                <w:szCs w:val="22"/>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Dilutive effect of common stock options, warrants, and restricted stock as computed under the treasury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620" w:type="dxa"/>
            <w:vAlign w:val="bottom"/>
          </w:tcPr>
          <w:p>
            <w:pPr>
              <w:ind w:left="20"/>
              <w:spacing w:after="0"/>
              <w:rPr>
                <w:sz w:val="20"/>
                <w:szCs w:val="20"/>
                <w:color w:val="auto"/>
              </w:rPr>
            </w:pPr>
            <w:r>
              <w:rPr>
                <w:rFonts w:ascii="Arial" w:cs="Arial" w:eastAsia="Arial" w:hAnsi="Arial"/>
                <w:sz w:val="18"/>
                <w:szCs w:val="18"/>
                <w:color w:val="auto"/>
              </w:rPr>
              <w:t>stock method</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82"/>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76,935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7"/>
        </w:trPr>
        <w:tc>
          <w:tcPr>
            <w:tcW w:w="8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2"/>
                <w:szCs w:val="22"/>
                <w:color w:val="auto"/>
              </w:rPr>
            </w:pPr>
          </w:p>
        </w:tc>
      </w:tr>
      <w:tr>
        <w:trPr>
          <w:trHeight w:val="250"/>
        </w:trPr>
        <w:tc>
          <w:tcPr>
            <w:tcW w:w="862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r>
      <w:tr>
        <w:trPr>
          <w:trHeight w:val="282"/>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Due to the net loss from continuing operations during the three months ended June 30, 2019 and 2018, the dilutive effect of options and restricted stock units covering 2.8 million and 2.3 million shares of common stock, respectively was excluded from the diluted loss per share calculation since the impact on the calculation was anti-dilutive.</w:t>
      </w:r>
    </w:p>
    <w:p>
      <w:pPr>
        <w:spacing w:after="0" w:line="22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Additional options to purchase shares of common stock and restricted stock units that were outstanding during the periods presented but were not included in the computation of diluted loss per share because the effect was anti-dilutive are shown below (shares in thousands):</w:t>
      </w:r>
    </w:p>
    <w:p>
      <w:pPr>
        <w:spacing w:after="0" w:line="22"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For the three months ended</w:t>
      </w:r>
    </w:p>
    <w:p>
      <w:pPr>
        <w:spacing w:after="0" w:line="55"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26035</wp:posOffset>
            </wp:positionV>
            <wp:extent cx="1612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r>
      <w:tr>
        <w:trPr>
          <w:trHeight w:val="256"/>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shares outstanding under options, warrants and restricted stock units plans</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2"/>
                <w:szCs w:val="22"/>
                <w:color w:val="auto"/>
              </w:rPr>
            </w:pPr>
          </w:p>
        </w:tc>
      </w:tr>
      <w:tr>
        <w:trPr>
          <w:trHeight w:val="257"/>
        </w:trPr>
        <w:tc>
          <w:tcPr>
            <w:tcW w:w="9500" w:type="dxa"/>
            <w:vAlign w:val="bottom"/>
            <w:gridSpan w:val="2"/>
          </w:tcPr>
          <w:p>
            <w:pPr>
              <w:ind w:left="20"/>
              <w:spacing w:after="0"/>
              <w:rPr>
                <w:sz w:val="20"/>
                <w:szCs w:val="20"/>
                <w:color w:val="auto"/>
              </w:rPr>
            </w:pPr>
            <w:r>
              <w:rPr>
                <w:rFonts w:ascii="Arial" w:cs="Arial" w:eastAsia="Arial" w:hAnsi="Arial"/>
                <w:sz w:val="18"/>
                <w:szCs w:val="18"/>
                <w:color w:val="auto"/>
              </w:rPr>
              <w:t>Range of exercise prices for options</w:t>
            </w:r>
          </w:p>
        </w:tc>
        <w:tc>
          <w:tcPr>
            <w:tcW w:w="800" w:type="dxa"/>
            <w:vAlign w:val="bottom"/>
            <w:gridSpan w:val="3"/>
          </w:tcPr>
          <w:p>
            <w:pPr>
              <w:ind w:left="40"/>
              <w:spacing w:after="0"/>
              <w:rPr>
                <w:sz w:val="20"/>
                <w:szCs w:val="20"/>
                <w:color w:val="auto"/>
              </w:rPr>
            </w:pPr>
            <w:r>
              <w:rPr>
                <w:rFonts w:ascii="Arial" w:cs="Arial" w:eastAsia="Arial" w:hAnsi="Arial"/>
                <w:sz w:val="18"/>
                <w:szCs w:val="18"/>
                <w:color w:val="auto"/>
              </w:rPr>
              <w:t>N/A  $</w:t>
            </w:r>
          </w:p>
        </w:tc>
        <w:tc>
          <w:tcPr>
            <w:tcW w:w="940" w:type="dxa"/>
            <w:vAlign w:val="bottom"/>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2"/>
                <w:szCs w:val="22"/>
                <w:color w:val="auto"/>
              </w:rPr>
            </w:pPr>
          </w:p>
        </w:tc>
      </w:tr>
      <w:tr>
        <w:trPr>
          <w:trHeight w:val="21"/>
        </w:trPr>
        <w:tc>
          <w:tcPr>
            <w:tcW w:w="8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Stockholders’ Equity</w:t>
      </w:r>
    </w:p>
    <w:p>
      <w:pPr>
        <w:spacing w:after="0" w:line="2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Under the modified common stock repurchase program, the Company may purchase up to $1.0 billion of its common stock through the period ending December 31, 2020. During the three months ended June 30, 2019, the Company repurchased 0.4 million shares of its common stock for $20.1 million under the stock repurchase</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949" w:right="299" w:bottom="1440" w:gutter="0" w:footer="0" w:header="0"/>
        </w:sectPr>
      </w:pPr>
    </w:p>
    <w:bookmarkStart w:id="13" w:name="page14"/>
    <w:bookmarkEnd w:id="13"/>
    <w:p>
      <w:pPr>
        <w:ind w:right="260"/>
        <w:spacing w:after="0" w:line="262" w:lineRule="auto"/>
        <w:rPr>
          <w:sz w:val="20"/>
          <w:szCs w:val="20"/>
          <w:color w:val="auto"/>
        </w:rPr>
      </w:pPr>
      <w:r>
        <w:rPr>
          <w:rFonts w:ascii="Arial" w:cs="Arial" w:eastAsia="Arial" w:hAnsi="Arial"/>
          <w:sz w:val="18"/>
          <w:szCs w:val="18"/>
          <w:color w:val="auto"/>
        </w:rPr>
        <w:t>program. Through June 30, 2019, the Company had repurchased a total of 23.0 million shares of its stock for $469.2 million under the stock repurchase program, leaving remaining capacity of $530.8 million.</w:t>
      </w:r>
    </w:p>
    <w:p>
      <w:pPr>
        <w:spacing w:after="0" w:line="196"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Accumulated other comprehensive income accumulated balances of $7.3 million and $7.8 million at June 30, 2019 and March 31, 2019, respectively, reflect accumulated foreign currency translation adjustments.</w:t>
      </w:r>
    </w:p>
    <w:p>
      <w:pPr>
        <w:spacing w:after="0" w:line="196" w:lineRule="exact"/>
        <w:rPr>
          <w:sz w:val="20"/>
          <w:szCs w:val="20"/>
          <w:color w:val="auto"/>
        </w:rPr>
      </w:pPr>
    </w:p>
    <w:p>
      <w:pPr>
        <w:ind w:right="9880" w:firstLine="8"/>
        <w:spacing w:after="0" w:line="532" w:lineRule="auto"/>
        <w:tabs>
          <w:tab w:leader="none" w:pos="19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ACQUISITIONS: </w:t>
      </w:r>
      <w:r>
        <w:rPr>
          <w:rFonts w:ascii="Arial" w:cs="Arial" w:eastAsia="Arial" w:hAnsi="Arial"/>
          <w:sz w:val="18"/>
          <w:szCs w:val="18"/>
          <w:u w:val="single" w:color="auto"/>
          <w:color w:val="auto"/>
        </w:rPr>
        <w:t>Faktor</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April 2, 2019, the Company acquired all of the outstanding shares of Faktor B. V. ("Faktor"). Faktor is a global consent management platform that allows consumers to control how their data is collected, used, and transferred for usage to another party. Faktor's platform provides individuals with notice and choice on websites and mobile apps and allows them to opt-in or out via a visible banner of the page. The Company paid approximately $4.5 million in cash for the acquired shares. The Company has omitted pro forma disclosures related to this acquisition as the pro forma effect of this acquisition is not material. The results of operations for the acquisition are included in the Company's condensed consolidated results beginning April 2, 2019.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purchase price allocation related to assets acquired and liabilities assumed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April 2, 2019</w:t>
            </w:r>
          </w:p>
        </w:tc>
      </w:tr>
      <w:tr>
        <w:trPr>
          <w:trHeight w:val="24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6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(Other assets)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5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and noncurrent assets</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4,514</w:t>
            </w:r>
          </w:p>
        </w:tc>
      </w:tr>
      <w:tr>
        <w:trPr>
          <w:trHeight w:val="26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acquired</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8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fair values assigned to tangible and identifiable intangible assets acquired and liabilities assumed were based on preliminary calculations and valuations using management's estimates and assumptions and were based on the information that was available as of the date of acquisition. The Company expects to finalize the valuation as soon as practical.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6. DISCONTINUED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Acxiom Marketing Solutions business ("AMS")</w:t>
      </w:r>
    </w:p>
    <w:p>
      <w:pPr>
        <w:spacing w:after="0" w:line="25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fiscal 2019, the Company completed the sale of its AMS business to The Interpublic Group of Companies, Inc. (“IPG”) for $2.3 billion in cash. The business qualified for treatment as discontinued operations during fiscal 2019. Accordingly, the results of operations, cash flows and the balance sheet amounts pertaining to AMS, for all periods reported, have been classified as discontinued operations in the condensed consolidated financial statements.</w:t>
      </w:r>
    </w:p>
    <w:p>
      <w:pPr>
        <w:spacing w:after="0" w:line="2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Results of operations of AMS for the three months ended June 30, 2018 are segregated and included in earnings from discontinued operations, net of tax, in the condensed consolidated statements of operations.</w:t>
      </w:r>
    </w:p>
    <w:p>
      <w:pPr>
        <w:sectPr>
          <w:pgSz w:w="11900" w:h="16838" w:orient="portrait"/>
          <w:cols w:equalWidth="0" w:num="1">
            <w:col w:w="11420"/>
          </w:cols>
          <w:pgMar w:left="240" w:top="9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949" w:right="239" w:bottom="1440" w:gutter="0" w:footer="0" w:header="0"/>
          <w:type w:val="continuous"/>
        </w:sectPr>
      </w:pPr>
    </w:p>
    <w:bookmarkStart w:id="14" w:name="page15"/>
    <w:bookmarkEnd w:id="14"/>
    <w:p>
      <w:pPr>
        <w:ind w:right="520"/>
        <w:spacing w:after="0" w:line="262" w:lineRule="auto"/>
        <w:rPr>
          <w:sz w:val="20"/>
          <w:szCs w:val="20"/>
          <w:color w:val="auto"/>
        </w:rPr>
      </w:pPr>
      <w:r>
        <w:rPr>
          <w:rFonts w:ascii="Arial" w:cs="Arial" w:eastAsia="Arial" w:hAnsi="Arial"/>
          <w:sz w:val="18"/>
          <w:szCs w:val="18"/>
          <w:color w:val="auto"/>
        </w:rPr>
        <w:t>The following is a reconciliation of the major classes of line items constituting earnings from discontinued operations, net of tax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rPr>
              <w:t>For the three</w:t>
            </w:r>
          </w:p>
        </w:tc>
      </w:tr>
      <w:tr>
        <w:trPr>
          <w:trHeight w:val="162"/>
        </w:trPr>
        <w:tc>
          <w:tcPr>
            <w:tcW w:w="994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 June</w:t>
            </w:r>
          </w:p>
        </w:tc>
      </w:tr>
      <w:tr>
        <w:trPr>
          <w:trHeight w:val="196"/>
        </w:trPr>
        <w:tc>
          <w:tcPr>
            <w:tcW w:w="9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30, 2018</w:t>
            </w:r>
          </w:p>
        </w:tc>
      </w:tr>
      <w:tr>
        <w:trPr>
          <w:trHeight w:val="25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164,489</w:t>
            </w:r>
          </w:p>
        </w:tc>
      </w:tr>
      <w:tr>
        <w:trPr>
          <w:trHeight w:val="25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93,617</w:t>
            </w:r>
          </w:p>
        </w:tc>
      </w:tr>
      <w:tr>
        <w:trPr>
          <w:trHeight w:val="257"/>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70,872</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3"/>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r>
      <w:tr>
        <w:trPr>
          <w:trHeight w:val="250"/>
        </w:trPr>
        <w:tc>
          <w:tcPr>
            <w:tcW w:w="99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21,527</w:t>
            </w:r>
          </w:p>
        </w:tc>
      </w:tr>
      <w:tr>
        <w:trPr>
          <w:trHeight w:val="263"/>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r>
      <w:tr>
        <w:trPr>
          <w:trHeight w:val="250"/>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and other items, net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50"/>
        </w:trPr>
        <w:tc>
          <w:tcPr>
            <w:tcW w:w="9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46,971</w:t>
            </w:r>
          </w:p>
        </w:tc>
      </w:tr>
      <w:tr>
        <w:trPr>
          <w:trHeight w:val="25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r>
      <w:tr>
        <w:trPr>
          <w:trHeight w:val="257"/>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50"/>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before income taxes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21,231</w:t>
            </w:r>
          </w:p>
        </w:tc>
      </w:tr>
      <w:tr>
        <w:trPr>
          <w:trHeight w:val="25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 (benefit)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r>
      <w:tr>
        <w:trPr>
          <w:trHeight w:val="282"/>
        </w:trPr>
        <w:tc>
          <w:tcPr>
            <w:tcW w:w="9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Earnings from discontinued operations, 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interest expense was allocated to discontinued operations.</w:t>
      </w:r>
    </w:p>
    <w:p>
      <w:pPr>
        <w:spacing w:after="0" w:line="25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Company entered into certain agreements with AMS in which services will be provided from the Company to AMS, and from AMS to the Company. The terms of these agreements are primarily 60 months from the date of sale.</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inflows and outflows related to the agreements are included in cash flows from operating activities in the condensed consolidated statements of cash flows. Revenues and expenses related to the agreements are included in loss from operations in the condensed consolidated statement of operations. The related cash inflows and outflows and revenues and costs for the three months ended June 30, 2019 was (dollars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rPr>
              <w:t>For the three</w:t>
            </w:r>
          </w:p>
        </w:tc>
      </w:tr>
      <w:tr>
        <w:trPr>
          <w:trHeight w:val="162"/>
        </w:trPr>
        <w:tc>
          <w:tcPr>
            <w:tcW w:w="994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 June</w:t>
            </w:r>
          </w:p>
        </w:tc>
      </w:tr>
      <w:tr>
        <w:trPr>
          <w:trHeight w:val="196"/>
        </w:trPr>
        <w:tc>
          <w:tcPr>
            <w:tcW w:w="9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30, 2019</w:t>
            </w:r>
          </w:p>
        </w:tc>
      </w:tr>
      <w:tr>
        <w:trPr>
          <w:trHeight w:val="256"/>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inflows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Cash outflows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4,847</w:t>
            </w:r>
          </w:p>
        </w:tc>
      </w:tr>
      <w:tr>
        <w:trPr>
          <w:trHeight w:val="277"/>
        </w:trPr>
        <w:tc>
          <w:tcPr>
            <w:tcW w:w="9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50"/>
        </w:trPr>
        <w:tc>
          <w:tcPr>
            <w:tcW w:w="9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12,598</w:t>
            </w:r>
          </w:p>
        </w:tc>
      </w:tr>
      <w:tr>
        <w:trPr>
          <w:trHeight w:val="26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r>
    </w:tbl>
    <w:p>
      <w:pPr>
        <w:spacing w:after="0" w:line="350"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revenues amount includes approximately $5.1 million of revenue from AMS's resell of LiveRamp services to its customers. These amounts were also reported in the prior year as revenues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49" w:right="239" w:bottom="1440" w:gutter="0" w:footer="0" w:header="0"/>
        </w:sectPr>
      </w:pPr>
    </w:p>
    <w:bookmarkStart w:id="15" w:name="page16"/>
    <w:bookmarkEnd w:id="15"/>
    <w:p>
      <w:pPr>
        <w:ind w:right="8280" w:firstLine="8"/>
        <w:spacing w:after="0" w:line="547"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STOCK-BASED COMPENSATION: </w:t>
      </w:r>
      <w:r>
        <w:rPr>
          <w:rFonts w:ascii="Arial" w:cs="Arial" w:eastAsia="Arial" w:hAnsi="Arial"/>
          <w:sz w:val="17"/>
          <w:szCs w:val="17"/>
          <w:u w:val="single" w:color="auto"/>
          <w:color w:val="auto"/>
        </w:rPr>
        <w:t>Stock-based Compensation Plans</w:t>
      </w:r>
    </w:p>
    <w:p>
      <w:pPr>
        <w:ind w:right="140"/>
        <w:spacing w:after="0" w:line="256" w:lineRule="auto"/>
        <w:rPr>
          <w:sz w:val="20"/>
          <w:szCs w:val="20"/>
          <w:color w:val="auto"/>
        </w:rPr>
      </w:pPr>
      <w:r>
        <w:rPr>
          <w:rFonts w:ascii="Arial" w:cs="Arial" w:eastAsia="Arial" w:hAnsi="Arial"/>
          <w:sz w:val="18"/>
          <w:szCs w:val="18"/>
          <w:color w:val="auto"/>
        </w:rPr>
        <w:t>The Company has stock option and equity compensation plans for which a total of 42.3 million shares of the Company’s common stock have been reserved for issuance since the inception of the plans. At June 30, 2019, there were a total of 11.3 million shares available for future grants under the plans.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activity for the three months ended June 30, 2019, by award type, was (dollars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20" w:type="dxa"/>
            <w:vAlign w:val="bottom"/>
            <w:gridSpan w:val="5"/>
          </w:tcPr>
          <w:p>
            <w:pPr>
              <w:jc w:val="right"/>
              <w:ind w:right="672"/>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color w:val="auto"/>
              </w:rPr>
              <w:t>Performance stock options</w:t>
            </w:r>
          </w:p>
        </w:tc>
        <w:tc>
          <w:tcPr>
            <w:tcW w:w="4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400" w:type="dxa"/>
            <w:vAlign w:val="bottom"/>
            <w:tcBorders>
              <w:top w:val="single" w:sz="8" w:color="D9D9D9"/>
              <w:bottom w:val="single" w:sz="8" w:color="D9D9D9"/>
            </w:tcBorders>
            <w:shd w:val="clear" w:color="auto" w:fill="CCEEFF"/>
          </w:tcPr>
          <w:p>
            <w:pPr>
              <w:spacing w:after="0"/>
              <w:rPr>
                <w:sz w:val="21"/>
                <w:szCs w:val="21"/>
                <w:color w:val="auto"/>
              </w:rPr>
            </w:pPr>
          </w:p>
        </w:tc>
        <w:tc>
          <w:tcPr>
            <w:tcW w:w="1260" w:type="dxa"/>
            <w:vAlign w:val="bottom"/>
            <w:tcBorders>
              <w:top w:val="single" w:sz="8" w:color="D9D9D9"/>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D9D9D9"/>
              <w:bottom w:val="single" w:sz="8" w:color="D9D9D9"/>
            </w:tcBorders>
            <w:shd w:val="clear" w:color="auto" w:fill="CCEEFF"/>
          </w:tcPr>
          <w:p>
            <w:pPr>
              <w:spacing w:after="0"/>
              <w:rPr>
                <w:sz w:val="21"/>
                <w:szCs w:val="21"/>
                <w:color w:val="auto"/>
              </w:rPr>
            </w:pPr>
          </w:p>
        </w:tc>
        <w:tc>
          <w:tcPr>
            <w:tcW w:w="420" w:type="dxa"/>
            <w:vAlign w:val="bottom"/>
            <w:tcBorders>
              <w:top w:val="single" w:sz="8" w:color="D9D9D9"/>
              <w:bottom w:val="single" w:sz="8" w:color="D9D9D9"/>
            </w:tcBorders>
            <w:shd w:val="clear" w:color="auto" w:fill="CCEEFF"/>
          </w:tcPr>
          <w:p>
            <w:pPr>
              <w:spacing w:after="0"/>
              <w:rPr>
                <w:sz w:val="21"/>
                <w:szCs w:val="21"/>
                <w:color w:val="auto"/>
              </w:rPr>
            </w:pPr>
          </w:p>
        </w:tc>
        <w:tc>
          <w:tcPr>
            <w:tcW w:w="1200" w:type="dxa"/>
            <w:vAlign w:val="bottom"/>
            <w:tcBorders>
              <w:top w:val="single" w:sz="8" w:color="D9D9D9"/>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Arbor acquisition consideration holdback</w:t>
            </w:r>
          </w:p>
        </w:tc>
        <w:tc>
          <w:tcPr>
            <w:tcW w:w="400" w:type="dxa"/>
            <w:vAlign w:val="bottom"/>
            <w:tcBorders>
              <w:bottom w:val="single" w:sz="8" w:color="D9D9D9"/>
            </w:tcBorders>
          </w:tcPr>
          <w:p>
            <w:pPr>
              <w:spacing w:after="0"/>
              <w:rPr>
                <w:sz w:val="21"/>
                <w:szCs w:val="21"/>
                <w:color w:val="auto"/>
              </w:rPr>
            </w:pPr>
          </w:p>
        </w:tc>
        <w:tc>
          <w:tcPr>
            <w:tcW w:w="12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D9D9D9"/>
            </w:tcBorders>
          </w:tcPr>
          <w:p>
            <w:pPr>
              <w:spacing w:after="0"/>
              <w:rPr>
                <w:sz w:val="21"/>
                <w:szCs w:val="21"/>
                <w:color w:val="auto"/>
              </w:rPr>
            </w:pPr>
          </w:p>
        </w:tc>
        <w:tc>
          <w:tcPr>
            <w:tcW w:w="420" w:type="dxa"/>
            <w:vAlign w:val="bottom"/>
            <w:tcBorders>
              <w:bottom w:val="single" w:sz="8" w:color="D9D9D9"/>
            </w:tcBorders>
          </w:tcPr>
          <w:p>
            <w:pPr>
              <w:spacing w:after="0"/>
              <w:rPr>
                <w:sz w:val="21"/>
                <w:szCs w:val="21"/>
                <w:color w:val="auto"/>
              </w:rPr>
            </w:pPr>
          </w:p>
        </w:tc>
        <w:tc>
          <w:tcPr>
            <w:tcW w:w="120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Pacific Data Partners ("PDP) assumed performance plan</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non-employee stock-based compensation</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non-cash stock-based compensation included in the condensed consolidated statements</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operations</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color w:val="auto"/>
              </w:rPr>
              <w:t>Less expense related to liability-based equity awards</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of discontinued operations</w:t>
            </w:r>
          </w:p>
        </w:tc>
        <w:tc>
          <w:tcPr>
            <w:tcW w:w="4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Total non-cash stock-based compensation included in the condensed consolidated statements</w:t>
            </w: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480" w:type="dxa"/>
            <w:vAlign w:val="bottom"/>
            <w:tcBorders>
              <w:top w:val="single" w:sz="8" w:color="auto"/>
            </w:tcBorders>
            <w:gridSpan w:val="2"/>
            <w:vMerge w:val="restart"/>
          </w:tcPr>
          <w:p>
            <w:pPr>
              <w:jc w:val="right"/>
              <w:ind w:right="3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20" w:type="dxa"/>
            <w:vAlign w:val="bottom"/>
          </w:tcPr>
          <w:p>
            <w:pPr>
              <w:ind w:left="20"/>
              <w:spacing w:after="0" w:line="203" w:lineRule="exact"/>
              <w:rPr>
                <w:sz w:val="20"/>
                <w:szCs w:val="20"/>
                <w:color w:val="auto"/>
              </w:rPr>
            </w:pPr>
            <w:r>
              <w:rPr>
                <w:rFonts w:ascii="Arial" w:cs="Arial" w:eastAsia="Arial" w:hAnsi="Arial"/>
                <w:sz w:val="18"/>
                <w:szCs w:val="18"/>
                <w:color w:val="auto"/>
              </w:rPr>
              <w:t>of equity</w:t>
            </w:r>
          </w:p>
        </w:tc>
        <w:tc>
          <w:tcPr>
            <w:tcW w:w="4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9560" w:type="dxa"/>
            <w:vAlign w:val="bottom"/>
            <w:gridSpan w:val="4"/>
          </w:tcPr>
          <w:p>
            <w:pPr>
              <w:spacing w:after="0"/>
              <w:rPr>
                <w:sz w:val="20"/>
                <w:szCs w:val="20"/>
                <w:color w:val="auto"/>
              </w:rPr>
            </w:pPr>
            <w:r>
              <w:rPr>
                <w:rFonts w:ascii="Arial" w:cs="Arial" w:eastAsia="Arial" w:hAnsi="Arial"/>
                <w:sz w:val="18"/>
                <w:szCs w:val="18"/>
                <w:color w:val="auto"/>
              </w:rPr>
              <w:t>The effect of stock-based compensation expense on income, by financial statement line item, was (dollars in millions):</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5"/>
          </w:tcPr>
          <w:p>
            <w:pPr>
              <w:jc w:val="right"/>
              <w:ind w:right="652"/>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non-cash stock-based compensation included in the condensed consolidated statements</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of operations</w:t>
            </w:r>
          </w:p>
        </w:tc>
        <w:tc>
          <w:tcPr>
            <w:tcW w:w="4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provides the expected future expense for all of the Company's outstanding equity awards at June 30, 2019, by award type. The amount for 2020 represents the remaining nine months ending March 31, 2020. All other periods represent fiscal years ending March 31 (dollars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During the year ended: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10"/>
        </w:trPr>
        <w:tc>
          <w:tcPr>
            <w:tcW w:w="35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r>
      <w:tr>
        <w:trPr>
          <w:trHeight w:val="25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41.2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PDP assumed performance plan</w:t>
            </w: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50"/>
        </w:trPr>
        <w:tc>
          <w:tcPr>
            <w:tcW w:w="35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54.4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w:t>
            </w:r>
          </w:p>
        </w:tc>
      </w:tr>
      <w:tr>
        <w:trPr>
          <w:trHeight w:val="27"/>
        </w:trPr>
        <w:tc>
          <w:tcPr>
            <w:tcW w:w="3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24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320"/>
          </w:cols>
          <w:pgMar w:left="240" w:top="94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Stock Option Activity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the three months ended June 30, 2019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8"/>
                <w:szCs w:val="18"/>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478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8"/>
                <w:szCs w:val="18"/>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8"/>
                <w:szCs w:val="18"/>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rPr>
              <w:t>Intrinsic value</w:t>
            </w:r>
          </w:p>
        </w:tc>
      </w:tr>
      <w:tr>
        <w:trPr>
          <w:trHeight w:val="222"/>
        </w:trPr>
        <w:tc>
          <w:tcPr>
            <w:tcW w:w="4780" w:type="dxa"/>
            <w:vAlign w:val="bottom"/>
          </w:tcPr>
          <w:p>
            <w:pPr>
              <w:spacing w:after="0"/>
              <w:rPr>
                <w:sz w:val="19"/>
                <w:szCs w:val="19"/>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9"/>
                <w:szCs w:val="19"/>
                <w:color w:val="auto"/>
              </w:rPr>
            </w:pPr>
          </w:p>
        </w:tc>
        <w:tc>
          <w:tcPr>
            <w:tcW w:w="1520" w:type="dxa"/>
            <w:vAlign w:val="bottom"/>
          </w:tcPr>
          <w:p>
            <w:pPr>
              <w:jc w:val="center"/>
              <w:ind w:right="117"/>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9"/>
                <w:szCs w:val="19"/>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 years)</w:t>
            </w:r>
          </w:p>
        </w:tc>
        <w:tc>
          <w:tcPr>
            <w:tcW w:w="160" w:type="dxa"/>
            <w:vAlign w:val="bottom"/>
          </w:tcPr>
          <w:p>
            <w:pPr>
              <w:spacing w:after="0"/>
              <w:rPr>
                <w:sz w:val="19"/>
                <w:szCs w:val="19"/>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(24,381)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57"/>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canceled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1,347,709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45,125</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27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June 30, 2019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1,278,265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aggregate intrinsic value at period end represents the total pre-tax intrinsic value (the difference between LiveRamp’s closing stock price on the last trading day of the period and the exercise price for each in-the-money option) that would have been received by the option holders had option holders exercised their options on June 30, 2019. This amount changes based upon changes in the fair market value of LiveRamp’s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outstanding and exercisable as of June 30, 2019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auto"/>
            </w:tcBorders>
            <w:gridSpan w:val="4"/>
          </w:tcPr>
          <w:p>
            <w:pPr>
              <w:jc w:val="right"/>
              <w:ind w:right="1058"/>
              <w:spacing w:after="0"/>
              <w:rPr>
                <w:sz w:val="20"/>
                <w:szCs w:val="20"/>
                <w:color w:val="auto"/>
              </w:rPr>
            </w:pPr>
            <w:r>
              <w:rPr>
                <w:rFonts w:ascii="Arial" w:cs="Arial" w:eastAsia="Arial" w:hAnsi="Arial"/>
                <w:sz w:val="14"/>
                <w:szCs w:val="14"/>
                <w:b w:val="1"/>
                <w:bCs w:val="1"/>
                <w:color w:val="auto"/>
              </w:rPr>
              <w:t>Options exercisable</w:t>
            </w:r>
          </w:p>
        </w:tc>
      </w:tr>
      <w:tr>
        <w:trPr>
          <w:trHeight w:val="204"/>
        </w:trPr>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Range of</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220" w:type="dxa"/>
            <w:vAlign w:val="bottom"/>
          </w:tcPr>
          <w:p>
            <w:pPr>
              <w:spacing w:after="0"/>
              <w:rPr>
                <w:sz w:val="18"/>
                <w:szCs w:val="18"/>
                <w:color w:val="auto"/>
              </w:rPr>
            </w:pPr>
          </w:p>
        </w:tc>
        <w:tc>
          <w:tcPr>
            <w:tcW w:w="138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560"/>
              <w:spacing w:after="0"/>
              <w:rPr>
                <w:sz w:val="20"/>
                <w:szCs w:val="20"/>
                <w:color w:val="auto"/>
              </w:rPr>
            </w:pPr>
            <w:r>
              <w:rPr>
                <w:rFonts w:ascii="Arial" w:cs="Arial" w:eastAsia="Arial" w:hAnsi="Arial"/>
                <w:sz w:val="14"/>
                <w:szCs w:val="14"/>
                <w:b w:val="1"/>
                <w:bCs w:val="1"/>
                <w:color w:val="auto"/>
              </w:rPr>
              <w:t>Options</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price</w:t>
            </w:r>
          </w:p>
        </w:tc>
        <w:tc>
          <w:tcPr>
            <w:tcW w:w="1840" w:type="dxa"/>
            <w:vAlign w:val="bottom"/>
            <w:gridSpan w:val="2"/>
          </w:tcPr>
          <w:p>
            <w:pPr>
              <w:ind w:lef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8"/>
                <w:szCs w:val="18"/>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rPr>
              <w:t>exercise price</w:t>
            </w:r>
          </w:p>
        </w:tc>
      </w:tr>
      <w:tr>
        <w:trPr>
          <w:trHeight w:val="222"/>
        </w:trPr>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237"/>
              <w:spacing w:after="0"/>
              <w:rPr>
                <w:sz w:val="20"/>
                <w:szCs w:val="20"/>
                <w:color w:val="auto"/>
              </w:rPr>
            </w:pPr>
            <w:r>
              <w:rPr>
                <w:rFonts w:ascii="Arial" w:cs="Arial" w:eastAsia="Arial" w:hAnsi="Arial"/>
                <w:sz w:val="14"/>
                <w:szCs w:val="14"/>
                <w:b w:val="1"/>
                <w:bCs w:val="1"/>
                <w:color w:val="auto"/>
              </w:rPr>
              <w:t>per share</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192,826</w:t>
            </w: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5.1 years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709,672</w:t>
            </w:r>
          </w:p>
        </w:tc>
        <w:tc>
          <w:tcPr>
            <w:tcW w:w="100" w:type="dxa"/>
            <w:vAlign w:val="bottom"/>
          </w:tcPr>
          <w:p>
            <w:pPr>
              <w:spacing w:after="0"/>
              <w:rPr>
                <w:sz w:val="21"/>
                <w:szCs w:val="21"/>
                <w:color w:val="auto"/>
              </w:rPr>
            </w:pPr>
          </w:p>
        </w:tc>
        <w:tc>
          <w:tcPr>
            <w:tcW w:w="1820" w:type="dxa"/>
            <w:vAlign w:val="bottom"/>
            <w:gridSpan w:val="2"/>
          </w:tcPr>
          <w:p>
            <w:pPr>
              <w:ind w:left="960"/>
              <w:spacing w:after="0"/>
              <w:rPr>
                <w:sz w:val="20"/>
                <w:szCs w:val="20"/>
                <w:color w:val="auto"/>
              </w:rPr>
            </w:pPr>
            <w:r>
              <w:rPr>
                <w:rFonts w:ascii="Arial" w:cs="Arial" w:eastAsia="Arial" w:hAnsi="Arial"/>
                <w:sz w:val="18"/>
                <w:szCs w:val="18"/>
                <w:color w:val="auto"/>
              </w:rPr>
              <w:t>3.3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709,672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57"/>
        </w:trPr>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445,211</w:t>
            </w:r>
          </w:p>
        </w:tc>
        <w:tc>
          <w:tcPr>
            <w:tcW w:w="100" w:type="dxa"/>
            <w:vAlign w:val="bottom"/>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99"/>
              </w:rPr>
              <w:t>5.2 years</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445,211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r>
      <w:tr>
        <w:trPr>
          <w:trHeight w:val="250"/>
        </w:trPr>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1,347,709</w:t>
            </w:r>
          </w:p>
        </w:tc>
        <w:tc>
          <w:tcPr>
            <w:tcW w:w="100" w:type="dxa"/>
            <w:vAlign w:val="bottom"/>
          </w:tcPr>
          <w:p>
            <w:pPr>
              <w:spacing w:after="0"/>
              <w:rPr>
                <w:sz w:val="21"/>
                <w:szCs w:val="21"/>
                <w:color w:val="auto"/>
              </w:rPr>
            </w:pPr>
          </w:p>
        </w:tc>
        <w:tc>
          <w:tcPr>
            <w:tcW w:w="1820" w:type="dxa"/>
            <w:vAlign w:val="bottom"/>
            <w:gridSpan w:val="2"/>
          </w:tcPr>
          <w:p>
            <w:pPr>
              <w:ind w:left="960"/>
              <w:spacing w:after="0"/>
              <w:rPr>
                <w:sz w:val="20"/>
                <w:szCs w:val="20"/>
                <w:color w:val="auto"/>
              </w:rPr>
            </w:pPr>
            <w:r>
              <w:rPr>
                <w:rFonts w:ascii="Arial" w:cs="Arial" w:eastAsia="Arial" w:hAnsi="Arial"/>
                <w:sz w:val="18"/>
                <w:szCs w:val="18"/>
                <w:color w:val="auto"/>
              </w:rPr>
              <w:t>4.2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1,278,265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7"/>
        </w:trPr>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 Unit Activity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Performance stock option unit activity for the three months ended June 30, 2019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Weighted-average</w:t>
            </w:r>
          </w:p>
        </w:tc>
        <w:tc>
          <w:tcPr>
            <w:tcW w:w="1320" w:type="dxa"/>
            <w:vAlign w:val="bottom"/>
          </w:tcPr>
          <w:p>
            <w:pPr>
              <w:spacing w:after="0"/>
              <w:rPr>
                <w:sz w:val="16"/>
                <w:szCs w:val="16"/>
                <w:color w:val="auto"/>
              </w:rPr>
            </w:pPr>
          </w:p>
        </w:tc>
      </w:tr>
      <w:tr>
        <w:trPr>
          <w:trHeight w:val="216"/>
        </w:trPr>
        <w:tc>
          <w:tcPr>
            <w:tcW w:w="4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remaining</w:t>
            </w: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464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8"/>
                <w:szCs w:val="18"/>
                <w:color w:val="auto"/>
              </w:rPr>
            </w:pPr>
          </w:p>
        </w:tc>
        <w:tc>
          <w:tcPr>
            <w:tcW w:w="1600" w:type="dxa"/>
            <w:vAlign w:val="bottom"/>
          </w:tcPr>
          <w:p>
            <w:pPr>
              <w:jc w:val="center"/>
              <w:ind w:right="15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8"/>
                <w:szCs w:val="18"/>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contractual term</w:t>
            </w: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rPr>
              <w:t>intrinsic value</w:t>
            </w:r>
          </w:p>
        </w:tc>
      </w:tr>
      <w:tr>
        <w:trPr>
          <w:trHeight w:val="222"/>
        </w:trPr>
        <w:tc>
          <w:tcPr>
            <w:tcW w:w="4640" w:type="dxa"/>
            <w:vAlign w:val="bottom"/>
          </w:tcPr>
          <w:p>
            <w:pPr>
              <w:spacing w:after="0"/>
              <w:rPr>
                <w:sz w:val="19"/>
                <w:szCs w:val="19"/>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9"/>
                <w:szCs w:val="19"/>
                <w:color w:val="auto"/>
              </w:rPr>
            </w:pPr>
          </w:p>
        </w:tc>
        <w:tc>
          <w:tcPr>
            <w:tcW w:w="1600" w:type="dxa"/>
            <w:vAlign w:val="bottom"/>
          </w:tcPr>
          <w:p>
            <w:pPr>
              <w:jc w:val="center"/>
              <w:ind w:right="13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9"/>
                <w:szCs w:val="19"/>
                <w:color w:val="auto"/>
              </w:rPr>
            </w:pPr>
          </w:p>
        </w:tc>
        <w:tc>
          <w:tcPr>
            <w:tcW w:w="2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years)</w:t>
            </w:r>
          </w:p>
        </w:tc>
        <w:tc>
          <w:tcPr>
            <w:tcW w:w="1320" w:type="dxa"/>
            <w:vAlign w:val="bottom"/>
          </w:tcPr>
          <w:p>
            <w:pPr>
              <w:jc w:val="center"/>
              <w:ind w:right="14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top w:val="single" w:sz="8" w:color="CCEEFF"/>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r>
      <w:tr>
        <w:trPr>
          <w:trHeight w:val="25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r>
      <w:tr>
        <w:trPr>
          <w:trHeight w:val="27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0"/>
        </w:trPr>
        <w:tc>
          <w:tcPr>
            <w:tcW w:w="46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1"/>
        </w:trPr>
        <w:tc>
          <w:tcPr>
            <w:tcW w:w="4640" w:type="dxa"/>
            <w:vAlign w:val="bottom"/>
          </w:tcPr>
          <w:p>
            <w:pPr>
              <w:ind w:left="20"/>
              <w:spacing w:after="0"/>
              <w:rPr>
                <w:sz w:val="20"/>
                <w:szCs w:val="20"/>
                <w:color w:val="auto"/>
              </w:rPr>
            </w:pPr>
            <w:r>
              <w:rPr>
                <w:rFonts w:ascii="Arial" w:cs="Arial" w:eastAsia="Arial" w:hAnsi="Arial"/>
                <w:sz w:val="18"/>
                <w:szCs w:val="18"/>
                <w:color w:val="auto"/>
              </w:rPr>
              <w:t>Exercisable at June 30, 2019</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6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r>
      <w:tr>
        <w:trPr>
          <w:trHeight w:val="21"/>
        </w:trPr>
        <w:tc>
          <w:tcPr>
            <w:tcW w:w="46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23"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The performance stock option units outstanding at March 31, 2019 reached maturity of the relevant performance period at March 31, 2019. The units attained a 0% attainment level, resulting in cancellation of the units in the current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7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During the three months ended June 30, 2019, the Company granted time-vesting restricted stock units covering 926,461 shares of common stock with a fair value at the date of grant of $51.4 million. Of the restricted stock units granted in the current period, 78,172 vest in equal annual increments over four years, and 848,289 vest 25% at the one-year anniversary and 75% in equal quarterly increments over the subsequent three years. Grant date fair value of these units is equal to the quoted market price for the shares on the date of grant.</w:t>
      </w:r>
    </w:p>
    <w:p>
      <w:pPr>
        <w:sectPr>
          <w:pgSz w:w="11900" w:h="16838" w:orient="portrait"/>
          <w:cols w:equalWidth="0" w:num="1">
            <w:col w:w="11380"/>
          </w:cols>
          <w:pgMar w:left="240" w:top="9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931" w:right="2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Time-vesting restricted stock unit activity for the three months ended June 30, 2019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rPr>
              <w:t>fair value per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6080" w:type="dxa"/>
            <w:vAlign w:val="bottom"/>
          </w:tcPr>
          <w:p>
            <w:pPr>
              <w:spacing w:after="0"/>
              <w:rPr>
                <w:sz w:val="18"/>
                <w:szCs w:val="18"/>
                <w:color w:val="auto"/>
              </w:rPr>
            </w:pP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8"/>
                <w:szCs w:val="18"/>
                <w:color w:val="auto"/>
              </w:rPr>
            </w:pPr>
          </w:p>
        </w:tc>
        <w:tc>
          <w:tcPr>
            <w:tcW w:w="1580" w:type="dxa"/>
            <w:vAlign w:val="bottom"/>
          </w:tcPr>
          <w:p>
            <w:pPr>
              <w:jc w:val="center"/>
              <w:ind w:right="138"/>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r>
      <w:tr>
        <w:trPr>
          <w:trHeight w:val="222"/>
        </w:trPr>
        <w:tc>
          <w:tcPr>
            <w:tcW w:w="60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7"/>
              </w:rPr>
              <w:t>date</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5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926,461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55.48</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6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5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(142,708)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tcPr>
          <w:p>
            <w:pPr>
              <w:spacing w:after="0"/>
              <w:rPr>
                <w:sz w:val="21"/>
                <w:szCs w:val="21"/>
                <w:color w:val="auto"/>
              </w:rPr>
            </w:pPr>
          </w:p>
        </w:tc>
        <w:tc>
          <w:tcPr>
            <w:tcW w:w="1980" w:type="dxa"/>
            <w:vAlign w:val="bottom"/>
            <w:tcBorders>
              <w:bottom w:val="single" w:sz="8" w:color="CCEEFF"/>
            </w:tcBorders>
          </w:tcPr>
          <w:p>
            <w:pPr>
              <w:spacing w:after="0"/>
              <w:rPr>
                <w:sz w:val="21"/>
                <w:szCs w:val="21"/>
                <w:color w:val="auto"/>
              </w:rPr>
            </w:pPr>
          </w:p>
        </w:tc>
      </w:tr>
      <w:tr>
        <w:trPr>
          <w:trHeight w:val="28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3,693,586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total fair value of time-vesting restricted stock units vested for the three months ended June 30, 2019 was $7.9 million and is measured as the quoted market price of the Company's common stock on the vesting date for the number of shares vested.</w:t>
      </w:r>
    </w:p>
    <w:p>
      <w:pPr>
        <w:spacing w:after="0" w:line="2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the three months ended June 30, 2019, the Company granted performance-based restricted stock units covering 202,818 shares of common stock having a fair value at the date of grant of $12.3 million. The grants were made under two separate performance plans. Under the first performance plan, units covering 60,844 shares of common stock were granted having a fair value at the date of grant of $4.4 million, determined using a Monte Carlo simulation model. The units vest subject to attainment of market conditions established by the compensation committee of the board of directors (“compensation committee”) and continuous employment through the vesting date. The 60,844 units may vest in a number of shares from 0% to 200% of the award, based on the total shareholder return of LiveRamp common stock compared to total shareholder return of the Russell 2000 market index for the period from April 1, 2019 to March 31, 2022. Under the second performance plan, units covering 141,974 shares of common stock were granted having a fair value at the date of grant of $7.9 million equal to the quoted market price for the shares on the date of grant. The units vest subject to attainment of performance criteria established by the compensation committee of the board of directors. The units may vest in three equal annual increments in a number of shares from 0% to 200% of the award, based on the attainment of year-over-year revenue growth targets of each annual period from April 1, 2019 to March 31,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Non-vested performance-based restricted stock unit activity for the three months ended June 30, 2019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center"/>
              <w:ind w:right="139"/>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 per</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602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8"/>
                <w:szCs w:val="18"/>
                <w:color w:val="auto"/>
              </w:rPr>
            </w:pPr>
          </w:p>
        </w:tc>
        <w:tc>
          <w:tcPr>
            <w:tcW w:w="1580" w:type="dxa"/>
            <w:vAlign w:val="bottom"/>
          </w:tcPr>
          <w:p>
            <w:pPr>
              <w:jc w:val="center"/>
              <w:ind w:right="139"/>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r>
      <w:tr>
        <w:trPr>
          <w:trHeight w:val="222"/>
        </w:trPr>
        <w:tc>
          <w:tcPr>
            <w:tcW w:w="60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5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202,818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5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canceled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Outstanding at June 30, 2019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551,959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1"/>
        </w:trPr>
        <w:tc>
          <w:tcPr>
            <w:tcW w:w="60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Holdback</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the Company’s acquisition of Arbor in fiscal 2017, $38.3 million of the acquisition consideration otherwise payable with respect to shares of restricted Arbor common stock held by certain key employees was subject to holdback by the Company pursuant to agreements with those employees (each, a “Holdback Agreement”). The Holdback Agreement specifies the payment of the consideration in monthly installments using LiveRamp shares over a thirty month period, ending in the quarter ended June 30, 2019. At June 30, 2019, the Company had met its full obligation for the consideration holdback due to the Arbor key employees. Through June 30, 2019, the Company had recognized a total of $38.3 million expense related to the Holdback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94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PDP Assumed Performance Plan</w:t>
      </w:r>
    </w:p>
    <w:p>
      <w:pPr>
        <w:spacing w:after="0" w:line="2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fiscal 2018 acquisition of PDP, the Company assumed the outstanding performance compensation plan under the PDP 2018 Equity Compensation Plan ("PDP PSU plan"). Through June 30, 2019, the Company has recognized a total of $21.7 million related to the PDP PSU plan. At June 30, 2019, the recognized, but unpaid, balance related to the PDP PSU plan in other accrued expenses in the condensed consolidated balance sheet was $19.5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8. OTHER CURRENT AND NONCURRENT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13"/>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Post-closing receivable from IPG</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of non-qualified retirement plan</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42,917</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noncurrent assets consist of the following (dollars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assets, net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20,930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miscellaneous noncurrent assets</w:t>
            </w: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8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51,009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32,499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380" w:type="dxa"/>
            <w:vAlign w:val="bottom"/>
            <w:vMerge w:val="restart"/>
          </w:tcPr>
          <w:p>
            <w:pPr>
              <w:spacing w:after="0"/>
              <w:rPr>
                <w:sz w:val="20"/>
                <w:szCs w:val="20"/>
                <w:color w:val="auto"/>
              </w:rPr>
            </w:pPr>
            <w:r>
              <w:rPr>
                <w:rFonts w:ascii="Arial" w:cs="Arial" w:eastAsia="Arial" w:hAnsi="Arial"/>
                <w:sz w:val="18"/>
                <w:szCs w:val="18"/>
                <w:color w:val="auto"/>
              </w:rPr>
              <w:t>9. OTHER ACCRUED EXPENSES: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Other accrued expenses consist of the following (dollars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of non-qualified retirement plan</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PDP performance plan liability</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accrued expenses</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25,946</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40,916</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10. PROPERTY AND EQUIPMENT:</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3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80" w:type="dxa"/>
            <w:vAlign w:val="bottom"/>
          </w:tcPr>
          <w:p>
            <w:pPr>
              <w:spacing w:after="0"/>
              <w:rPr>
                <w:sz w:val="20"/>
                <w:szCs w:val="20"/>
                <w:color w:val="auto"/>
              </w:rPr>
            </w:pPr>
            <w:r>
              <w:rPr>
                <w:rFonts w:ascii="Arial" w:cs="Arial" w:eastAsia="Arial" w:hAnsi="Arial"/>
                <w:sz w:val="18"/>
                <w:szCs w:val="18"/>
                <w:color w:val="auto"/>
              </w:rPr>
              <w:t>Property and equipment is summarized as follows (dollars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ind w:left="20"/>
              <w:spacing w:after="0"/>
              <w:rPr>
                <w:sz w:val="20"/>
                <w:szCs w:val="20"/>
                <w:color w:val="auto"/>
              </w:rPr>
            </w:pPr>
            <w:r>
              <w:rPr>
                <w:rFonts w:ascii="Arial" w:cs="Arial" w:eastAsia="Arial" w:hAnsi="Arial"/>
                <w:sz w:val="18"/>
                <w:szCs w:val="18"/>
                <w:color w:val="auto"/>
              </w:rPr>
              <w:t>Data processing equipment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other equipment</w:t>
            </w: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68,654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64,852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44,047</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8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24,607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Depreciation expense on property and equipment was $ 5.3 million and $ 2.7 million for the three months ended June 30, 2019 and 2018, respectively. Depreciation expense for the three months ended June 30, 2019 included</w:t>
      </w:r>
    </w:p>
    <w:p>
      <w:pPr>
        <w:sectPr>
          <w:pgSz w:w="11900" w:h="16838" w:orient="portrait"/>
          <w:cols w:equalWidth="0" w:num="1">
            <w:col w:w="11360"/>
          </w:cols>
          <w:pgMar w:left="240" w:top="931" w:right="29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60"/>
          </w:cols>
          <w:pgMar w:left="240" w:top="931" w:right="299" w:bottom="1440" w:gutter="0" w:footer="0" w:header="0"/>
          <w:type w:val="continuous"/>
        </w:sectPr>
      </w:pPr>
    </w:p>
    <w:bookmarkStart w:id="19" w:name="page20"/>
    <w:bookmarkEnd w:id="19"/>
    <w:p>
      <w:pPr>
        <w:ind w:right="800"/>
        <w:spacing w:after="0" w:line="262" w:lineRule="auto"/>
        <w:rPr>
          <w:sz w:val="20"/>
          <w:szCs w:val="20"/>
          <w:color w:val="auto"/>
        </w:rPr>
      </w:pPr>
      <w:r>
        <w:rPr>
          <w:rFonts w:ascii="Arial" w:cs="Arial" w:eastAsia="Arial" w:hAnsi="Arial"/>
          <w:sz w:val="18"/>
          <w:szCs w:val="18"/>
          <w:color w:val="auto"/>
        </w:rPr>
        <w:t>$1.9 million of accelerated depreciation expense associated with the reduced useful life of certain IT equipment in connection with the Company's migration to a cloud-based data center solution.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11.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for the three months ended June 30, 2019 (dollars in thousands) was as follows: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98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r>
      <w:tr>
        <w:trPr>
          <w:trHeight w:val="256"/>
        </w:trPr>
        <w:tc>
          <w:tcPr>
            <w:tcW w:w="99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204,656</w:t>
            </w:r>
          </w:p>
        </w:tc>
        <w:tc>
          <w:tcPr>
            <w:tcW w:w="40" w:type="dxa"/>
            <w:vAlign w:val="bottom"/>
          </w:tcPr>
          <w:p>
            <w:pPr>
              <w:spacing w:after="0"/>
              <w:rPr>
                <w:sz w:val="22"/>
                <w:szCs w:val="22"/>
                <w:color w:val="auto"/>
              </w:rPr>
            </w:pPr>
          </w:p>
        </w:tc>
      </w:tr>
      <w:tr>
        <w:trPr>
          <w:trHeight w:val="250"/>
        </w:trPr>
        <w:tc>
          <w:tcPr>
            <w:tcW w:w="9960" w:type="dxa"/>
            <w:vAlign w:val="bottom"/>
            <w:gridSpan w:val="3"/>
          </w:tcPr>
          <w:p>
            <w:pPr>
              <w:ind w:left="220"/>
              <w:spacing w:after="0"/>
              <w:rPr>
                <w:sz w:val="20"/>
                <w:szCs w:val="20"/>
                <w:color w:val="auto"/>
              </w:rPr>
            </w:pPr>
            <w:r>
              <w:rPr>
                <w:rFonts w:ascii="Arial" w:cs="Arial" w:eastAsia="Arial" w:hAnsi="Arial"/>
                <w:sz w:val="18"/>
                <w:szCs w:val="18"/>
                <w:color w:val="auto"/>
              </w:rPr>
              <w:t>Acquisition of Faktor</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3,110</w:t>
            </w:r>
          </w:p>
        </w:tc>
        <w:tc>
          <w:tcPr>
            <w:tcW w:w="40" w:type="dxa"/>
            <w:vAlign w:val="bottom"/>
          </w:tcPr>
          <w:p>
            <w:pPr>
              <w:spacing w:after="0"/>
              <w:rPr>
                <w:sz w:val="21"/>
                <w:szCs w:val="21"/>
                <w:color w:val="auto"/>
              </w:rPr>
            </w:pPr>
          </w:p>
        </w:tc>
      </w:tr>
      <w:tr>
        <w:trPr>
          <w:trHeight w:val="257"/>
        </w:trPr>
        <w:tc>
          <w:tcPr>
            <w:tcW w:w="9860" w:type="dxa"/>
            <w:vAlign w:val="bottom"/>
            <w:tcBorders>
              <w:left w:val="single" w:sz="8" w:color="CCEEFF"/>
              <w:bottom w:val="single" w:sz="8" w:color="D9D9D9"/>
            </w:tcBorders>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100" w:type="dxa"/>
            <w:vAlign w:val="bottom"/>
            <w:gridSpan w:val="2"/>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2"/>
                <w:szCs w:val="22"/>
                <w:color w:val="auto"/>
              </w:rPr>
            </w:pPr>
          </w:p>
        </w:tc>
      </w:tr>
      <w:tr>
        <w:trPr>
          <w:trHeight w:val="297"/>
        </w:trPr>
        <w:tc>
          <w:tcPr>
            <w:tcW w:w="9960" w:type="dxa"/>
            <w:vAlign w:val="bottom"/>
            <w:tcBorders>
              <w:left w:val="single" w:sz="8" w:color="D9D9D9"/>
            </w:tcBorders>
            <w:gridSpan w:val="3"/>
          </w:tcPr>
          <w:p>
            <w:pPr>
              <w:ind w:left="40"/>
              <w:spacing w:after="0"/>
              <w:rPr>
                <w:sz w:val="20"/>
                <w:szCs w:val="20"/>
                <w:color w:val="auto"/>
              </w:rPr>
            </w:pPr>
            <w:r>
              <w:rPr>
                <w:rFonts w:ascii="Arial" w:cs="Arial" w:eastAsia="Arial" w:hAnsi="Arial"/>
                <w:sz w:val="18"/>
                <w:szCs w:val="18"/>
                <w:color w:val="auto"/>
              </w:rPr>
              <w:t>Balance at June 30, 2019</w:t>
            </w:r>
          </w:p>
        </w:tc>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207,778</w:t>
            </w:r>
          </w:p>
        </w:tc>
        <w:tc>
          <w:tcPr>
            <w:tcW w:w="40" w:type="dxa"/>
            <w:vAlign w:val="bottom"/>
          </w:tcPr>
          <w:p>
            <w:pPr>
              <w:spacing w:after="0"/>
              <w:rPr>
                <w:sz w:val="24"/>
                <w:szCs w:val="24"/>
                <w:color w:val="auto"/>
              </w:rPr>
            </w:pPr>
          </w:p>
        </w:tc>
      </w:tr>
      <w:tr>
        <w:trPr>
          <w:trHeight w:val="534"/>
        </w:trPr>
        <w:tc>
          <w:tcPr>
            <w:tcW w:w="9960" w:type="dxa"/>
            <w:vAlign w:val="bottom"/>
            <w:gridSpan w:val="3"/>
          </w:tcPr>
          <w:p>
            <w:pPr>
              <w:spacing w:after="0"/>
              <w:rPr>
                <w:sz w:val="20"/>
                <w:szCs w:val="20"/>
                <w:color w:val="auto"/>
              </w:rPr>
            </w:pPr>
            <w:r>
              <w:rPr>
                <w:rFonts w:ascii="Arial" w:cs="Arial" w:eastAsia="Arial" w:hAnsi="Arial"/>
                <w:sz w:val="18"/>
                <w:szCs w:val="18"/>
                <w:color w:val="auto"/>
              </w:rPr>
              <w:t>Goodwill by geography as of June 30, 2019 was: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98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auto"/>
            </w:tcBorders>
          </w:tcPr>
          <w:p>
            <w:pPr>
              <w:spacing w:after="0"/>
              <w:rPr>
                <w:sz w:val="20"/>
                <w:szCs w:val="20"/>
                <w:color w:val="auto"/>
              </w:rPr>
            </w:pPr>
          </w:p>
        </w:tc>
      </w:tr>
      <w:tr>
        <w:trPr>
          <w:trHeight w:val="256"/>
        </w:trPr>
        <w:tc>
          <w:tcPr>
            <w:tcW w:w="996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204,586</w:t>
            </w:r>
          </w:p>
        </w:tc>
        <w:tc>
          <w:tcPr>
            <w:tcW w:w="40" w:type="dxa"/>
            <w:vAlign w:val="bottom"/>
            <w:shd w:val="clear" w:color="auto" w:fill="CCEEFF"/>
          </w:tcPr>
          <w:p>
            <w:pPr>
              <w:spacing w:after="0"/>
              <w:rPr>
                <w:sz w:val="22"/>
                <w:szCs w:val="22"/>
                <w:color w:val="auto"/>
              </w:rPr>
            </w:pPr>
          </w:p>
        </w:tc>
      </w:tr>
      <w:tr>
        <w:trPr>
          <w:trHeight w:val="250"/>
        </w:trPr>
        <w:tc>
          <w:tcPr>
            <w:tcW w:w="9900" w:type="dxa"/>
            <w:vAlign w:val="bottom"/>
            <w:tcBorders>
              <w:bottom w:val="single" w:sz="8" w:color="D9D9D9"/>
            </w:tcBorders>
            <w:gridSpan w:val="2"/>
          </w:tcPr>
          <w:p>
            <w:pPr>
              <w:ind w:left="20"/>
              <w:spacing w:after="0"/>
              <w:rPr>
                <w:sz w:val="20"/>
                <w:szCs w:val="20"/>
                <w:color w:val="auto"/>
              </w:rPr>
            </w:pPr>
            <w:r>
              <w:rPr>
                <w:rFonts w:ascii="Arial" w:cs="Arial" w:eastAsia="Arial" w:hAnsi="Arial"/>
                <w:sz w:val="18"/>
                <w:szCs w:val="18"/>
                <w:color w:val="auto"/>
              </w:rPr>
              <w:t>APAC</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40" w:type="dxa"/>
            <w:vAlign w:val="bottom"/>
            <w:tcBorders>
              <w:bottom w:val="single" w:sz="8" w:color="auto"/>
            </w:tcBorders>
          </w:tcPr>
          <w:p>
            <w:pPr>
              <w:spacing w:after="0"/>
              <w:rPr>
                <w:sz w:val="21"/>
                <w:szCs w:val="21"/>
                <w:color w:val="auto"/>
              </w:rPr>
            </w:pPr>
          </w:p>
        </w:tc>
      </w:tr>
      <w:tr>
        <w:trPr>
          <w:trHeight w:val="277"/>
        </w:trPr>
        <w:tc>
          <w:tcPr>
            <w:tcW w:w="9960" w:type="dxa"/>
            <w:vAlign w:val="bottom"/>
            <w:tcBorders>
              <w:left w:val="single" w:sz="8" w:color="D9D9D9"/>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207,778</w:t>
            </w:r>
          </w:p>
        </w:tc>
        <w:tc>
          <w:tcPr>
            <w:tcW w:w="40" w:type="dxa"/>
            <w:vAlign w:val="bottom"/>
            <w:shd w:val="clear" w:color="auto" w:fill="CCEEFF"/>
          </w:tcPr>
          <w:p>
            <w:pPr>
              <w:spacing w:after="0"/>
              <w:rPr>
                <w:sz w:val="24"/>
                <w:szCs w:val="24"/>
                <w:color w:val="auto"/>
              </w:rPr>
            </w:pP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amounts allocated to intangible assets from acquisitions include developed technology, customer relationships, trade names, and publisher relationships. Amortization lives for those intangibles range from two years to six years. The following table shows the amortization activity of intangible assets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7"/>
                <w:szCs w:val="17"/>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 gross (Software)</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(49,625)</w:t>
            </w:r>
          </w:p>
        </w:tc>
      </w:tr>
      <w:tr>
        <w:trPr>
          <w:trHeight w:val="25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developed technology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r>
      <w:tr>
        <w:trPr>
          <w:trHeight w:val="216"/>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relationship/Trade name, gross (Other assets, net)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(26,128)</w:t>
            </w:r>
          </w:p>
        </w:tc>
      </w:tr>
      <w:tr>
        <w:trPr>
          <w:trHeight w:val="25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customer/trade name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r>
      <w:tr>
        <w:trPr>
          <w:trHeight w:val="216"/>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Publisher relationship, gross (Other assets, net)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23,800</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w:t>
            </w:r>
          </w:p>
        </w:tc>
      </w:tr>
      <w:tr>
        <w:trPr>
          <w:trHeight w:val="25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publisher relationship</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14,545</w:t>
            </w:r>
          </w:p>
        </w:tc>
      </w:tr>
      <w:tr>
        <w:trPr>
          <w:trHeight w:val="216"/>
        </w:trPr>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gross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113,600</w:t>
            </w:r>
          </w:p>
        </w:tc>
      </w:tr>
      <w:tr>
        <w:trPr>
          <w:trHeight w:val="25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accumulated amortization</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(85,008)</w:t>
            </w:r>
          </w:p>
        </w:tc>
      </w:tr>
      <w:tr>
        <w:trPr>
          <w:trHeight w:val="282"/>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amortization expense related to intangible assets for the three months ended June 30, 2019 and 2018 was $3.1 million and $6.1 million, respectively. The following table presents the estimated future amortization expenses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49" w:right="239" w:bottom="1440" w:gutter="0" w:footer="0" w:header="0"/>
        </w:sectPr>
      </w:pPr>
    </w:p>
    <w:bookmarkStart w:id="20" w:name="page21"/>
    <w:bookmarkEnd w:id="20"/>
    <w:p>
      <w:pPr>
        <w:ind w:right="220"/>
        <w:spacing w:after="0" w:line="262" w:lineRule="auto"/>
        <w:rPr>
          <w:sz w:val="20"/>
          <w:szCs w:val="20"/>
          <w:color w:val="auto"/>
        </w:rPr>
      </w:pPr>
      <w:r>
        <w:rPr>
          <w:rFonts w:ascii="Arial" w:cs="Arial" w:eastAsia="Arial" w:hAnsi="Arial"/>
          <w:sz w:val="18"/>
          <w:szCs w:val="18"/>
          <w:color w:val="auto"/>
        </w:rPr>
        <w:t>related to purchased intangible assets. The amount for 2020 represents the remaining nine months ending March 31, 2020. All other periods represent fiscal years ending March 31 (dollars in thousands):</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900" w:type="dxa"/>
            <w:vAlign w:val="bottom"/>
            <w:shd w:val="clear" w:color="auto" w:fill="CCEEFF"/>
          </w:tcPr>
          <w:p>
            <w:pPr>
              <w:jc w:val="right"/>
              <w:ind w:right="9390"/>
              <w:spacing w:after="0"/>
              <w:rPr>
                <w:sz w:val="20"/>
                <w:szCs w:val="20"/>
                <w:color w:val="auto"/>
              </w:rPr>
            </w:pPr>
            <w:r>
              <w:rPr>
                <w:rFonts w:ascii="Arial" w:cs="Arial" w:eastAsia="Arial" w:hAnsi="Arial"/>
                <w:sz w:val="18"/>
                <w:szCs w:val="18"/>
                <w:color w:val="auto"/>
                <w:w w:val="99"/>
              </w:rPr>
              <w:t>2020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r>
      <w:tr>
        <w:trPr>
          <w:trHeight w:val="250"/>
        </w:trPr>
        <w:tc>
          <w:tcPr>
            <w:tcW w:w="9900" w:type="dxa"/>
            <w:vAlign w:val="bottom"/>
          </w:tcPr>
          <w:p>
            <w:pPr>
              <w:jc w:val="right"/>
              <w:ind w:right="9390"/>
              <w:spacing w:after="0"/>
              <w:rPr>
                <w:sz w:val="20"/>
                <w:szCs w:val="20"/>
                <w:color w:val="auto"/>
              </w:rPr>
            </w:pPr>
            <w:r>
              <w:rPr>
                <w:rFonts w:ascii="Arial" w:cs="Arial" w:eastAsia="Arial" w:hAnsi="Arial"/>
                <w:sz w:val="18"/>
                <w:szCs w:val="18"/>
                <w:color w:val="auto"/>
                <w:w w:val="99"/>
              </w:rPr>
              <w:t>2021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8,650</w:t>
            </w:r>
          </w:p>
        </w:tc>
      </w:tr>
      <w:tr>
        <w:trPr>
          <w:trHeight w:val="263"/>
        </w:trPr>
        <w:tc>
          <w:tcPr>
            <w:tcW w:w="9900" w:type="dxa"/>
            <w:vAlign w:val="bottom"/>
            <w:shd w:val="clear" w:color="auto" w:fill="CCEEFF"/>
          </w:tcPr>
          <w:p>
            <w:pPr>
              <w:jc w:val="right"/>
              <w:ind w:right="9390"/>
              <w:spacing w:after="0"/>
              <w:rPr>
                <w:sz w:val="20"/>
                <w:szCs w:val="20"/>
                <w:color w:val="auto"/>
              </w:rPr>
            </w:pPr>
            <w:r>
              <w:rPr>
                <w:rFonts w:ascii="Arial" w:cs="Arial" w:eastAsia="Arial" w:hAnsi="Arial"/>
                <w:sz w:val="18"/>
                <w:szCs w:val="18"/>
                <w:color w:val="auto"/>
                <w:w w:val="99"/>
              </w:rPr>
              <w:t>2022</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50"/>
        </w:trPr>
        <w:tc>
          <w:tcPr>
            <w:tcW w:w="9900" w:type="dxa"/>
            <w:vAlign w:val="bottom"/>
          </w:tcPr>
          <w:p>
            <w:pPr>
              <w:jc w:val="right"/>
              <w:ind w:right="9390"/>
              <w:spacing w:after="0"/>
              <w:rPr>
                <w:sz w:val="20"/>
                <w:szCs w:val="20"/>
                <w:color w:val="auto"/>
              </w:rPr>
            </w:pPr>
            <w:r>
              <w:rPr>
                <w:rFonts w:ascii="Arial" w:cs="Arial" w:eastAsia="Arial" w:hAnsi="Arial"/>
                <w:sz w:val="18"/>
                <w:szCs w:val="18"/>
                <w:color w:val="auto"/>
                <w:w w:val="99"/>
              </w:rPr>
              <w:t>2023</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r>
      <w:tr>
        <w:trPr>
          <w:trHeight w:val="250"/>
        </w:trPr>
        <w:tc>
          <w:tcPr>
            <w:tcW w:w="99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27,169</w:t>
            </w:r>
          </w:p>
        </w:tc>
      </w:tr>
      <w:tr>
        <w:trPr>
          <w:trHeight w:val="27"/>
        </w:trPr>
        <w:tc>
          <w:tcPr>
            <w:tcW w:w="9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12.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Software is summarized as follows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computer software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51,525</w:t>
            </w: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51,525</w:t>
            </w:r>
          </w:p>
        </w:tc>
      </w:tr>
      <w:tr>
        <w:trPr>
          <w:trHeight w:val="25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Acquired developed technology</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54,000</w:t>
            </w:r>
          </w:p>
        </w:tc>
      </w:tr>
      <w:tr>
        <w:trPr>
          <w:trHeight w:val="257"/>
        </w:trPr>
        <w:tc>
          <w:tcPr>
            <w:tcW w:w="8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105,525</w:t>
            </w:r>
          </w:p>
        </w:tc>
      </w:tr>
      <w:tr>
        <w:trPr>
          <w:trHeight w:val="25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99,925</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98,664</w:t>
            </w:r>
          </w:p>
        </w:tc>
      </w:tr>
      <w:tr>
        <w:trPr>
          <w:trHeight w:val="275"/>
        </w:trPr>
        <w:tc>
          <w:tcPr>
            <w:tcW w:w="8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Amortization expense related to internally developed computer software was $1.2 million and $4.1 million for the three months ended June 30, 2019 and 2018, respectively, including $0.8 million and $3.6 million, respectively, related to acquired developed technology as part of recent acquisitions.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13. ALLOWANCE FOR DOUBTFUL ACCOUNTS: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Trade accounts receivable are presented net of allowances for doubtful accounts, returns and credits of $3.4 million at June 30, 2019 and $3.0 million at March 31,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14. RESTRUCTURING, IMPAIRMENT AND OTHER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for the three months ended June 30, 2019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Associate-related</w:t>
            </w:r>
          </w:p>
        </w:tc>
        <w:tc>
          <w:tcPr>
            <w:tcW w:w="3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Lease</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6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reserves</w:t>
            </w:r>
          </w:p>
        </w:tc>
        <w:tc>
          <w:tcPr>
            <w:tcW w:w="34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accruals</w:t>
            </w:r>
          </w:p>
        </w:tc>
        <w:tc>
          <w:tcPr>
            <w:tcW w:w="380" w:type="dxa"/>
            <w:vAlign w:val="bottom"/>
          </w:tcPr>
          <w:p>
            <w:pPr>
              <w:spacing w:after="0"/>
              <w:rPr>
                <w:sz w:val="17"/>
                <w:szCs w:val="17"/>
                <w:color w:val="auto"/>
              </w:rPr>
            </w:pPr>
          </w:p>
        </w:tc>
        <w:tc>
          <w:tcPr>
            <w:tcW w:w="1280" w:type="dxa"/>
            <w:vAlign w:val="bottom"/>
          </w:tcPr>
          <w:p>
            <w:pPr>
              <w:jc w:val="right"/>
              <w:ind w:right="594"/>
              <w:spacing w:after="0"/>
              <w:rPr>
                <w:sz w:val="20"/>
                <w:szCs w:val="20"/>
                <w:color w:val="auto"/>
              </w:rPr>
            </w:pPr>
            <w:r>
              <w:rPr>
                <w:rFonts w:ascii="Arial" w:cs="Arial" w:eastAsia="Arial" w:hAnsi="Arial"/>
                <w:sz w:val="14"/>
                <w:szCs w:val="14"/>
                <w:b w:val="1"/>
                <w:bCs w:val="1"/>
                <w:color w:val="auto"/>
              </w:rPr>
              <w:t>Total</w:t>
            </w:r>
          </w:p>
        </w:tc>
      </w:tr>
      <w:tr>
        <w:trPr>
          <w:trHeight w:val="25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w:t>
            </w:r>
          </w:p>
        </w:tc>
      </w:tr>
      <w:tr>
        <w:trPr>
          <w:trHeight w:val="250"/>
        </w:trPr>
        <w:tc>
          <w:tcPr>
            <w:tcW w:w="6120" w:type="dxa"/>
            <w:vAlign w:val="bottom"/>
          </w:tcPr>
          <w:p>
            <w:pPr>
              <w:ind w:left="20"/>
              <w:spacing w:after="0"/>
              <w:rPr>
                <w:sz w:val="20"/>
                <w:szCs w:val="20"/>
                <w:color w:val="auto"/>
              </w:rPr>
            </w:pPr>
            <w:r>
              <w:rPr>
                <w:rFonts w:ascii="Arial" w:cs="Arial" w:eastAsia="Arial" w:hAnsi="Arial"/>
                <w:sz w:val="18"/>
                <w:szCs w:val="18"/>
                <w:color w:val="auto"/>
              </w:rPr>
              <w:t>Restructuring charges and adjustments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5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57"/>
        </w:trPr>
        <w:tc>
          <w:tcPr>
            <w:tcW w:w="612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r>
      <w:tr>
        <w:trPr>
          <w:trHeight w:val="21"/>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above balances are included in other accrued expenses and other liabilities on the condensed consolidated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Plans</w:t>
      </w:r>
    </w:p>
    <w:p>
      <w:pPr>
        <w:spacing w:after="0" w:line="22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In the three months ended June 30, 2019, the Company recorded a total of $1.8 million in restructuring charges and adjustments included in gains, losses and other items, net in the condensed consolidated statement of operations. The current year expense included adjustments to fiscal 2019 restructuring plans for associates in the United States of $1.9 million, and lease accruals and adjustments of $(0.1) million.</w:t>
      </w:r>
    </w:p>
    <w:p>
      <w:pPr>
        <w:sectPr>
          <w:pgSz w:w="11900" w:h="16838" w:orient="portrait"/>
          <w:cols w:equalWidth="0" w:num="1">
            <w:col w:w="11400"/>
          </w:cols>
          <w:pgMar w:left="240" w:top="94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949" w:right="259" w:bottom="1440" w:gutter="0" w:footer="0" w:header="0"/>
          <w:type w:val="continuous"/>
        </w:sectPr>
      </w:pPr>
    </w:p>
    <w:bookmarkStart w:id="21" w:name="page22"/>
    <w:bookmarkEnd w:id="21"/>
    <w:p>
      <w:pPr>
        <w:spacing w:after="0" w:line="253" w:lineRule="auto"/>
        <w:rPr>
          <w:sz w:val="20"/>
          <w:szCs w:val="20"/>
          <w:color w:val="auto"/>
        </w:rPr>
      </w:pPr>
      <w:r>
        <w:rPr>
          <w:rFonts w:ascii="Arial" w:cs="Arial" w:eastAsia="Arial" w:hAnsi="Arial"/>
          <w:sz w:val="18"/>
          <w:szCs w:val="18"/>
          <w:color w:val="auto"/>
        </w:rPr>
        <w:t>In fiscal 2019, the Company recorded a total of $7.7 million in restructuring charges and adjustments included in gains, losses and other items, net in the consolidated statement of operations. The fiscal year 2019 expense included restructuring plans primarily for associates in the United States and Asia-Pacific of $6.1 million, lease accruals and adjustments of $0.8 million, and leasehold improvement write-offs of $0.8 million. Of the total fiscal 2019 plans associate-related accruals, $5.7 million remained accrued at March 31, 2019. The associate-related costs are expected to be paid out in fiscal 2020.</w:t>
      </w:r>
    </w:p>
    <w:p>
      <w:pPr>
        <w:spacing w:after="0" w:line="23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fiscal 2018, the Company recorded a total of $2.7 million in restructuring charges and adjustments included in gains, losses and other items, net in the condensed consolidated statement of operations. The expense included severance and other associate-related charges of $ 0.2 million, and lease accruals and adjustments of $2.5 million. The associate-related accruals of $0.2 million were paid out in fiscal 2019. The lease accruals and adjustments of $2.5 million result from the Company's exit from certain leased office facilities.</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fiscal 2017, the Company recorded a total of $3 million in restructuring charges and adjustments included in gains, losses and other items, net in the condensed consolidated statement of operations. The expense included lease accruals and adjustments of $3.0 million resulting from the Company's exit from certain leased office facilities ($1.5 million) and adjustments to estimates related to the fiscal 2015 lease accruals ($1.5 million).</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fiscal 2015, the Company recorded a total of $9.3 million in restructuring charges and adjustments included in gains, losses and other items, net in the condensed consolidated statement of operations. The expense included severance and other associate-related charges of $2.6 million, lease accruals of $4.7 million, and the write-off of leasehold improvements of $2.0 million. Of the associate-related accruals of $2.6 million, $0.3 million remained accrued as of June 30, 2019. These amounts are expected to be paid out in fiscal 2021.</w:t>
      </w:r>
    </w:p>
    <w:p>
      <w:pPr>
        <w:spacing w:after="0" w:line="2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With respect to fiscal 2015, 2017, 2018, 2019, and 2020 lease accruals and adjustments described above, the Company intends to continue subleasing the facilities to the extent possible. The liabilities will be satisfied over the remainder of the leased properties' terms, which continue through November 2025. Of the total amount accrued, $5.5 million remained accrued as of June 30, 2019. Actual sublease receipts may differ from the estimates originally made by the Company. Any future changes in the estimates or in the actual sublease income could require future adjustments to the liabilities, which would impact net earnings (loss) in the period the adjustment is recorded.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Gains, Losses and 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Gains, losses and other items for each of the periods presented are as follows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87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56"/>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plan charges and adjustments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5"/>
        </w:trPr>
        <w:tc>
          <w:tcPr>
            <w:tcW w:w="8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Matters</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is involved in various claims and legal proceedings.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 There are currently no matters pending against the Company or its subsidiaries for which the potential exposure is considered 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949"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16. INCOME TAX:</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determining the quarterly provision for income taxes, the Company applies its estimated annual effective income tax rate to its year-to-date pretax income or loss and adjusts for discrete tax items in the period. The estimated annual effective income tax rate for the current fiscal year is primarily driven by the valuation allowance, with a lesser impact attributable to federal research tax credits and the benefit of certain state tax losses, offset by income tax expenses in profitable foreign jurisdictions. Realization of the Company's net deferred tax assets is dependent upon its generation of sufficient taxable income of the proper character in future years in appropriate tax jurisdictions to obtain benefit from the reversal of temporary differences and net operating loss carryforwards. As of June 30, 2019, the Company continues to maintain a full valuation allowance on its deferred tax assets except in certain foreign jurisdictions.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17. FAIR VALUE OF FINANCIAL INSTRUMENTS:</w:t>
      </w:r>
    </w:p>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22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Cash and cash equivalents, trade receivables, unbilled and notes receivable, and trade payables - The carrying amount approximates fair value because of the short maturity of these instruments.</w:t>
      </w:r>
    </w:p>
    <w:p>
      <w:pPr>
        <w:spacing w:after="0" w:line="2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applicable accounting standards financial assets and liabilities are classified in their entirety based on the lowest level of input that is significant to the fair value measurements. The Company assigned assets and liabilities to the hierarchy in the accounting standards, which is Level 1 - quoted prices in active markets for identical assets or liabilities, Level 2 - significant other observable inputs and Level 3 - significant unobservable inputs.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balances of assets measured at fair value as of June 30, 2019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43"/>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r>
      <w:tr>
        <w:trPr>
          <w:trHeight w:val="250"/>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15,263</w:t>
            </w:r>
          </w:p>
        </w:tc>
      </w:tr>
      <w:tr>
        <w:trPr>
          <w:trHeight w:val="277"/>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18. SUBSEQUENT EVENT</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July 2, 2019, the Company closed its merger agreement with Data Plus Math Corporation, a media measurement company that works with brands, agencies, cable operators, streaming TV services and networks to tie cross-screen ad exposure with real-world outcomes, for approximately $117 million in cash. The aggregate value of merger consideration with respect to assumed options and the shares of common stock of the Company, subject to holdback agreements with certain key employees, is expected to equal approximately $33 million and be reported as non-cash stock compensation over the applicable vesting periods. The initial accounting for this acquisition is incomplete due to the timing of the acquisition, including the disclosure of the major classes of assets acquired and liabilities assumed and supplemental pro forma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94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 and Overview</w:t>
      </w:r>
    </w:p>
    <w:p>
      <w:pPr>
        <w:spacing w:after="0" w:line="274" w:lineRule="exact"/>
        <w:rPr>
          <w:sz w:val="20"/>
          <w:szCs w:val="20"/>
          <w:color w:val="auto"/>
        </w:rPr>
      </w:pPr>
    </w:p>
    <w:p>
      <w:pPr>
        <w:ind w:right="660"/>
        <w:spacing w:after="0" w:line="254" w:lineRule="auto"/>
        <w:rPr>
          <w:sz w:val="20"/>
          <w:szCs w:val="20"/>
          <w:color w:val="auto"/>
        </w:rPr>
      </w:pPr>
      <w:r>
        <w:rPr>
          <w:rFonts w:ascii="Arial" w:cs="Arial" w:eastAsia="Arial" w:hAnsi="Arial"/>
          <w:sz w:val="18"/>
          <w:szCs w:val="18"/>
          <w:color w:val="auto"/>
        </w:rPr>
        <w:t>LiveRamp is a global technology company with a vision of becoming the trusted platform that makes all customer data accessible and meaningful. We provide an enterprise customer management platform that helps organizations better leverage customer data to deliver innovative products and meaningful experiences. Powered by its core capabilities in data accessibility, identity, connectivity and data stewardship. LiveRamp makes it safe and easy to connect the world's data, people and applications.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LiveRamp is a Delaware corporation headquartered in San Francisco, California. Our common stock is listed on the New York Stock Exchange under the symbol “RAMP.” We serve a global client base from locations in the United States, Europe, and the Asia-Pacific (“APAC”) region. Our direct client list includes many of the world’s largest and best-known brands across most major industry verticals, including but not limited to financial, insurance and investment services, retail, automotive, telecommunications, high tech, consumer packaged goods, healthcare, travel, entertainment, non-profit, and government. Through our extensive reseller and partnership network, we serve thousands of additional companies, establishing LiveRamp as a foundational and neutral enabler of the customer experience economy.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w:t>
      </w:r>
    </w:p>
    <w:p>
      <w:pPr>
        <w:spacing w:after="0" w:line="27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 operates as one operating segment. An operating segment is defined as a component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LiveRamp recognizes revenue from the following sources: (i) </w:t>
      </w:r>
      <w:r>
        <w:rPr>
          <w:rFonts w:ascii="Arial" w:cs="Arial" w:eastAsia="Arial" w:hAnsi="Arial"/>
          <w:sz w:val="18"/>
          <w:szCs w:val="18"/>
          <w:b w:val="1"/>
          <w:bCs w:val="1"/>
          <w:color w:val="auto"/>
        </w:rPr>
        <w:t>subscription revenue,</w:t>
      </w:r>
      <w:r>
        <w:rPr>
          <w:rFonts w:ascii="Arial" w:cs="Arial" w:eastAsia="Arial" w:hAnsi="Arial"/>
          <w:sz w:val="18"/>
          <w:szCs w:val="18"/>
          <w:color w:val="auto"/>
        </w:rPr>
        <w:t xml:space="preserve"> which consists primarily of subscription fees from clients accessing our platform; and (ii) </w:t>
      </w:r>
      <w:r>
        <w:rPr>
          <w:rFonts w:ascii="Arial" w:cs="Arial" w:eastAsia="Arial" w:hAnsi="Arial"/>
          <w:sz w:val="18"/>
          <w:szCs w:val="18"/>
          <w:b w:val="1"/>
          <w:bCs w:val="1"/>
          <w:color w:val="auto"/>
        </w:rPr>
        <w:t>marketplace and other revenue</w:t>
      </w:r>
      <w:r>
        <w:rPr>
          <w:rFonts w:ascii="Arial" w:cs="Arial" w:eastAsia="Arial" w:hAnsi="Arial"/>
          <w:sz w:val="18"/>
          <w:szCs w:val="18"/>
          <w:color w:val="auto"/>
        </w:rPr>
        <w:t>, which primarily consists of revenue-sharing fees generated from data transactions through our Data Store platform, and transactional usage-based revenue from arrangements with certain publishers and addressable TV providers. Our platform subscription pricing is tiered based on data volume supported by our platform.</w:t>
      </w:r>
    </w:p>
    <w:p>
      <w:pPr>
        <w:spacing w:after="0" w:line="226"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The majority of our subscription revenue is derived from subscriptions that are one year in duration and invoiced on a monthly basis, although some of our clients are entering into multi-year subscriptions.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LiveRamp Platform</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depicted in the graphic below, we power the industry’s leading enterprise customer management platform. We enable organizations to access and leverage data more effectively across the applications they use to interact with their customers. A core component of our platform is the omnichannel, deterministic identity graph that sits at its center. Leveraging this knowledgebase, the LiveRamp platform resolves a customer’s data (first-, second-, or third-party) to consumer identifiers that represent real people in a way that protects consumer privacy. This omnichannel view of the consumer can then be activated across any of the 600 partners in our ecosystem in order to support a variety of people-based marketing solutions, including:</w:t>
      </w:r>
    </w:p>
    <w:p>
      <w:pPr>
        <w:spacing w:after="0" w:line="254" w:lineRule="exact"/>
        <w:rPr>
          <w:sz w:val="20"/>
          <w:szCs w:val="20"/>
          <w:color w:val="auto"/>
        </w:rPr>
      </w:pPr>
    </w:p>
    <w:p>
      <w:pPr>
        <w:ind w:right="120" w:firstLine="332"/>
        <w:spacing w:after="0" w:line="246" w:lineRule="auto"/>
        <w:tabs>
          <w:tab w:leader="none" w:pos="431" w:val="left"/>
        </w:tabs>
        <w:numPr>
          <w:ilvl w:val="0"/>
          <w:numId w:val="7"/>
        </w:numPr>
        <w:rPr>
          <w:rFonts w:ascii="Arial" w:cs="Arial" w:eastAsia="Arial" w:hAnsi="Arial"/>
          <w:sz w:val="22"/>
          <w:szCs w:val="22"/>
          <w:color w:val="auto"/>
        </w:rPr>
      </w:pPr>
      <w:r>
        <w:rPr>
          <w:rFonts w:ascii="Arial" w:cs="Arial" w:eastAsia="Arial" w:hAnsi="Arial"/>
          <w:sz w:val="18"/>
          <w:szCs w:val="18"/>
          <w:b w:val="1"/>
          <w:bCs w:val="1"/>
          <w:i w:val="1"/>
          <w:iCs w:val="1"/>
          <w:color w:val="auto"/>
        </w:rPr>
        <w:t>Onboarding</w:t>
      </w:r>
      <w:r>
        <w:rPr>
          <w:rFonts w:ascii="Arial" w:cs="Arial" w:eastAsia="Arial" w:hAnsi="Arial"/>
          <w:sz w:val="18"/>
          <w:szCs w:val="18"/>
          <w:color w:val="auto"/>
        </w:rPr>
        <w:t>. We enable customers to leverage their first-party data in the digital and TV ecosystems through a safe and secure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matching process called data onboarding. Our technology ingests a customer’s first-party data, removes all offline data (personally-identifiable or "PII"), and replaces them with anonymized IDs called IdentityLinks, a true people-based identifier. IdentityLinks can then be distributed through direct integrations to the top platforms in the digital ecosystem, including leading DMPs and DSPs, publishers and social networks, personalization tools, and connected TV services.</w:t>
      </w:r>
    </w:p>
    <w:p>
      <w:pPr>
        <w:spacing w:after="0" w:line="256" w:lineRule="exact"/>
        <w:rPr>
          <w:rFonts w:ascii="Arial" w:cs="Arial" w:eastAsia="Arial" w:hAnsi="Arial"/>
          <w:sz w:val="22"/>
          <w:szCs w:val="22"/>
          <w:color w:val="auto"/>
        </w:rPr>
      </w:pPr>
    </w:p>
    <w:p>
      <w:pPr>
        <w:ind w:right="660" w:firstLine="332"/>
        <w:spacing w:after="0" w:line="237" w:lineRule="auto"/>
        <w:tabs>
          <w:tab w:leader="none" w:pos="431" w:val="left"/>
        </w:tabs>
        <w:numPr>
          <w:ilvl w:val="0"/>
          <w:numId w:val="7"/>
        </w:numPr>
        <w:rPr>
          <w:rFonts w:ascii="Arial" w:cs="Arial" w:eastAsia="Arial" w:hAnsi="Arial"/>
          <w:sz w:val="22"/>
          <w:szCs w:val="22"/>
          <w:color w:val="auto"/>
        </w:rPr>
      </w:pPr>
      <w:r>
        <w:rPr>
          <w:rFonts w:ascii="Arial" w:cs="Arial" w:eastAsia="Arial" w:hAnsi="Arial"/>
          <w:sz w:val="18"/>
          <w:szCs w:val="18"/>
          <w:b w:val="1"/>
          <w:bCs w:val="1"/>
          <w:i w:val="1"/>
          <w:iCs w:val="1"/>
          <w:color w:val="auto"/>
        </w:rPr>
        <w:t>Identity Resolution</w:t>
      </w:r>
      <w:r>
        <w:rPr>
          <w:rFonts w:ascii="Arial" w:cs="Arial" w:eastAsia="Arial" w:hAnsi="Arial"/>
          <w:sz w:val="18"/>
          <w:szCs w:val="18"/>
          <w:color w:val="auto"/>
        </w:rPr>
        <w:t>. We provide enterprise-level identity resolution with accuracy, reach, privacy, flexibility and scale. Our identity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capabilities are built from two complementary graphs, combining offline data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27" w:right="239" w:bottom="1440" w:gutter="0" w:footer="0" w:header="0"/>
        </w:sectPr>
      </w:pPr>
    </w:p>
    <w:bookmarkStart w:id="24" w:name="page25"/>
    <w:bookmarkEnd w:id="24"/>
    <w:p>
      <w:pPr>
        <w:ind w:right="60"/>
        <w:spacing w:after="0" w:line="253" w:lineRule="auto"/>
        <w:rPr>
          <w:sz w:val="20"/>
          <w:szCs w:val="20"/>
          <w:color w:val="auto"/>
        </w:rPr>
      </w:pPr>
      <w:r>
        <w:rPr>
          <w:rFonts w:ascii="Arial" w:cs="Arial" w:eastAsia="Arial" w:hAnsi="Arial"/>
          <w:sz w:val="18"/>
          <w:szCs w:val="18"/>
          <w:color w:val="auto"/>
        </w:rPr>
        <w:t>online data and providing the highest level of accuracy while still being privacy compliant. LiveRamp technology for PII gives brands and platforms the ability to connect and update what they know about consumers, resolving PII across enterprise databases and systems to deliver better customer experiences in a privacy-conscious manner. Our digital identity graph associates anonymous device IDs, cookie IDs and other online customer IDs from premium publishers, platforms or data providers, around an IdentityLink. This allows marketers to perform the personalized segmentation, targeting, and measurement use cases that require a consistent view of the user in anonymous spaces.</w:t>
      </w:r>
    </w:p>
    <w:p>
      <w:pPr>
        <w:spacing w:after="0" w:line="251" w:lineRule="exact"/>
        <w:rPr>
          <w:sz w:val="20"/>
          <w:szCs w:val="20"/>
          <w:color w:val="auto"/>
        </w:rPr>
      </w:pPr>
    </w:p>
    <w:p>
      <w:pPr>
        <w:ind w:firstLine="332"/>
        <w:spacing w:after="0" w:line="246" w:lineRule="auto"/>
        <w:tabs>
          <w:tab w:leader="none" w:pos="431"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Data Networks. </w:t>
      </w:r>
      <w:r>
        <w:rPr>
          <w:rFonts w:ascii="Arial" w:cs="Arial" w:eastAsia="Arial" w:hAnsi="Arial"/>
          <w:sz w:val="18"/>
          <w:szCs w:val="18"/>
          <w:color w:val="auto"/>
        </w:rPr>
        <w:t>We enable the search, discovery and distribution of data, with access to trusted industry leading third-party data globally.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LiveRamp platform allows users to organize, group and access customer data, connected via IdentityLink, to benefit from better campaign targeting and audience intelligence. Our platform also provides the tools for data providers to manage the organization, access, and operation of their data and services available across platforms, publishers, agencies, brands, and data companies. Providers and buyers can also choose to leverage our neutral data marketplace (see below for discussion on Data Store), featuring 180 providers across all verticals and data types.</w:t>
      </w:r>
    </w:p>
    <w:p>
      <w:pPr>
        <w:spacing w:after="0" w:line="256" w:lineRule="exact"/>
        <w:rPr>
          <w:rFonts w:ascii="Arial" w:cs="Arial" w:eastAsia="Arial" w:hAnsi="Arial"/>
          <w:sz w:val="22"/>
          <w:szCs w:val="22"/>
          <w:color w:val="auto"/>
        </w:rPr>
      </w:pPr>
    </w:p>
    <w:p>
      <w:pPr>
        <w:ind w:right="200" w:firstLine="332"/>
        <w:spacing w:after="0" w:line="244" w:lineRule="auto"/>
        <w:tabs>
          <w:tab w:leader="none" w:pos="431"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Measurement &amp; Analytics. </w:t>
      </w:r>
      <w:r>
        <w:rPr>
          <w:rFonts w:ascii="Arial" w:cs="Arial" w:eastAsia="Arial" w:hAnsi="Arial"/>
          <w:sz w:val="18"/>
          <w:szCs w:val="18"/>
          <w:color w:val="auto"/>
        </w:rPr>
        <w:t>We power more accurate, more complete measurement with the measurement vendors and partners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use. Our platform allows customers to combine disparate data files (typically ad exposure and customer events, like transactions), replacing customer identifiers with IdentityLinks. Customers then can use that aggregated view of each consumer for measurement of reach and frequency, sales lift, closed loop offline to online conversion and cross-channel attribution.</w:t>
      </w:r>
    </w:p>
    <w:p>
      <w:pPr>
        <w:spacing w:after="0" w:line="259" w:lineRule="exact"/>
        <w:rPr>
          <w:rFonts w:ascii="Arial" w:cs="Arial" w:eastAsia="Arial" w:hAnsi="Arial"/>
          <w:sz w:val="22"/>
          <w:szCs w:val="22"/>
          <w:color w:val="auto"/>
        </w:rPr>
      </w:pPr>
    </w:p>
    <w:p>
      <w:pPr>
        <w:ind w:firstLine="332"/>
        <w:spacing w:after="0" w:line="244" w:lineRule="auto"/>
        <w:tabs>
          <w:tab w:leader="none" w:pos="431"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Analytics Environments. </w:t>
      </w:r>
      <w:r>
        <w:rPr>
          <w:rFonts w:ascii="Arial" w:cs="Arial" w:eastAsia="Arial" w:hAnsi="Arial"/>
          <w:sz w:val="18"/>
          <w:szCs w:val="18"/>
          <w:color w:val="auto"/>
        </w:rPr>
        <w:t>We also help enable in-house data science analytics, providing an end-to-end customized 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designed for marketers looking to create an omnichannel view of their customer journey. Leveraging our identity graph, we help organizations control and aggregate all their customer data to interrogate, explore, analyze and report within our data science environment, that powers the deep functionality of a data lake.</w:t>
      </w:r>
    </w:p>
    <w:p>
      <w:pPr>
        <w:spacing w:after="0" w:line="245" w:lineRule="exact"/>
        <w:rPr>
          <w:rFonts w:ascii="Arial" w:cs="Arial" w:eastAsia="Arial" w:hAnsi="Arial"/>
          <w:sz w:val="22"/>
          <w:szCs w:val="22"/>
          <w:color w:val="auto"/>
        </w:rPr>
      </w:pPr>
    </w:p>
    <w:p>
      <w:pPr>
        <w:ind w:left="440" w:hanging="108"/>
        <w:spacing w:after="0"/>
        <w:tabs>
          <w:tab w:leader="none" w:pos="440"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Consent Management. </w:t>
      </w:r>
      <w:r>
        <w:rPr>
          <w:rFonts w:ascii="Arial" w:cs="Arial" w:eastAsia="Arial" w:hAnsi="Arial"/>
          <w:sz w:val="18"/>
          <w:szCs w:val="18"/>
          <w:color w:val="auto"/>
        </w:rPr>
        <w:t>Our Consent Management Platform ("CMP") empowers consumers to maintain their privacy while facilitating</w:t>
      </w:r>
    </w:p>
    <w:p>
      <w:pPr>
        <w:spacing w:after="0" w:line="4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business for brands and publishers. Our CMP informs website visitors about the data being collected on them and how it will be used. We provide the tools to give consumers control and choice over their personal data, publishers the solutions to operate sustainable business models, and brands the ability to advertise more relevantly and effectively.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49"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1495425</wp:posOffset>
            </wp:positionH>
            <wp:positionV relativeFrom="page">
              <wp:posOffset>603250</wp:posOffset>
            </wp:positionV>
            <wp:extent cx="4570730" cy="5316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570730" cy="5316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Consumer privacy and data protection, what we call Data Ethics, are at the center of how we design our products and services. Accordingly, the LiveRamp platform operates with technical, operational, and personnel controls designed to keep our customers’ data private and secure.</w:t>
      </w:r>
    </w:p>
    <w:p>
      <w:pPr>
        <w:spacing w:after="0" w:line="22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Our solutions are sold to enterprise marketers and the companies they partner with to execute their marketing, including agencies, marketing technology providers, publishers and data providers. Today, we work with over 690 direct customers world-wide, including approximately 20% of the Fortune 500, and serve thousands of additional customers indirectly through our reseller partnership arrangements.</w:t>
      </w:r>
    </w:p>
    <w:p>
      <w:pPr>
        <w:spacing w:after="0" w:line="248" w:lineRule="exact"/>
        <w:rPr>
          <w:sz w:val="20"/>
          <w:szCs w:val="20"/>
          <w:color w:val="auto"/>
        </w:rPr>
      </w:pPr>
    </w:p>
    <w:p>
      <w:pPr>
        <w:ind w:right="100" w:firstLine="332"/>
        <w:spacing w:after="0" w:line="242" w:lineRule="auto"/>
        <w:tabs>
          <w:tab w:leader="none" w:pos="431" w:val="left"/>
        </w:tabs>
        <w:numPr>
          <w:ilvl w:val="0"/>
          <w:numId w:val="9"/>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Brands and Agencies. </w:t>
      </w:r>
      <w:r>
        <w:rPr>
          <w:rFonts w:ascii="Arial" w:cs="Arial" w:eastAsia="Arial" w:hAnsi="Arial"/>
          <w:sz w:val="18"/>
          <w:szCs w:val="18"/>
          <w:color w:val="auto"/>
        </w:rPr>
        <w:t>We work with over 300 of the largest brands and agencies in the world, helping them execute people-based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by creating an omni-channel understanding of the consumer and activating that understanding across their choice of best-of-breed digital marketing platforms.</w:t>
      </w:r>
    </w:p>
    <w:p>
      <w:pPr>
        <w:spacing w:after="0" w:line="259" w:lineRule="exact"/>
        <w:rPr>
          <w:rFonts w:ascii="Arial" w:cs="Arial" w:eastAsia="Arial" w:hAnsi="Arial"/>
          <w:sz w:val="22"/>
          <w:szCs w:val="22"/>
          <w:color w:val="auto"/>
        </w:rPr>
      </w:pPr>
    </w:p>
    <w:p>
      <w:pPr>
        <w:ind w:firstLine="332"/>
        <w:spacing w:after="0" w:line="242" w:lineRule="auto"/>
        <w:tabs>
          <w:tab w:leader="none" w:pos="431" w:val="left"/>
        </w:tabs>
        <w:numPr>
          <w:ilvl w:val="0"/>
          <w:numId w:val="9"/>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Marketing Technology Providers. </w:t>
      </w:r>
      <w:r>
        <w:rPr>
          <w:rFonts w:ascii="Arial" w:cs="Arial" w:eastAsia="Arial" w:hAnsi="Arial"/>
          <w:sz w:val="18"/>
          <w:szCs w:val="18"/>
          <w:color w:val="auto"/>
        </w:rPr>
        <w:t>We provide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sectPr>
          <w:pgSz w:w="11900" w:h="16838" w:orient="portrait"/>
          <w:cols w:equalWidth="0" w:num="1">
            <w:col w:w="11320"/>
          </w:cols>
          <w:pgMar w:left="2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20"/>
          </w:cols>
          <w:pgMar w:left="240" w:top="1440" w:right="339" w:bottom="1440" w:gutter="0" w:footer="0" w:header="0"/>
          <w:type w:val="continuous"/>
        </w:sectPr>
      </w:pPr>
    </w:p>
    <w:bookmarkStart w:id="26" w:name="page27"/>
    <w:bookmarkEnd w:id="26"/>
    <w:p>
      <w:pPr>
        <w:ind w:right="780" w:firstLine="332"/>
        <w:spacing w:after="0" w:line="237" w:lineRule="auto"/>
        <w:tabs>
          <w:tab w:leader="none" w:pos="431"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Publishers. </w:t>
      </w:r>
      <w:r>
        <w:rPr>
          <w:rFonts w:ascii="Arial" w:cs="Arial" w:eastAsia="Arial" w:hAnsi="Arial"/>
          <w:sz w:val="18"/>
          <w:szCs w:val="18"/>
          <w:color w:val="auto"/>
        </w:rPr>
        <w:t>We enable publishers of any size to offer people-based marketing on their properties. This adds value for brands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direct access to their customers and prospects in the publisher's premium inventory.</w:t>
      </w:r>
    </w:p>
    <w:p>
      <w:pPr>
        <w:spacing w:after="0" w:line="261" w:lineRule="exact"/>
        <w:rPr>
          <w:rFonts w:ascii="Arial" w:cs="Arial" w:eastAsia="Arial" w:hAnsi="Arial"/>
          <w:sz w:val="22"/>
          <w:szCs w:val="22"/>
          <w:color w:val="auto"/>
        </w:rPr>
      </w:pPr>
    </w:p>
    <w:p>
      <w:pPr>
        <w:jc w:val="both"/>
        <w:ind w:right="60" w:firstLine="332"/>
        <w:spacing w:after="0" w:line="244" w:lineRule="auto"/>
        <w:tabs>
          <w:tab w:leader="none" w:pos="431" w:val="left"/>
        </w:tabs>
        <w:numPr>
          <w:ilvl w:val="0"/>
          <w:numId w:val="10"/>
        </w:numPr>
        <w:rPr>
          <w:rFonts w:ascii="Arial" w:cs="Arial" w:eastAsia="Arial" w:hAnsi="Arial"/>
          <w:sz w:val="22"/>
          <w:szCs w:val="22"/>
          <w:color w:val="auto"/>
        </w:rPr>
      </w:pPr>
      <w:r>
        <w:rPr>
          <w:rFonts w:ascii="Arial" w:cs="Arial" w:eastAsia="Arial" w:hAnsi="Arial"/>
          <w:sz w:val="18"/>
          <w:szCs w:val="18"/>
          <w:b w:val="1"/>
          <w:bCs w:val="1"/>
          <w:i w:val="1"/>
          <w:iCs w:val="1"/>
          <w:color w:val="auto"/>
        </w:rPr>
        <w:t xml:space="preserve">Data Owners. </w:t>
      </w:r>
      <w:r>
        <w:rPr>
          <w:rFonts w:ascii="Arial" w:cs="Arial" w:eastAsia="Arial" w:hAnsi="Arial"/>
          <w:sz w:val="18"/>
          <w:szCs w:val="18"/>
          <w:color w:val="auto"/>
        </w:rPr>
        <w:t>Leveraging our vast network of integrations, we allow data owners to easily connect to the digital ecosystem and monetize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their own data. Data can be distributed to clients or made available through the </w:t>
      </w:r>
      <w:r>
        <w:rPr>
          <w:rFonts w:ascii="Arial" w:cs="Arial" w:eastAsia="Arial" w:hAnsi="Arial"/>
          <w:sz w:val="18"/>
          <w:szCs w:val="18"/>
          <w:b w:val="1"/>
          <w:bCs w:val="1"/>
          <w:color w:val="auto"/>
        </w:rPr>
        <w:t>LiveRamp Data Store</w:t>
      </w:r>
      <w:r>
        <w:rPr>
          <w:rFonts w:ascii="Arial" w:cs="Arial" w:eastAsia="Arial" w:hAnsi="Arial"/>
          <w:sz w:val="18"/>
          <w:szCs w:val="18"/>
          <w:color w:val="auto"/>
        </w:rPr>
        <w:t xml:space="preserve"> feature. This adds value for brands as it allows them to augment their understanding of consumers and increase both their reach against and understanding of customers and prospects.</w:t>
      </w:r>
    </w:p>
    <w:p>
      <w:pPr>
        <w:spacing w:after="0" w:line="24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We charge for IdentityLink on an annual subscription basis. Our subscription pricing is based primarily on data volume supported by our platform.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Store</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we have scaled the LiveRamp network and technology, we have found additional ways to leverage our platform, deliver more value to clients and create incremental revenue streams. Leveraging our common identity system and broad integration network, the LiveRamp Data Store is a data marketplace that seamlessly connects data owners’ audience data across the marketing ecosystem. The Data Store allows data owners to easily monetize their data across hundreds of marketing platforms and publishers with a single contract. At the same time, the Data Store provides a single gateway where data buyers, including platforms and publishers, in addition to brands and their agencies, can access high-quality third-party data from more than 180 data owners, supporting all industries and encompassing all types of data. Data providers</w:t>
      </w:r>
    </w:p>
    <w:p>
      <w:pPr>
        <w:spacing w:after="0" w:line="3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include sources and brands exclusive to LiveRamp, emerging platforms with access to previously unavailable deterministic data, and data partnerships enabled by our platform.</w:t>
      </w:r>
    </w:p>
    <w:p>
      <w:pPr>
        <w:spacing w:after="0" w:line="2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generate revenue from the Data Store through revenue-sharing arrangements with data owners that are monetizing their data assets on our marketplace. This revenue is typically transactional in nature, tied to data volume purchased on the Data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6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Summary Results and Notable Events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financial summary of the quarter ended June 30, 2019 is presented below:</w:t>
      </w:r>
    </w:p>
    <w:p>
      <w:pPr>
        <w:spacing w:after="0" w:line="18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Revenues were $82.5 million, a 32.1% increase from $62.5 million in the same quarter a year ago.</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revenue was $36.4 million, a 54.0% increase from $23.7 million in the same quarter a year ago.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decreased to 55.9% from 62.1% in the same quarter a year ago.</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operating expenses were $94.5 million, a 38.1% increase from $68.4 million in the same quarter a year ago.</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revenue and operating expenses for the quarters ended June 30, 2019 and 2018 include the following items: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Non-cash stock compensation of $18.6 million and $17.8 million, respectively (cost of revenue and operating expenses)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Purchased intangible asset amortization of $3.1 million and $6.0 million, respectively (cost of revenue)</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Accelerated depreciation of $1.9 million in fiscal 2020 (cost of revenue and operating expenses)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Restructuring charges of $2.3 million in fiscal 2020 (operating expenses)</w:t>
      </w:r>
    </w:p>
    <w:p>
      <w:pPr>
        <w:spacing w:after="0" w:line="184" w:lineRule="exact"/>
        <w:rPr>
          <w:rFonts w:ascii="Arial" w:cs="Arial" w:eastAsia="Arial" w:hAnsi="Arial"/>
          <w:sz w:val="18"/>
          <w:szCs w:val="18"/>
          <w:color w:val="auto"/>
        </w:rPr>
      </w:pPr>
    </w:p>
    <w:p>
      <w:pPr>
        <w:ind w:left="660" w:right="32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from continuing operations was $42.5 million, a loss of $0.61 per diluted share, compared to a net loss of $27.8 million, or $0.36 per diluted share in the same quarter a year ago.</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cash used in operating activities was $15.4 million compared to $2.3 million in the same quarter a year ago.</w:t>
      </w:r>
    </w:p>
    <w:p>
      <w:pPr>
        <w:spacing w:after="0" w:line="184"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repurchase 0.4 million shares of its common stock for $20.1 million under the Company's common stock repurchase program.</w:t>
      </w:r>
    </w:p>
    <w:p>
      <w:pPr>
        <w:spacing w:after="0" w:line="155"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April 2, 2019, the Company acquired all of the outstanding shares of Faktor B. V. ("Faktor") for approximately $4.5 million in cash. Faktor is a global consent management platform that allows consumers to control how their data is collected, used, and transferred for usage to another party. Faktor's platform provides people with notice and choice on websites and mobile apps and allows them to opt-in or out via a visible banner of the page.</w:t>
      </w:r>
    </w:p>
    <w:p>
      <w:pPr>
        <w:spacing w:after="0" w:line="17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This summary highlights financial results as well as other significant events and transactions of the Company during the quarter ended June 30, 2019.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Development</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2, 2019, the Company closed its merger agreement with Data Plus Math Corporation, a media measurement company that works with brands, agencies, cable operators, streaming TV services and networks to tie cross-screen ad exposure with real-world outcomes, for approximately $117 million in cash. The aggregate value of merger consideration with respect to assumed options and the shares of common stock of the Company, subject to holdback agreements with certain key employees, is expected to equal approximately $33 million and be reported as non-cash stock compensation over the applicable vesting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9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 summary of selected financial information for each of the periods reported is presented below (dollars in thousands, except per share amounts):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jc w:val="center"/>
              <w:ind w:left="394"/>
              <w:spacing w:after="0"/>
              <w:rPr>
                <w:sz w:val="20"/>
                <w:szCs w:val="20"/>
                <w:color w:val="auto"/>
              </w:rPr>
            </w:pPr>
            <w:r>
              <w:rPr>
                <w:rFonts w:ascii="Arial" w:cs="Arial" w:eastAsia="Arial" w:hAnsi="Arial"/>
                <w:sz w:val="14"/>
                <w:szCs w:val="14"/>
                <w:b w:val="1"/>
                <w:bCs w:val="1"/>
                <w:color w:val="auto"/>
              </w:rPr>
              <w:t>For the three months ended</w:t>
            </w:r>
          </w:p>
        </w:tc>
        <w:tc>
          <w:tcPr>
            <w:tcW w:w="840" w:type="dxa"/>
            <w:vAlign w:val="bottom"/>
          </w:tcPr>
          <w:p>
            <w:pPr>
              <w:spacing w:after="0"/>
              <w:rPr>
                <w:sz w:val="16"/>
                <w:szCs w:val="16"/>
                <w:color w:val="auto"/>
              </w:rPr>
            </w:pPr>
          </w:p>
        </w:tc>
      </w:tr>
      <w:tr>
        <w:trPr>
          <w:trHeight w:val="222"/>
        </w:trPr>
        <w:tc>
          <w:tcPr>
            <w:tcW w:w="7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9"/>
                <w:szCs w:val="19"/>
                <w:color w:val="auto"/>
              </w:rPr>
            </w:pPr>
          </w:p>
        </w:tc>
      </w:tr>
      <w:tr>
        <w:trPr>
          <w:trHeight w:val="204"/>
        </w:trPr>
        <w:tc>
          <w:tcPr>
            <w:tcW w:w="7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r>
      <w:tr>
        <w:trPr>
          <w:trHeight w:val="222"/>
        </w:trPr>
        <w:tc>
          <w:tcPr>
            <w:tcW w:w="7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Change</w:t>
            </w:r>
          </w:p>
        </w:tc>
      </w:tr>
      <w:tr>
        <w:trPr>
          <w:trHeight w:val="25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62,471</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38,817</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94,460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(29,602)</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0"/>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r>
      <w:tr>
        <w:trPr>
          <w:trHeight w:val="282"/>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for each of the periods reported is presented below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left="377"/>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r>
      <w:tr>
        <w:trPr>
          <w:trHeight w:val="222"/>
        </w:trPr>
        <w:tc>
          <w:tcPr>
            <w:tcW w:w="7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r>
      <w:tr>
        <w:trPr>
          <w:trHeight w:val="204"/>
        </w:trPr>
        <w:tc>
          <w:tcPr>
            <w:tcW w:w="7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222"/>
        </w:trPr>
        <w:tc>
          <w:tcPr>
            <w:tcW w:w="7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w:t>
            </w:r>
          </w:p>
        </w:tc>
      </w:tr>
      <w:tr>
        <w:trPr>
          <w:trHeight w:val="25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Marketplace and Other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11,142</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8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Total revenue for the quarter ended June 30, 2019 was $82.5 million, a $20.0 million or 32.1%, increase compared to the same quarter a year ago. The increase was due to Subscription growth of $17.0 million, or 33.1%, primarily due to new logo deals and upsell to existing customers, and Marketplace and Other growth of $3.0 million, or 27.3%. Marketplace and Other revenue growth was negatively impacted in the amount of $3.0 million from a revenue-sharing arrangement related to a lost customer. On a geographic basis, U.S. revenue increased $20.3 million, or 36.1%, from the same quarter a year ago. International revenue decreased $0.3 million, or 4.5%, from the same quarter a year ago. Again, both U.S and International revenue was negatively impacted by the lost customer.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cost of revenue and gross profit for each of the periods reported is presented below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jc w:val="center"/>
              <w:ind w:left="357"/>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r>
      <w:tr>
        <w:trPr>
          <w:trHeight w:val="222"/>
        </w:trPr>
        <w:tc>
          <w:tcPr>
            <w:tcW w:w="7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r>
      <w:tr>
        <w:trPr>
          <w:trHeight w:val="204"/>
        </w:trPr>
        <w:tc>
          <w:tcPr>
            <w:tcW w:w="7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222"/>
        </w:trPr>
        <w:tc>
          <w:tcPr>
            <w:tcW w:w="7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Change</w:t>
            </w:r>
          </w:p>
        </w:tc>
      </w:tr>
      <w:tr>
        <w:trPr>
          <w:trHeight w:val="25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36,426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23,654</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46,085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38,817</w:t>
            </w:r>
          </w:p>
        </w:tc>
        <w:tc>
          <w:tcPr>
            <w:tcW w:w="10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55.9 %</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62.1 %</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Cost of revenue: Includes third-party direct costs including Identity Graph and cloud and hosting costs, as well as costs of IT, security and product operations functions. Finally, cost of revenue includes amortization of internally developed software and other acquisition related intangibles.</w:t>
      </w:r>
    </w:p>
    <w:p>
      <w:pPr>
        <w:sectPr>
          <w:pgSz w:w="11900" w:h="16838" w:orient="portrait"/>
          <w:cols w:equalWidth="0" w:num="1">
            <w:col w:w="11400"/>
          </w:cols>
          <w:pgMar w:left="240" w:top="92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927" w:right="259" w:bottom="1440" w:gutter="0" w:footer="0" w:header="0"/>
          <w:type w:val="continuous"/>
        </w:sectPr>
      </w:pPr>
    </w:p>
    <w:bookmarkStart w:id="29" w:name="page30"/>
    <w:bookmarkEnd w:id="29"/>
    <w:p>
      <w:pPr>
        <w:ind w:right="140"/>
        <w:spacing w:after="0" w:line="254" w:lineRule="auto"/>
        <w:rPr>
          <w:sz w:val="20"/>
          <w:szCs w:val="20"/>
          <w:color w:val="auto"/>
        </w:rPr>
      </w:pPr>
      <w:r>
        <w:rPr>
          <w:rFonts w:ascii="Arial" w:cs="Arial" w:eastAsia="Arial" w:hAnsi="Arial"/>
          <w:sz w:val="18"/>
          <w:szCs w:val="18"/>
          <w:color w:val="auto"/>
        </w:rPr>
        <w:t>Cost of revenue was $36.4 million for the quarter ended June 30, 2019, a $12.8 million, or 54.0%, increase from the same quarter a year ago. Gross margins decreased to 55.9% compared to 62.1% in the same quarter of the prior year. The gross margin decrease is due primarily to increased Identity Graph data, hosting, and security costs, as well as accelerated depreciation. U.S. gross margins decreased to 57.7% in the current year from 64.5% in the prior year. International gross margins decreased to 32.4% from 40.6%.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expenses for each of the periods reported is presented below (dollars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center"/>
              <w:ind w:left="355"/>
              <w:spacing w:after="0"/>
              <w:rPr>
                <w:sz w:val="20"/>
                <w:szCs w:val="20"/>
                <w:color w:val="auto"/>
              </w:rPr>
            </w:pPr>
            <w:r>
              <w:rPr>
                <w:rFonts w:ascii="Arial" w:cs="Arial" w:eastAsia="Arial" w:hAnsi="Arial"/>
                <w:sz w:val="14"/>
                <w:szCs w:val="14"/>
                <w:b w:val="1"/>
                <w:bCs w:val="1"/>
                <w:color w:val="auto"/>
              </w:rPr>
              <w:t>For the three months ended</w:t>
            </w:r>
          </w:p>
        </w:tc>
        <w:tc>
          <w:tcPr>
            <w:tcW w:w="780" w:type="dxa"/>
            <w:vAlign w:val="bottom"/>
          </w:tcPr>
          <w:p>
            <w:pPr>
              <w:spacing w:after="0"/>
              <w:rPr>
                <w:sz w:val="16"/>
                <w:szCs w:val="16"/>
                <w:color w:val="auto"/>
              </w:rPr>
            </w:pPr>
          </w:p>
        </w:tc>
      </w:tr>
      <w:tr>
        <w:trPr>
          <w:trHeight w:val="222"/>
        </w:trPr>
        <w:tc>
          <w:tcPr>
            <w:tcW w:w="7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204"/>
        </w:trPr>
        <w:tc>
          <w:tcPr>
            <w:tcW w:w="7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Arial" w:cs="Arial" w:eastAsia="Arial" w:hAnsi="Arial"/>
                <w:sz w:val="14"/>
                <w:szCs w:val="14"/>
                <w:b w:val="1"/>
                <w:bCs w:val="1"/>
                <w:color w:val="auto"/>
              </w:rPr>
              <w:t>%</w:t>
            </w:r>
          </w:p>
        </w:tc>
      </w:tr>
      <w:tr>
        <w:trPr>
          <w:trHeight w:val="263"/>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56"/>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40</w:t>
            </w:r>
          </w:p>
        </w:tc>
      </w:tr>
      <w:tr>
        <w:trPr>
          <w:trHeight w:val="250"/>
        </w:trPr>
        <w:tc>
          <w:tcPr>
            <w:tcW w:w="77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33,323</w:t>
            </w:r>
          </w:p>
        </w:tc>
        <w:tc>
          <w:tcPr>
            <w:tcW w:w="100" w:type="dxa"/>
            <w:vAlign w:val="bottom"/>
          </w:tcPr>
          <w:p>
            <w:pPr>
              <w:spacing w:after="0"/>
              <w:rPr>
                <w:sz w:val="21"/>
                <w:szCs w:val="21"/>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29</w:t>
            </w:r>
          </w:p>
        </w:tc>
      </w:tr>
      <w:tr>
        <w:trPr>
          <w:trHeight w:val="263"/>
        </w:trPr>
        <w:tc>
          <w:tcPr>
            <w:tcW w:w="7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40</w:t>
            </w:r>
          </w:p>
        </w:tc>
      </w:tr>
      <w:tr>
        <w:trPr>
          <w:trHeight w:val="250"/>
        </w:trPr>
        <w:tc>
          <w:tcPr>
            <w:tcW w:w="7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and other items, net</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na</w:t>
            </w:r>
          </w:p>
        </w:tc>
      </w:tr>
      <w:tr>
        <w:trPr>
          <w:trHeight w:val="282"/>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68,419</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38</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Research and development (“R&amp;D”): Includes operating expenses for the Company’s engineering and product/project management functions supporting research, new development, and related product enhancement.</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R&amp;D expenses were $23.7 million for the quarter ended June 30, 2019, an increase of $6.8 million, or 39.8% compared to the same quarter a year ago, and are 28.8% of total revenues compared to 27.2% in the same quarter of the prior year. The increase is due to ongoing investment in LiveRamp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(“S&amp;M”): Includes operating expenses for the Company’s sales, marketing, and product marketing functions.</w:t>
      </w:r>
    </w:p>
    <w:p>
      <w:pPr>
        <w:spacing w:after="0" w:line="22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S&amp;M expenses were $43.1 million for the quarter ended June 30, 2019, an increase of $9.8 million, or 29.5%, compared to the same quarter a year ago, and are 52.3% of total revenues compared to 53.3% in the same quarter of the prior year. Current quarter expenses included $8.9 million of non-cash stock-based compensation expense compared to $9.9 million in the prior year. The remaining increase in S&amp;M expenses is due to increased headcount to support revenue growth initiatives.</w:t>
      </w:r>
    </w:p>
    <w:p>
      <w:pPr>
        <w:spacing w:after="0" w:line="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General and administrative (G&amp;A): Represents operating expenses for all the Company's finance, human resources, legal, corporate IT, and other corporate administrative functions.</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G&amp;A expenses were $25.3 million for the quarter ended June 30, 2019, an increase of $7.2 million, or 39.7% compared to the same quarter a year ago, and are 30.7% of total revenues compared to 29.0% in the same quarter of the prior year. G&amp;A expenses included $ 4.5 million of non-cash stock-based compensation compared to $2.8 million in the same quarter of the prior year. The remaining increase in G&amp;A expenses is primarily headcount related to support business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Gains, losses, and other items, net: Represents restructuring costs and other adjustments.</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Gains, losses and other items, net of $ 2.3 million for the quarter ended June 30, 2019 increased $2.3 million compared to the same quarter a year ago. The current quarter included $1.8 million in restructuring charges (primarily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949"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Loss from Operations and Operating Margin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Loss from operations was $48.4 million for the quarter ended June 30, 2019 compared to $29.6 million for the same quarter a year ago.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was a negative 58.6% compared to a negative 47.4%.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and Income Taxes</w:t>
      </w:r>
    </w:p>
    <w:p>
      <w:pPr>
        <w:spacing w:after="0" w:line="2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 income was $5.9 million for the quarter ended June 30, 2019 compared to of $0.4 million for the same quarter a year ago. The increase is due to interest income related to invested cash proceeds from the sale of AMS.</w:t>
      </w:r>
    </w:p>
    <w:p>
      <w:pPr>
        <w:spacing w:after="0" w:line="22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Income tax benefit was $0.4 million on a pretax loss of $42.5 million for the quarter ended June 30, 2019 compared to income tax benefit of $1.4 million on a pretax loss of $29.2 million for the same quarter last year. Except for certain states, no income tax benefit was recorded for the current year pretax losses due to uncertainty of realization of our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Summary results of operations of AMS are segregated and included in earnings from discontinued operations, net of tax, in the Company's condensed consolidated statements of operations for the period presented below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92"/>
              <w:spacing w:after="0"/>
              <w:rPr>
                <w:sz w:val="20"/>
                <w:szCs w:val="20"/>
                <w:color w:val="auto"/>
              </w:rPr>
            </w:pPr>
            <w:r>
              <w:rPr>
                <w:rFonts w:ascii="Arial" w:cs="Arial" w:eastAsia="Arial" w:hAnsi="Arial"/>
                <w:sz w:val="14"/>
                <w:szCs w:val="14"/>
                <w:b w:val="1"/>
                <w:bCs w:val="1"/>
                <w:color w:val="auto"/>
              </w:rPr>
              <w:t>For the three months</w:t>
            </w:r>
          </w:p>
        </w:tc>
      </w:tr>
      <w:tr>
        <w:trPr>
          <w:trHeight w:val="196"/>
        </w:trPr>
        <w:tc>
          <w:tcPr>
            <w:tcW w:w="9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ended June 30, 2018</w:t>
            </w:r>
          </w:p>
        </w:tc>
      </w:tr>
      <w:tr>
        <w:trPr>
          <w:trHeight w:val="256"/>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164,489</w:t>
            </w:r>
          </w:p>
        </w:tc>
      </w:tr>
      <w:tr>
        <w:trPr>
          <w:trHeight w:val="25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93,617</w:t>
            </w:r>
          </w:p>
        </w:tc>
      </w:tr>
      <w:tr>
        <w:trPr>
          <w:trHeight w:val="257"/>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70,872</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63"/>
        </w:trPr>
        <w:tc>
          <w:tcPr>
            <w:tcW w:w="9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r>
      <w:tr>
        <w:trPr>
          <w:trHeight w:val="250"/>
        </w:trPr>
        <w:tc>
          <w:tcPr>
            <w:tcW w:w="940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21,527</w:t>
            </w:r>
          </w:p>
        </w:tc>
      </w:tr>
      <w:tr>
        <w:trPr>
          <w:trHeight w:val="263"/>
        </w:trPr>
        <w:tc>
          <w:tcPr>
            <w:tcW w:w="9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r>
      <w:tr>
        <w:trPr>
          <w:trHeight w:val="250"/>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Gains, losses and other items, net</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r>
      <w:tr>
        <w:trPr>
          <w:trHeight w:val="250"/>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46,971</w:t>
            </w:r>
          </w:p>
        </w:tc>
      </w:tr>
      <w:tr>
        <w:trPr>
          <w:trHeight w:val="25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w:t>
            </w:r>
          </w:p>
        </w:tc>
      </w:tr>
      <w:tr>
        <w:trPr>
          <w:trHeight w:val="257"/>
        </w:trPr>
        <w:tc>
          <w:tcPr>
            <w:tcW w:w="9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50"/>
        </w:trPr>
        <w:tc>
          <w:tcPr>
            <w:tcW w:w="9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57"/>
        </w:trPr>
        <w:tc>
          <w:tcPr>
            <w:tcW w:w="9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Earnings from discontinued operations before income taxes</w:t>
            </w:r>
          </w:p>
        </w:tc>
        <w:tc>
          <w:tcPr>
            <w:tcW w:w="14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21,231</w:t>
            </w:r>
          </w:p>
        </w:tc>
      </w:tr>
      <w:tr>
        <w:trPr>
          <w:trHeight w:val="25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 (benefit)</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r>
      <w:tr>
        <w:trPr>
          <w:trHeight w:val="282"/>
        </w:trPr>
        <w:tc>
          <w:tcPr>
            <w:tcW w:w="9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from discontinued operations,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24,803</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60"/>
          </w:cols>
          <w:pgMar w:left="240" w:top="931"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Company’s cash is primarily located in the United States. Approximately $7.8 million of the total cash balance of $ 1.0 billion, or approximately 0.8%, is located outside of the United States. The Company has no current plans to repatriate this cash to the United States.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at June 30, 2019 totaled $1.0 billion, a $79.9 million decrease when compared to $1.1 billion at March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2019, the Company:</w:t>
      </w:r>
    </w:p>
    <w:p>
      <w:pPr>
        <w:spacing w:after="0" w:line="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Closed its merger agreement with Data Plus Match Corporation for approximately $117 million in cash;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Repurchased shares under its current stock repurchase program for approximately $49 million in cash.</w:t>
      </w: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Management believes that the Company's existing available cash will be sufficient to meet the Company's working capital and capital expenditure requirements for the foreseeable future. However, we may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For the three months ended</w:t>
            </w:r>
          </w:p>
        </w:tc>
      </w:tr>
      <w:tr>
        <w:trPr>
          <w:trHeight w:val="222"/>
        </w:trPr>
        <w:tc>
          <w:tcPr>
            <w:tcW w:w="8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9"/>
                <w:szCs w:val="19"/>
                <w:color w:val="auto"/>
              </w:rPr>
            </w:pPr>
          </w:p>
        </w:tc>
      </w:tr>
      <w:tr>
        <w:trPr>
          <w:trHeight w:val="210"/>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94"/>
        </w:trPr>
        <w:tc>
          <w:tcPr>
            <w:tcW w:w="8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5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(4,111)</w:t>
            </w: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(52,586)</w:t>
            </w: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discontinued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13,441</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Continuing Operations</w:t>
      </w:r>
    </w:p>
    <w:p>
      <w:pPr>
        <w:spacing w:after="0" w:line="27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clients and related payments to our suppliers. The timing of cash receipts from clients and payments to suppliers can significantly impact our cash flows from operating activities. Our collection and payment cycles can vary from period to period.</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quarter ended June 30, 2019, net cash used in operating activities of $15.4 million resulted primarily from net loss adjusted for non-cash items of $13.6 million and an increase in cash used by operating assets and liabilities of $1.8 million. The net unfavorable change in operating assets and liabilities was primarily related to unfavorable changes in accounts receivable of $3.5 million and deferred revenue of $1.1 million, partially offset by favorable changes in other assets of $3.6 million. The increase in accounts receivable was primarily due to the growth in our subscription business and the timing of cash receipts from clients.</w:t>
      </w:r>
    </w:p>
    <w:p>
      <w:pPr>
        <w:spacing w:after="0" w:line="23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quarter ended June 30, 2018, net cash used in operating activities of $2.3 million resulted primarily from net loss adjusted for non-cash items of $ 2.8 million, offset by an increase in cash provided by operating assets and liabilities of $0.5 million. The net favorable change in operating assets and liabilities was primarily related to favorable changes in accounts payable and other liabilities of $4.4 million, partially offset by unfavorable changes in income taxes of $1.9 million and accounts receivable of $0.9 million. The increase in accounts payable and other liabilities was primarily due to the timing of payments to suppliers. The increase in accounts receivable was primarily due to the growth in our subscription business and the timing of cash receipts from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927"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Investing Activities - Continuing Operations</w:t>
      </w:r>
    </w:p>
    <w:p>
      <w:pPr>
        <w:spacing w:after="0" w:line="2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primary investing activities have consisted of capital expenditures in support of our expanding headcount as a result of our growth. Capital expenditures may vary from period-to-period due to the timing of the expansion of our operations, the addition of new headcount and new facilities. Expenditures related to our capitalized software may also vary from period-to-period based on development cycles. As development cycles shorten, we expect our capitalized costs to continue to decrease. Other periodic investing activities include cash paid in acquisitions, cash received in dispositions that are not classified as discontinued operations, and payments for investments.</w:t>
      </w:r>
    </w:p>
    <w:p>
      <w:pPr>
        <w:spacing w:after="0" w:line="23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quarter ended June 30, 2019, we used $9.4 million of cash in investing activities, consisting of $4.9 million for capital expenditures, and $4.5 million for the acquisition of Faktor.</w:t>
      </w:r>
    </w:p>
    <w:p>
      <w:pPr>
        <w:spacing w:after="0" w:line="223"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For the quarter ended June 30, 2018, we used $4.1 million of cash in investing activities, consisting primarily of $0.9 million for capital expenditures and $2.5 million payment for an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 Continuing Operations</w:t>
      </w:r>
    </w:p>
    <w:p>
      <w:pPr>
        <w:spacing w:after="0" w:line="27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financing activities have consisted of acquisition of treasury stock, proceeds from our equity compensation plans, and shares repurchased for tax withholdings upon vesting of stock-based awards.</w:t>
      </w:r>
    </w:p>
    <w:p>
      <w:pPr>
        <w:spacing w:after="0" w:line="2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quarter ended June 30, 2019, we used $31.1 million of cash in financing activities, consisting of the acquisition of treasury shares pursuant to the board of directors' approved stock repurchase plan of $20.1 million (0.4 million shares), and $12.1 million for shares repurchased for tax withholdings upon vesting of stock-based awards (0.2 million shares). These uses of cash were partially offset by proceeds of $1.1 million from the sale of common stock from our equity compensation plans (less than 0.1 million shares).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quarter ended June 30, 2018, we used $52.6 million of cash in financing activities, consisting primarily of the acquisition of treasury shares pursuant to the board of directors' approved stock repurchase plan of $45.8 million (1.9 million shares), $10.0 million for shares repurchased for tax withholdings upon vesting of stock-based awards (0.4 million shares). These uses of cash were partially offset by proceeds of $4.1 million from the sale of common stock from our equity compensation plans (0.2 million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discontinued operations was $13.4 million in the prior year.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Items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70"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Under the modified common stock repurchase program, the Company may purchase up to $1.0 billion of its common stock through the period ending December 31, 2020. During the three months ended June 30, 2019, the Company repurchased 0.4 million shares of its common stock for $20.1 million under the stock repurchase program. Through June 30, 2019, the Company had repurchased a total of 23.0 million shares of its stock for $469.2 million under the stock repurchase program, leaving remaining capacity of $530.8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2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table presents the Company’s contractual cash obligations and purchase commitments at June 30, 2019. Operating leases primarily consist of our various office facilities, and purchase commitments primarily include contractual commitments for the purchase of data. The table does not include the future payment of liabilities related to uncertain tax positions of $20.5 million as the Company is not able to predict the periods in which the</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931" w:right="279" w:bottom="1440" w:gutter="0" w:footer="0" w:header="0"/>
        </w:sectPr>
      </w:pPr>
    </w:p>
    <w:bookmarkStart w:id="33" w:name="page34"/>
    <w:bookmarkEnd w:id="33"/>
    <w:p>
      <w:pPr>
        <w:ind w:right="120"/>
        <w:spacing w:after="0" w:line="262" w:lineRule="auto"/>
        <w:rPr>
          <w:sz w:val="20"/>
          <w:szCs w:val="20"/>
          <w:color w:val="auto"/>
        </w:rPr>
      </w:pPr>
      <w:r>
        <w:rPr>
          <w:rFonts w:ascii="Arial" w:cs="Arial" w:eastAsia="Arial" w:hAnsi="Arial"/>
          <w:sz w:val="18"/>
          <w:szCs w:val="18"/>
          <w:color w:val="auto"/>
        </w:rPr>
        <w:t>payments will be made. The amounts for 2020 represent the remaining nine months ending March 31, 2020. All other periods represent fiscal years ending March 31 (dollars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rPr>
              <w:t>For the years ending March 31,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10"/>
        </w:trPr>
        <w:tc>
          <w:tcPr>
            <w:tcW w:w="3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76"/>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Future minimum payments as of June 30, 2019 related to restructuring plans as a result of of the Company's exit from certain leased office facilities are: Remainder of Fiscal 2020: $1,886; Fiscal 2021: $2,544; Fiscal 2022: $2,610; Fiscal 2023: $2,663; Fiscal 2024: $2,699; and Thereafter: $4,497.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rPr>
              <w:t>For the years ending March 31,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81"/>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23"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For a description of certain risks that could have an impact on results of operations or financial condition, including liquidity and capital resources, see “Risk Factors” contained in Part I, Item 1A, of the Company’s 2019 Annual Report.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949"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Non-U.S. Operations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a presence in the United Kingdom, France, Netherlands, Australia, China, Singapore and Japan.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Company’s 2019 Annual Report include a summary of significant accounting policies used in the preparation of the Company’s consolidated financial statements. In addition, the Management’s Discussion and Analysis filed as part of the 2019 Annual Report contains a discussion of the policies that management has identified as the most critical because they require management’s use of complex and/or significant judgments. None of the Company’s critical accounting policies have materially changed since the date of the last annual report other than as described in the Accounting Pronouncements Adopted During the Current Year section of Note 1, “Basis of Presentation and Summary of Significant Accounting Policies,” of the 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Pronouncements Adopted During the Current Year</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See “Accounting Pronouncements Adopted During the Current Year” under Note 1, “Basis of Presentation and Summary of Significant Accounting Policies,” of the Notes to Condensed Consolidated Financial Statements for a discussion of certain accounting standards that have been issued and were adopted during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 Not Yet Adopted</w:t>
      </w:r>
    </w:p>
    <w:p>
      <w:pPr>
        <w:spacing w:after="0" w:line="247"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See “Recent Accounting Pronouncements Not Yet Adopted” under Note 1, “Basis of Presentation and Summary of Significant Accounting Policies,” of the Notes to Condensed Consolidated Financial Statements for a discussion of certain accounting standards that have been issued but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927"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and Section 21E of the Securities Exchange Act of 1934, as amended.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may include but are not limited to the following:</w:t>
      </w:r>
    </w:p>
    <w:p>
      <w:pPr>
        <w:spacing w:after="0" w:line="252" w:lineRule="exact"/>
        <w:rPr>
          <w:sz w:val="20"/>
          <w:szCs w:val="20"/>
          <w:color w:val="auto"/>
        </w:rPr>
      </w:pPr>
    </w:p>
    <w:p>
      <w:pPr>
        <w:ind w:left="580" w:hanging="266"/>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management’s expectations about the macro economy;</w:t>
      </w:r>
    </w:p>
    <w:p>
      <w:pPr>
        <w:spacing w:after="0" w:line="252" w:lineRule="exact"/>
        <w:rPr>
          <w:rFonts w:ascii="Arial" w:cs="Arial" w:eastAsia="Arial" w:hAnsi="Arial"/>
          <w:sz w:val="18"/>
          <w:szCs w:val="18"/>
          <w:color w:val="auto"/>
        </w:rPr>
      </w:pPr>
    </w:p>
    <w:p>
      <w:pPr>
        <w:ind w:left="580" w:right="80" w:hanging="266"/>
        <w:spacing w:after="0" w:line="262"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containing a projection of revenues, operating income (loss), income (loss), earnings (loss) per share, capital expenditures, dividends, capital structure, or other financial items;</w:t>
      </w:r>
    </w:p>
    <w:p>
      <w:pPr>
        <w:spacing w:after="0" w:line="223" w:lineRule="exact"/>
        <w:rPr>
          <w:rFonts w:ascii="Arial" w:cs="Arial" w:eastAsia="Arial" w:hAnsi="Arial"/>
          <w:sz w:val="18"/>
          <w:szCs w:val="18"/>
          <w:color w:val="auto"/>
        </w:rPr>
      </w:pPr>
    </w:p>
    <w:p>
      <w:pPr>
        <w:ind w:left="580" w:right="220" w:hanging="266"/>
        <w:spacing w:after="0" w:line="262"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of the plans and objectives of management for future operations, including, but not limited to, those statements contained under the heading “Growth Strategy” in Part I, Item 1 of the Company's 2019 Annual Report on Form 10-K;</w:t>
      </w:r>
    </w:p>
    <w:p>
      <w:pPr>
        <w:spacing w:after="0" w:line="223" w:lineRule="exact"/>
        <w:rPr>
          <w:rFonts w:ascii="Arial" w:cs="Arial" w:eastAsia="Arial" w:hAnsi="Arial"/>
          <w:sz w:val="18"/>
          <w:szCs w:val="18"/>
          <w:color w:val="auto"/>
        </w:rPr>
      </w:pPr>
    </w:p>
    <w:p>
      <w:pPr>
        <w:ind w:left="580" w:right="80" w:hanging="266"/>
        <w:spacing w:after="0" w:line="262"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of future economic performance, including, but not limited to, those statements contained in Management’s Discussion and Analysis of Financial Condition and Results of Operations contained in the Company's 2019 Annual Report on Form 10-K;</w:t>
      </w:r>
    </w:p>
    <w:p>
      <w:pPr>
        <w:spacing w:after="0" w:line="223" w:lineRule="exact"/>
        <w:rPr>
          <w:rFonts w:ascii="Arial" w:cs="Arial" w:eastAsia="Arial" w:hAnsi="Arial"/>
          <w:sz w:val="18"/>
          <w:szCs w:val="18"/>
          <w:color w:val="auto"/>
        </w:rPr>
      </w:pPr>
    </w:p>
    <w:p>
      <w:pPr>
        <w:ind w:left="580" w:hanging="266"/>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containing any assumptions underlying or relating to any of the above statements; and</w:t>
      </w:r>
    </w:p>
    <w:p>
      <w:pPr>
        <w:spacing w:after="0" w:line="252" w:lineRule="exact"/>
        <w:rPr>
          <w:rFonts w:ascii="Arial" w:cs="Arial" w:eastAsia="Arial" w:hAnsi="Arial"/>
          <w:sz w:val="18"/>
          <w:szCs w:val="18"/>
          <w:color w:val="auto"/>
        </w:rPr>
      </w:pPr>
    </w:p>
    <w:p>
      <w:pPr>
        <w:ind w:left="580" w:hanging="266"/>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containing a projection or estimate.</w:t>
      </w:r>
    </w:p>
    <w:p>
      <w:pPr>
        <w:spacing w:after="0" w:line="252"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Among the factors that may cause actual results and expectations to differ from anticipated results and expectations expressed in such forward-looking statements are the following:</w:t>
      </w:r>
    </w:p>
    <w:p>
      <w:pPr>
        <w:spacing w:after="0" w:line="223" w:lineRule="exact"/>
        <w:rPr>
          <w:sz w:val="20"/>
          <w:szCs w:val="20"/>
          <w:color w:val="auto"/>
        </w:rPr>
      </w:pPr>
    </w:p>
    <w:p>
      <w:pPr>
        <w:ind w:left="580" w:right="280" w:hanging="266"/>
        <w:spacing w:after="0" w:line="262"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described in Part I, “Item 1A. Risk Factors” included in the Company's 2019 Annual Report and those described from time to time in our future reports filed with the SEC;</w:t>
      </w:r>
    </w:p>
    <w:p>
      <w:pPr>
        <w:spacing w:after="0" w:line="223" w:lineRule="exact"/>
        <w:rPr>
          <w:rFonts w:ascii="Arial" w:cs="Arial" w:eastAsia="Arial" w:hAnsi="Arial"/>
          <w:sz w:val="18"/>
          <w:szCs w:val="18"/>
          <w:color w:val="auto"/>
        </w:rPr>
      </w:pPr>
    </w:p>
    <w:p>
      <w:pPr>
        <w:ind w:left="580" w:right="180" w:hanging="266"/>
        <w:spacing w:after="0" w:line="262"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in the event a change of control of the Company is sought, certain clients may attempt to invoke provisions in their contracts allowing for termination upon a change in control, which may result in a decline in revenue and profit;</w:t>
      </w:r>
    </w:p>
    <w:p>
      <w:pPr>
        <w:spacing w:after="0" w:line="223" w:lineRule="exact"/>
        <w:rPr>
          <w:rFonts w:ascii="Arial" w:cs="Arial" w:eastAsia="Arial" w:hAnsi="Arial"/>
          <w:sz w:val="18"/>
          <w:szCs w:val="18"/>
          <w:color w:val="auto"/>
        </w:rPr>
      </w:pPr>
    </w:p>
    <w:p>
      <w:pPr>
        <w:ind w:left="580" w:hanging="266"/>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the integration of acquired businesses may not be as successful as planned;</w:t>
      </w:r>
    </w:p>
    <w:p>
      <w:pPr>
        <w:spacing w:after="0" w:line="252" w:lineRule="exact"/>
        <w:rPr>
          <w:rFonts w:ascii="Arial" w:cs="Arial" w:eastAsia="Arial" w:hAnsi="Arial"/>
          <w:sz w:val="18"/>
          <w:szCs w:val="18"/>
          <w:color w:val="auto"/>
        </w:rPr>
      </w:pPr>
    </w:p>
    <w:p>
      <w:pPr>
        <w:ind w:left="580" w:right="360" w:hanging="266"/>
        <w:spacing w:after="0" w:line="262"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the fair value of certain of our assets may not be equal to the carrying value of those assets now or in future time periods;</w:t>
      </w:r>
    </w:p>
    <w:p>
      <w:pPr>
        <w:spacing w:after="0" w:line="223" w:lineRule="exact"/>
        <w:rPr>
          <w:rFonts w:ascii="Arial" w:cs="Arial" w:eastAsia="Arial" w:hAnsi="Arial"/>
          <w:sz w:val="18"/>
          <w:szCs w:val="18"/>
          <w:color w:val="auto"/>
        </w:rPr>
      </w:pPr>
    </w:p>
    <w:p>
      <w:pPr>
        <w:ind w:left="580" w:hanging="266"/>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sales cycles may lengthen;</w:t>
      </w:r>
    </w:p>
    <w:p>
      <w:pPr>
        <w:spacing w:after="0" w:line="252" w:lineRule="exact"/>
        <w:rPr>
          <w:rFonts w:ascii="Arial" w:cs="Arial" w:eastAsia="Arial" w:hAnsi="Arial"/>
          <w:sz w:val="18"/>
          <w:szCs w:val="18"/>
          <w:color w:val="auto"/>
        </w:rPr>
      </w:pPr>
    </w:p>
    <w:p>
      <w:pPr>
        <w:ind w:left="580" w:hanging="266"/>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we will not be able to properly motivate our sales force or other associates;</w:t>
      </w:r>
    </w:p>
    <w:p>
      <w:pPr>
        <w:spacing w:after="0" w:line="252" w:lineRule="exact"/>
        <w:rPr>
          <w:rFonts w:ascii="Arial" w:cs="Arial" w:eastAsia="Arial" w:hAnsi="Arial"/>
          <w:sz w:val="18"/>
          <w:szCs w:val="18"/>
          <w:color w:val="auto"/>
        </w:rPr>
      </w:pPr>
    </w:p>
    <w:p>
      <w:pPr>
        <w:ind w:left="580" w:right="540" w:hanging="266"/>
        <w:spacing w:after="0" w:line="262"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we may not be able to attract and retain qualified technical and leadership associates, or that we may lose key associates to other organizations;</w:t>
      </w:r>
    </w:p>
    <w:p>
      <w:pPr>
        <w:spacing w:after="0" w:line="223" w:lineRule="exact"/>
        <w:rPr>
          <w:rFonts w:ascii="Arial" w:cs="Arial" w:eastAsia="Arial" w:hAnsi="Arial"/>
          <w:sz w:val="18"/>
          <w:szCs w:val="18"/>
          <w:color w:val="auto"/>
        </w:rPr>
      </w:pPr>
    </w:p>
    <w:p>
      <w:pPr>
        <w:ind w:left="580" w:right="860" w:hanging="266"/>
        <w:spacing w:after="0" w:line="262"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possibility that competent, competitive products, technologies or services will be introduced into the marketplace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927" w:right="299" w:bottom="1440" w:gutter="0" w:footer="0" w:header="0"/>
        </w:sectPr>
      </w:pPr>
    </w:p>
    <w:bookmarkStart w:id="36" w:name="page37"/>
    <w:bookmarkEnd w:id="36"/>
    <w:p>
      <w:pPr>
        <w:ind w:left="580" w:right="78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there will be changes in consumer or business information industries and markets that negatively impact the Company;</w:t>
      </w:r>
    </w:p>
    <w:p>
      <w:pPr>
        <w:spacing w:after="0" w:line="223" w:lineRule="exact"/>
        <w:rPr>
          <w:rFonts w:ascii="Arial" w:cs="Arial" w:eastAsia="Arial" w:hAnsi="Arial"/>
          <w:sz w:val="18"/>
          <w:szCs w:val="18"/>
          <w:color w:val="auto"/>
        </w:rPr>
      </w:pPr>
    </w:p>
    <w:p>
      <w:pPr>
        <w:ind w:left="580" w:right="10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will not be able to protect proprietary information and technology or to obtain necessary licenses on commercially reasonable terms;</w:t>
      </w:r>
    </w:p>
    <w:p>
      <w:pPr>
        <w:spacing w:after="0" w:line="223" w:lineRule="exact"/>
        <w:rPr>
          <w:rFonts w:ascii="Arial" w:cs="Arial" w:eastAsia="Arial" w:hAnsi="Arial"/>
          <w:sz w:val="18"/>
          <w:szCs w:val="18"/>
          <w:color w:val="auto"/>
        </w:rPr>
      </w:pPr>
    </w:p>
    <w:p>
      <w:pPr>
        <w:ind w:left="580" w:right="300" w:hanging="266"/>
        <w:spacing w:after="0" w:line="256"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there will be changes in the legislative, accounting, regulatory and consumer environments affecting our business, including but not limited to litigation, legislation, regulations and customs impairing our ability to collect, manage, aggregate and use data;</w:t>
      </w:r>
    </w:p>
    <w:p>
      <w:pPr>
        <w:spacing w:after="0" w:line="228"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data suppliers might withdraw data from us, leading to our inability to provide certain products and services;</w:t>
      </w:r>
    </w:p>
    <w:p>
      <w:pPr>
        <w:spacing w:after="0" w:line="252" w:lineRule="exact"/>
        <w:rPr>
          <w:rFonts w:ascii="Arial" w:cs="Arial" w:eastAsia="Arial" w:hAnsi="Arial"/>
          <w:sz w:val="18"/>
          <w:szCs w:val="18"/>
          <w:color w:val="auto"/>
        </w:rPr>
      </w:pPr>
    </w:p>
    <w:p>
      <w:pPr>
        <w:ind w:left="580" w:right="36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data purchasers will reduce their reliance on us by developing and using their own, or alternative, sources of data generally or with respect to certain data elements or categories;</w:t>
      </w:r>
    </w:p>
    <w:p>
      <w:pPr>
        <w:spacing w:after="0" w:line="223"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may enter into short-term contracts that would affect the predictability of our revenues;</w:t>
      </w:r>
    </w:p>
    <w:p>
      <w:pPr>
        <w:spacing w:after="0" w:line="252"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the amount of volume-based and other transactional based work will not be as expected;</w:t>
      </w:r>
    </w:p>
    <w:p>
      <w:pPr>
        <w:spacing w:after="0" w:line="252"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may experience a loss of data center capacity or interruption of telecommunication links or power sources;</w:t>
      </w:r>
    </w:p>
    <w:p>
      <w:pPr>
        <w:spacing w:after="0" w:line="252" w:lineRule="exact"/>
        <w:rPr>
          <w:rFonts w:ascii="Arial" w:cs="Arial" w:eastAsia="Arial" w:hAnsi="Arial"/>
          <w:sz w:val="18"/>
          <w:szCs w:val="18"/>
          <w:color w:val="auto"/>
        </w:rPr>
      </w:pPr>
    </w:p>
    <w:p>
      <w:pPr>
        <w:ind w:left="580" w:right="56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may experience failures or breaches of our network and data security systems, leading to potential adverse publicity, negative customer reaction, or liability to third parties;</w:t>
      </w:r>
    </w:p>
    <w:p>
      <w:pPr>
        <w:spacing w:after="0" w:line="223"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our clients may cancel or modify their agreements with us;</w:t>
      </w:r>
    </w:p>
    <w:p>
      <w:pPr>
        <w:spacing w:after="0" w:line="252" w:lineRule="exact"/>
        <w:rPr>
          <w:rFonts w:ascii="Arial" w:cs="Arial" w:eastAsia="Arial" w:hAnsi="Arial"/>
          <w:sz w:val="18"/>
          <w:szCs w:val="18"/>
          <w:color w:val="auto"/>
        </w:rPr>
      </w:pPr>
    </w:p>
    <w:p>
      <w:pPr>
        <w:ind w:left="580" w:right="42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will not successfully complete customer contract requirements or the service levels specified in the contracts, which may result in contract penalties or lost revenue;</w:t>
      </w:r>
    </w:p>
    <w:p>
      <w:pPr>
        <w:spacing w:after="0" w:line="223" w:lineRule="exact"/>
        <w:rPr>
          <w:rFonts w:ascii="Arial" w:cs="Arial" w:eastAsia="Arial" w:hAnsi="Arial"/>
          <w:sz w:val="18"/>
          <w:szCs w:val="18"/>
          <w:color w:val="auto"/>
        </w:rPr>
      </w:pPr>
    </w:p>
    <w:p>
      <w:pPr>
        <w:ind w:left="580" w:right="280" w:hanging="266"/>
        <w:spacing w:after="0" w:line="262"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we may experience processing errors that result in credits to customers, re-performance of services or payment of damages to customers;</w:t>
      </w:r>
    </w:p>
    <w:p>
      <w:pPr>
        <w:spacing w:after="0" w:line="223" w:lineRule="exact"/>
        <w:rPr>
          <w:rFonts w:ascii="Arial" w:cs="Arial" w:eastAsia="Arial" w:hAnsi="Arial"/>
          <w:sz w:val="18"/>
          <w:szCs w:val="18"/>
          <w:color w:val="auto"/>
        </w:rPr>
      </w:pPr>
    </w:p>
    <w:p>
      <w:pPr>
        <w:ind w:left="580" w:hanging="266"/>
        <w:spacing w:after="0" w:line="256"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our performance may decline and we may lose advertisers and revenue if the use of "third-party cookies" or other tracking technology is rejected by Internet users, restricted or otherwise subject to unfavorable regulation, blocked or limited by technical changes on end users' devices, or our or our clients' ability to use data on our platform is otherwise restricted;</w:t>
      </w:r>
    </w:p>
    <w:p>
      <w:pPr>
        <w:spacing w:after="0" w:line="228"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and global negative economic conditions; and</w:t>
      </w:r>
    </w:p>
    <w:p>
      <w:pPr>
        <w:spacing w:after="0" w:line="252" w:lineRule="exact"/>
        <w:rPr>
          <w:rFonts w:ascii="Arial" w:cs="Arial" w:eastAsia="Arial" w:hAnsi="Arial"/>
          <w:sz w:val="18"/>
          <w:szCs w:val="18"/>
          <w:color w:val="auto"/>
        </w:rPr>
      </w:pPr>
    </w:p>
    <w:p>
      <w:pPr>
        <w:ind w:left="580" w:hanging="266"/>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tax rate and other effects of the changes to U.S. federal tax law.</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factors are detailed from time to time in periodic reports and registration statements filed with the SEC. The Company believes that it has the product and technology offerings, facilities, associates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20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light of these risks, uncertainties and assumptions, the Company cautions readers not to place undue reliance on any forward-looking statements. Forward-looking statements and such risks, uncertainties and assumptions speak only as of the date of the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ectPr>
          <w:pgSz w:w="11900" w:h="16838" w:orient="portrait"/>
          <w:cols w:equalWidth="0" w:num="1">
            <w:col w:w="11420"/>
          </w:cols>
          <w:pgMar w:left="240" w:top="949"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949"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believe there have been no material changes in our market risk exposures for the three months ended June 30, 2019, as compared with those discussed in our Annual Report on Form 10-K for the fiscal year ended March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color w:val="auto"/>
        </w:rPr>
        <w:t>Our management, with the participation of our Chief Executive Officer (our principal executive officer) and our President, Chief Financial Officer and Executive Managing Director of International (our principal financial and accounting officer), evaluated the effectiveness of our disclosure controls and procedures (as defined under Rule 13a-15(e) of the Securities Exchange Act of 1934, as amended). Based on this evaluation, our principal executive officer and our principal financial and accounting officer concluded that as of June 30, 2019, our disclosure controls and procedures were effective.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left="660" w:right="280"/>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92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PART II.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There are currently no matters pending against the Company or its subsidiaries for which the potential exposure is considered material to the Company’s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risks described in Part I, Item 1A, “Risk Factors” in our Annual Report on Form 10-K for the year ended March 31, 2019 (the "2019 Form 10-K"), which was filed with the Securities and Exchange Commission on May 29, 2019, remain current in all material respects. The risk factors in our 2019 Form 10-K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4" w:lineRule="exact"/>
        <w:rPr>
          <w:sz w:val="20"/>
          <w:szCs w:val="20"/>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table below provides information regarding purchases by LiveRamp of its common stock during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tcPr>
          <w:p>
            <w:pPr>
              <w:jc w:val="center"/>
              <w:ind w:right="219"/>
              <w:spacing w:after="0"/>
              <w:rPr>
                <w:sz w:val="20"/>
                <w:szCs w:val="20"/>
                <w:color w:val="auto"/>
              </w:rPr>
            </w:pPr>
            <w:r>
              <w:rPr>
                <w:rFonts w:ascii="Arial" w:cs="Arial" w:eastAsia="Arial" w:hAnsi="Arial"/>
                <w:sz w:val="14"/>
                <w:szCs w:val="14"/>
                <w:b w:val="1"/>
                <w:bCs w:val="1"/>
                <w:color w:val="auto"/>
              </w:rPr>
              <w:t>Maximum Number (or Approximate</w:t>
            </w:r>
          </w:p>
        </w:tc>
      </w:t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 Price</w:t>
            </w:r>
          </w:p>
        </w:tc>
        <w:tc>
          <w:tcPr>
            <w:tcW w:w="3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Total Number of Shares</w:t>
            </w:r>
          </w:p>
        </w:tc>
        <w:tc>
          <w:tcPr>
            <w:tcW w:w="3000" w:type="dxa"/>
            <w:vAlign w:val="bottom"/>
          </w:tcPr>
          <w:p>
            <w:pPr>
              <w:jc w:val="center"/>
              <w:ind w:right="219"/>
              <w:spacing w:after="0"/>
              <w:rPr>
                <w:sz w:val="20"/>
                <w:szCs w:val="20"/>
                <w:color w:val="auto"/>
              </w:rPr>
            </w:pPr>
            <w:r>
              <w:rPr>
                <w:rFonts w:ascii="Arial" w:cs="Arial" w:eastAsia="Arial" w:hAnsi="Arial"/>
                <w:sz w:val="14"/>
                <w:szCs w:val="14"/>
                <w:b w:val="1"/>
                <w:bCs w:val="1"/>
                <w:color w:val="auto"/>
              </w:rPr>
              <w:t>Dollar Value) of Shares that May Yet</w:t>
            </w:r>
          </w:p>
        </w:tc>
      </w:tr>
      <w:tr>
        <w:trPr>
          <w:trHeight w:val="216"/>
        </w:trPr>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of Shares</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w:t>
            </w:r>
          </w:p>
        </w:tc>
        <w:tc>
          <w:tcPr>
            <w:tcW w:w="3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Purchased as Part of Publicly</w:t>
            </w:r>
          </w:p>
        </w:tc>
        <w:tc>
          <w:tcPr>
            <w:tcW w:w="3000" w:type="dxa"/>
            <w:vAlign w:val="bottom"/>
          </w:tcPr>
          <w:p>
            <w:pPr>
              <w:jc w:val="center"/>
              <w:ind w:right="219"/>
              <w:spacing w:after="0"/>
              <w:rPr>
                <w:sz w:val="20"/>
                <w:szCs w:val="20"/>
                <w:color w:val="auto"/>
              </w:rPr>
            </w:pPr>
            <w:r>
              <w:rPr>
                <w:rFonts w:ascii="Arial" w:cs="Arial" w:eastAsia="Arial" w:hAnsi="Arial"/>
                <w:sz w:val="14"/>
                <w:szCs w:val="14"/>
                <w:b w:val="1"/>
                <w:bCs w:val="1"/>
                <w:color w:val="auto"/>
              </w:rPr>
              <w:t>Be Purchased Under the</w:t>
            </w:r>
          </w:p>
        </w:tc>
      </w:tr>
      <w:tr>
        <w:trPr>
          <w:trHeight w:val="222"/>
        </w:trPr>
        <w:tc>
          <w:tcPr>
            <w:tcW w:w="22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Announced Plans or Programs</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rPr>
              <w:t>Plans or Programs</w:t>
            </w:r>
          </w:p>
        </w:tc>
      </w:tr>
      <w:tr>
        <w:trPr>
          <w:trHeight w:val="256"/>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2019</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160" w:type="dxa"/>
            <w:vAlign w:val="bottom"/>
            <w:gridSpan w:val="3"/>
            <w:shd w:val="clear" w:color="auto" w:fill="CCEEFF"/>
          </w:tcPr>
          <w:p>
            <w:pPr>
              <w:ind w:left="2560"/>
              <w:spacing w:after="0"/>
              <w:rPr>
                <w:sz w:val="20"/>
                <w:szCs w:val="20"/>
                <w:color w:val="auto"/>
              </w:rPr>
            </w:pPr>
            <w:r>
              <w:rPr>
                <w:rFonts w:ascii="Arial" w:cs="Arial" w:eastAsia="Arial" w:hAnsi="Arial"/>
                <w:sz w:val="18"/>
                <w:szCs w:val="18"/>
                <w:color w:val="auto"/>
              </w:rPr>
              <w:t>—  $</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550,945,824</w:t>
            </w:r>
          </w:p>
        </w:tc>
      </w:tr>
      <w:tr>
        <w:trPr>
          <w:trHeight w:val="25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2019</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550,945,824</w:t>
            </w:r>
          </w:p>
        </w:tc>
      </w:tr>
      <w:tr>
        <w:trPr>
          <w:trHeight w:val="257"/>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2019</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12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CCEEFF"/>
          </w:tcPr>
          <w:p>
            <w:pPr>
              <w:spacing w:after="0"/>
              <w:rPr>
                <w:sz w:val="22"/>
                <w:szCs w:val="22"/>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530,847,257</w:t>
            </w:r>
          </w:p>
        </w:tc>
      </w:tr>
      <w:tr>
        <w:trPr>
          <w:trHeight w:val="257"/>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412,000</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Pr>
          <w:p>
            <w:pPr>
              <w:spacing w:after="0"/>
              <w:rPr>
                <w:sz w:val="22"/>
                <w:szCs w:val="22"/>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412,000</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rPr>
              <w:t>N/A</w:t>
            </w:r>
          </w:p>
        </w:tc>
      </w:tr>
      <w:tr>
        <w:trPr>
          <w:trHeight w:val="21"/>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modified common stock repurchase program, the Company may purchase up to $1.0 billion of its common stock through the period ending December 31, 2020. Through June 30, 2019, the Company had repurchased a total of 23.0 million shares of its stock for $469.2 million, leaving remaining capacity of $530.8 million under the stock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927"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w:t>
      </w:r>
    </w:p>
    <w:p>
      <w:pPr>
        <w:spacing w:after="0" w:line="266"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0000FF"/>
        </w:rPr>
        <w:t>Amended and Restated 2005 Equity Compensation Plan of LiveRamp Holdings, Inc.</w:t>
      </w:r>
    </w:p>
    <w:p>
      <w:pPr>
        <w:spacing w:after="0" w:line="306" w:lineRule="exact"/>
        <w:rPr>
          <w:sz w:val="20"/>
          <w:szCs w:val="20"/>
          <w:color w:val="auto"/>
        </w:rPr>
      </w:pPr>
    </w:p>
    <w:p>
      <w:pPr>
        <w:ind w:left="1180" w:right="120" w:hanging="584"/>
        <w:spacing w:after="0" w:line="227" w:lineRule="auto"/>
        <w:tabs>
          <w:tab w:leader="none" w:pos="11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Chief Executive Officer (principal executive officer) pursuant to SEC Rule 13a-14(a)/15d-14(a), as adopted pursuant to Sections 302 and 404 of the Sarbanes-Oxley Act of 2002</w:t>
      </w:r>
    </w:p>
    <w:p>
      <w:pPr>
        <w:spacing w:after="0" w:line="243" w:lineRule="exact"/>
        <w:rPr>
          <w:sz w:val="20"/>
          <w:szCs w:val="20"/>
          <w:color w:val="auto"/>
        </w:rPr>
      </w:pPr>
    </w:p>
    <w:p>
      <w:pPr>
        <w:ind w:left="1180" w:right="160" w:hanging="584"/>
        <w:spacing w:after="0" w:line="219" w:lineRule="auto"/>
        <w:tabs>
          <w:tab w:leader="none" w:pos="11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President, Chief Financial Officer and Executive Managing Director of International (principal financial and accounting officer) pursuant to SEC Rule 13a-14(a)/15d-14(a), as adopted pursuant to Sections 302 and 404 of the Sarbanes-Oxley Act of 2002</w:t>
      </w:r>
    </w:p>
    <w:p>
      <w:pPr>
        <w:spacing w:after="0" w:line="284" w:lineRule="exact"/>
        <w:rPr>
          <w:sz w:val="20"/>
          <w:szCs w:val="20"/>
          <w:color w:val="auto"/>
        </w:rPr>
      </w:pPr>
    </w:p>
    <w:p>
      <w:pPr>
        <w:ind w:left="1180" w:right="680" w:hanging="584"/>
        <w:spacing w:after="0" w:line="227" w:lineRule="auto"/>
        <w:tabs>
          <w:tab w:leader="none" w:pos="11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FF"/>
        </w:rPr>
        <w:t>Certification of Chief Executive Officer (principal executive officer) pursuant to 18 U.S.C. Section 1350, as adopted pursuant to Section 906 of the Sarbanes-Oxley Act of 2002</w:t>
      </w:r>
    </w:p>
    <w:p>
      <w:pPr>
        <w:spacing w:after="0" w:line="243" w:lineRule="exact"/>
        <w:rPr>
          <w:sz w:val="20"/>
          <w:szCs w:val="20"/>
          <w:color w:val="auto"/>
        </w:rPr>
      </w:pPr>
    </w:p>
    <w:p>
      <w:pPr>
        <w:jc w:val="both"/>
        <w:ind w:left="1180" w:right="120" w:hanging="584"/>
        <w:spacing w:after="0" w:line="219" w:lineRule="auto"/>
        <w:tabs>
          <w:tab w:leader="none" w:pos="11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FF"/>
        </w:rPr>
        <w:t>Certification of President, Chief Financial Officer and Executive Managing Director of International (principal financial and accounting officer) pursuant to 18 U.S.C. Section 1350, as adopted pursuant to Section 906 of the Sarbanes-Oxley Act of 2002</w:t>
      </w:r>
    </w:p>
    <w:p>
      <w:pPr>
        <w:spacing w:after="0" w:line="257" w:lineRule="exact"/>
        <w:rPr>
          <w:sz w:val="20"/>
          <w:szCs w:val="20"/>
          <w:color w:val="auto"/>
        </w:rPr>
      </w:pPr>
    </w:p>
    <w:p>
      <w:pPr>
        <w:ind w:left="1180" w:hanging="527"/>
        <w:spacing w:after="0" w:line="23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quarter ended June 30, 2019, formatted in XBRL: (i) Condensed Consolidated Balance Sheets at June 30, 2019, and March 31, 2019, (ii) Condensed Consolidated Statements of Operations for the Three Months ended June 30, 2019 and 2018, (iii) Condensed Consolidated Statements of Comprehensive Loss for the Three Months ended June 30, 2019 and 2018, (iv) Condensed Consolidated Statements of Equity for the Three Months ended June 30, 2019 and 2018, (v) Condensed Consolidated Statements of Cash Flows for the Three Months ended June 30, 2019 and 2018, and (vi) the Notes to Condensed Consolidated Financial Statements, tagged in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240" w:top="927" w:right="69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LiveRamp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wp:posOffset>
            </wp:positionV>
            <wp:extent cx="3610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5, 2019</w:t>
      </w:r>
    </w:p>
    <w:p>
      <w:pPr>
        <w:spacing w:after="0" w:line="266" w:lineRule="exact"/>
        <w:rPr>
          <w:sz w:val="20"/>
          <w:szCs w:val="20"/>
          <w:color w:val="auto"/>
        </w:rPr>
      </w:pPr>
    </w:p>
    <w:tbl>
      <w:tblPr>
        <w:tblLayout w:type="fixed"/>
        <w:tblInd w:w="572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C. Jenson</w:t>
            </w:r>
          </w:p>
        </w:tc>
      </w:tr>
      <w:tr>
        <w:trPr>
          <w:trHeight w:val="223"/>
        </w:trPr>
        <w:tc>
          <w:tcPr>
            <w:tcW w:w="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230"/>
        </w:trPr>
        <w:tc>
          <w:tcPr>
            <w:tcW w:w="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Warren C. Jenson</w:t>
            </w:r>
          </w:p>
        </w:tc>
      </w:tr>
      <w:tr>
        <w:trPr>
          <w:trHeight w:val="229"/>
        </w:trPr>
        <w:tc>
          <w:tcPr>
            <w:tcW w:w="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President, Chief Financial Officer and Executive Managing</w:t>
            </w:r>
          </w:p>
        </w:tc>
      </w:tr>
      <w:tr>
        <w:trPr>
          <w:trHeight w:val="217"/>
        </w:trPr>
        <w:tc>
          <w:tcPr>
            <w:tcW w:w="60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Director of International</w:t>
            </w:r>
          </w:p>
        </w:tc>
      </w:tr>
      <w:tr>
        <w:trPr>
          <w:trHeight w:val="243"/>
        </w:trPr>
        <w:tc>
          <w:tcPr>
            <w:tcW w:w="600" w:type="dxa"/>
            <w:vAlign w:val="bottom"/>
          </w:tcPr>
          <w:p>
            <w:pPr>
              <w:spacing w:after="0"/>
              <w:rPr>
                <w:sz w:val="21"/>
                <w:szCs w:val="21"/>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949" w:right="279" w:bottom="1440" w:gutter="0" w:footer="0" w:header="0"/>
        </w:sectPr>
      </w:pPr>
    </w:p>
    <w:bookmarkStart w:id="42" w:name="page43"/>
    <w:bookmarkEnd w:id="42"/>
    <w:p>
      <w:pPr>
        <w:jc w:val="center"/>
        <w:ind w:right="80"/>
        <w:spacing w:after="0"/>
        <w:rPr>
          <w:sz w:val="20"/>
          <w:szCs w:val="20"/>
          <w:color w:val="auto"/>
        </w:rPr>
      </w:pPr>
      <w:r>
        <w:rPr>
          <w:rFonts w:ascii="Arial" w:cs="Arial" w:eastAsia="Arial" w:hAnsi="Arial"/>
          <w:sz w:val="18"/>
          <w:szCs w:val="18"/>
          <w:b w:val="1"/>
          <w:bCs w:val="1"/>
          <w:color w:val="auto"/>
        </w:rPr>
        <w:t>AMENDED AND RESTATED</w:t>
      </w:r>
    </w:p>
    <w:p>
      <w:pPr>
        <w:spacing w:after="0" w:line="3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2005 EQUITY COMPENSATION PLAN</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LIVERAMP HOLDINGS, INC.</w:t>
      </w:r>
    </w:p>
    <w:p>
      <w:pPr>
        <w:spacing w:after="0" w:line="252" w:lineRule="exact"/>
        <w:rPr>
          <w:sz w:val="20"/>
          <w:szCs w:val="20"/>
          <w:color w:val="auto"/>
        </w:rPr>
      </w:pPr>
    </w:p>
    <w:p>
      <w:pPr>
        <w:jc w:val="both"/>
        <w:ind w:firstLine="495"/>
        <w:spacing w:after="0" w:line="251" w:lineRule="auto"/>
        <w:tabs>
          <w:tab w:leader="none" w:pos="1204"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Establishment and Purpose.</w:t>
      </w:r>
      <w:r>
        <w:rPr>
          <w:rFonts w:ascii="Arial" w:cs="Arial" w:eastAsia="Arial" w:hAnsi="Arial"/>
          <w:sz w:val="18"/>
          <w:szCs w:val="18"/>
          <w:color w:val="auto"/>
        </w:rPr>
        <w:t xml:space="preserve"> This Amended and Restated 2005 Equity Compensation Plan of LiveRamp Holdings, Inc. (the “Plan”) was originally established under the name of the 2000 Associate Stock Option Plan of Acxiom Corporation, the predecessor of LiveRamp Holdings, Inc. (“Company”). The Plan has been amended from time to time and hereby is amended and restated as set forth herein, effective August 1, 2018, for awards issued on or after that date. The purpose of the Plan is to further the growth and development of the Company and any of its present or future Subsidiaries and Affiliated Companies (as defined below) by allowing certain Associates (as defined below) to acquire or increase equity ownership in the Company, thereby offering such Associates a proprietary interest in the Company’s business and a more direct stake in its continuing welfare, and aligning their interests with those of the Company’s stockholders. The Plan is also intended to assist the Company in attracting and retaining talented Associates, who are vital to the continued development and success of the Company.</w:t>
      </w:r>
    </w:p>
    <w:p>
      <w:pPr>
        <w:spacing w:after="0" w:line="239" w:lineRule="exact"/>
        <w:rPr>
          <w:rFonts w:ascii="Arial" w:cs="Arial" w:eastAsia="Arial" w:hAnsi="Arial"/>
          <w:sz w:val="18"/>
          <w:szCs w:val="18"/>
          <w:u w:val="single" w:color="auto"/>
          <w:color w:val="auto"/>
        </w:rPr>
      </w:pPr>
    </w:p>
    <w:p>
      <w:pPr>
        <w:ind w:left="1300" w:hanging="805"/>
        <w:spacing w:after="0"/>
        <w:tabs>
          <w:tab w:leader="none" w:pos="1300"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when used in the Plan, have the following meanings:</w:t>
      </w:r>
    </w:p>
    <w:p>
      <w:pPr>
        <w:spacing w:after="0" w:line="200" w:lineRule="exact"/>
        <w:rPr>
          <w:rFonts w:ascii="Arial" w:cs="Arial" w:eastAsia="Arial" w:hAnsi="Arial"/>
          <w:sz w:val="18"/>
          <w:szCs w:val="18"/>
          <w:u w:val="single" w:color="auto"/>
          <w:color w:val="auto"/>
        </w:rPr>
      </w:pPr>
    </w:p>
    <w:p>
      <w:pPr>
        <w:spacing w:after="0" w:line="295" w:lineRule="exact"/>
        <w:rPr>
          <w:rFonts w:ascii="Arial" w:cs="Arial" w:eastAsia="Arial" w:hAnsi="Arial"/>
          <w:sz w:val="18"/>
          <w:szCs w:val="18"/>
          <w:u w:val="single" w:color="auto"/>
          <w:color w:val="auto"/>
        </w:rPr>
      </w:pPr>
    </w:p>
    <w:p>
      <w:pPr>
        <w:ind w:left="1860" w:hanging="635"/>
        <w:spacing w:after="0"/>
        <w:tabs>
          <w:tab w:leader="none" w:pos="1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 means the Securities Exchange Act of 1934, as amended and in effect from time to time.</w:t>
      </w:r>
    </w:p>
    <w:p>
      <w:pPr>
        <w:spacing w:after="0" w:line="252" w:lineRule="exact"/>
        <w:rPr>
          <w:rFonts w:ascii="Arial" w:cs="Arial" w:eastAsia="Arial" w:hAnsi="Arial"/>
          <w:sz w:val="18"/>
          <w:szCs w:val="18"/>
          <w:color w:val="auto"/>
        </w:rPr>
      </w:pPr>
    </w:p>
    <w:p>
      <w:pPr>
        <w:ind w:left="1860" w:hanging="635"/>
        <w:spacing w:after="0"/>
        <w:tabs>
          <w:tab w:leader="none" w:pos="18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“Affiliated Company” means any corporation, limited liability company, partnership, limited liability partnership,</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joint venture or other entity in which the Company or any of its Subsidiaries has an ownership interest.</w:t>
      </w:r>
    </w:p>
    <w:p>
      <w:pPr>
        <w:spacing w:after="0" w:line="9" w:lineRule="exact"/>
        <w:rPr>
          <w:sz w:val="20"/>
          <w:szCs w:val="20"/>
          <w:color w:val="auto"/>
        </w:rPr>
      </w:pPr>
    </w:p>
    <w:p>
      <w:pPr>
        <w:jc w:val="both"/>
        <w:ind w:left="1220" w:right="680" w:firstLine="5"/>
        <w:spacing w:after="0" w:line="254" w:lineRule="auto"/>
        <w:tabs>
          <w:tab w:leader="none" w:pos="15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“Associate” means any employee, officer (whether or not also a director), director, affiliate, independent contractor or consultant of the Company, a Subsidiary or an Affiliated Company who renders those types of services which tend to contribute to the success of the Company, its Subsidiaries or its Affiliated Companies, or which may reasonably be anticipated to contribute to the future success of the Company, its Subsidiaries or its Affiliated Companies.</w:t>
      </w:r>
    </w:p>
    <w:p>
      <w:pPr>
        <w:spacing w:after="0" w:line="204" w:lineRule="exact"/>
        <w:rPr>
          <w:rFonts w:ascii="Arial" w:cs="Arial" w:eastAsia="Arial" w:hAnsi="Arial"/>
          <w:sz w:val="18"/>
          <w:szCs w:val="18"/>
          <w:color w:val="auto"/>
        </w:rPr>
      </w:pPr>
    </w:p>
    <w:p>
      <w:pPr>
        <w:jc w:val="both"/>
        <w:ind w:left="1220" w:right="680" w:firstLine="5"/>
        <w:spacing w:after="0" w:line="254" w:lineRule="auto"/>
        <w:tabs>
          <w:tab w:leader="none" w:pos="15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 means the grant, pursuant to the Plan, of any Option, Stock Appreciation Right, Restricted Stock Award, Restricted Stock Unit Award, Performance Awards, Performance Share, Performance Unit, Qualified Performance-Based Award, or Other Stock Unit Award. The terms and conditions applicable to an Award shall be set forth in applicable Grant Documents.</w:t>
      </w:r>
    </w:p>
    <w:p>
      <w:pPr>
        <w:spacing w:after="0" w:line="231" w:lineRule="exact"/>
        <w:rPr>
          <w:rFonts w:ascii="Arial" w:cs="Arial" w:eastAsia="Arial" w:hAnsi="Arial"/>
          <w:sz w:val="18"/>
          <w:szCs w:val="18"/>
          <w:color w:val="auto"/>
        </w:rPr>
      </w:pPr>
    </w:p>
    <w:p>
      <w:pPr>
        <w:jc w:val="both"/>
        <w:ind w:left="1220" w:right="700" w:firstLine="5"/>
        <w:spacing w:after="0" w:line="256" w:lineRule="auto"/>
        <w:tabs>
          <w:tab w:leader="none" w:pos="15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 Agreement” means any written or electronic agreement, contract, or other document or instrument evidencing any Award granted by the Committee or the Board hereunder, which may, but need not, be executed or acknowledged by both the Company and the Participant.</w:t>
      </w:r>
    </w:p>
    <w:p>
      <w:pPr>
        <w:spacing w:after="0" w:line="201" w:lineRule="exact"/>
        <w:rPr>
          <w:rFonts w:ascii="Arial" w:cs="Arial" w:eastAsia="Arial" w:hAnsi="Arial"/>
          <w:sz w:val="18"/>
          <w:szCs w:val="18"/>
          <w:color w:val="auto"/>
        </w:rPr>
      </w:pPr>
    </w:p>
    <w:p>
      <w:pPr>
        <w:ind w:left="1440" w:hanging="215"/>
        <w:spacing w:after="0"/>
        <w:tabs>
          <w:tab w:leader="none" w:pos="1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500" w:hanging="275"/>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and in effect from time to time.</w:t>
      </w:r>
    </w:p>
    <w:p>
      <w:pPr>
        <w:spacing w:after="0" w:line="225" w:lineRule="exact"/>
        <w:rPr>
          <w:rFonts w:ascii="Arial" w:cs="Arial" w:eastAsia="Arial" w:hAnsi="Arial"/>
          <w:sz w:val="18"/>
          <w:szCs w:val="18"/>
          <w:color w:val="auto"/>
        </w:rPr>
      </w:pPr>
    </w:p>
    <w:p>
      <w:pPr>
        <w:jc w:val="both"/>
        <w:ind w:left="1220" w:right="700" w:firstLine="5"/>
        <w:spacing w:after="0" w:line="256" w:lineRule="auto"/>
        <w:tabs>
          <w:tab w:leader="none" w:pos="15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“Common Stock” means the common stock, par value $.10 per share, of the Company or any security into which such common stock may be changed by reason of any transaction or event of the type described in Section 16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320" w:top="1413" w:right="239" w:bottom="1440" w:gutter="0" w:footer="0" w:header="0"/>
        </w:sectPr>
      </w:pPr>
    </w:p>
    <w:bookmarkStart w:id="43" w:name="page44"/>
    <w:bookmarkEnd w:id="43"/>
    <w:p>
      <w:pPr>
        <w:jc w:val="both"/>
        <w:ind w:left="100" w:right="20" w:firstLine="5"/>
        <w:spacing w:after="0" w:line="252"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(as well as any successor to the Compensation Committee and any Company officers to whom authority has been lawfully delegated by the Compensation Committee). All of the members of the Committee, which may not be less than two, are intended at all times to qualify as “outside directors” within the meaning of Section 162(m) of the Code and “Non-Employee Directors” within the meaning of Rule 16b-3, and each of whom is “independent” as set forth in the applicable rules and regulations of the Securities and Exchange Commission and/or Nasdaq or any stock exchange upon which the Shares may be listed in the future; provided, however, that the failure of a member of such Committee to so qualify shall not be deemed to invalidate any Award granted by such Committee.</w:t>
      </w:r>
    </w:p>
    <w:p>
      <w:pPr>
        <w:spacing w:after="0" w:line="206" w:lineRule="exact"/>
        <w:rPr>
          <w:rFonts w:ascii="Arial" w:cs="Arial" w:eastAsia="Arial" w:hAnsi="Arial"/>
          <w:sz w:val="18"/>
          <w:szCs w:val="18"/>
          <w:color w:val="auto"/>
        </w:rPr>
      </w:pPr>
    </w:p>
    <w:p>
      <w:pPr>
        <w:ind w:left="100" w:right="20" w:firstLine="5"/>
        <w:spacing w:after="0" w:line="262" w:lineRule="auto"/>
        <w:tabs>
          <w:tab w:leader="none" w:pos="3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“Covered Associate” shall mean a “covered employee” within the meaning of Section 162(m)(3) of the Code, or any successor provision thereto.</w:t>
      </w:r>
    </w:p>
    <w:p>
      <w:pPr>
        <w:spacing w:after="0" w:line="223" w:lineRule="exact"/>
        <w:rPr>
          <w:rFonts w:ascii="Arial" w:cs="Arial" w:eastAsia="Arial" w:hAnsi="Arial"/>
          <w:sz w:val="18"/>
          <w:szCs w:val="18"/>
          <w:color w:val="auto"/>
        </w:rPr>
      </w:pPr>
    </w:p>
    <w:p>
      <w:pPr>
        <w:ind w:left="100" w:firstLine="5"/>
        <w:spacing w:after="0" w:line="262" w:lineRule="auto"/>
        <w:tabs>
          <w:tab w:leader="none" w:pos="37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“Date of Grant” means the date specified by the Committee or the Board, as applicable, on which a grant of an Award will become effective.</w:t>
      </w:r>
    </w:p>
    <w:p>
      <w:pPr>
        <w:spacing w:after="0" w:line="196" w:lineRule="exact"/>
        <w:rPr>
          <w:rFonts w:ascii="Arial" w:cs="Arial" w:eastAsia="Arial" w:hAnsi="Arial"/>
          <w:sz w:val="18"/>
          <w:szCs w:val="18"/>
          <w:color w:val="auto"/>
        </w:rPr>
      </w:pPr>
    </w:p>
    <w:p>
      <w:pPr>
        <w:ind w:left="100" w:right="20" w:firstLine="5"/>
        <w:spacing w:after="0" w:line="262" w:lineRule="auto"/>
        <w:tabs>
          <w:tab w:leader="none" w:pos="3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Period” means the period during which an Option shall vest and become exercisable by a Participant (or his or her representatives or transferees) as specified in Section 6(c) below.</w:t>
      </w:r>
    </w:p>
    <w:p>
      <w:pPr>
        <w:spacing w:after="0" w:line="223" w:lineRule="exact"/>
        <w:rPr>
          <w:rFonts w:ascii="Arial" w:cs="Arial" w:eastAsia="Arial" w:hAnsi="Arial"/>
          <w:sz w:val="18"/>
          <w:szCs w:val="18"/>
          <w:color w:val="auto"/>
        </w:rPr>
      </w:pPr>
    </w:p>
    <w:p>
      <w:pPr>
        <w:ind w:left="420" w:hanging="315"/>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Price” means the purchase price per share payable upon exercise of an Option.</w:t>
      </w:r>
    </w:p>
    <w:p>
      <w:pPr>
        <w:spacing w:after="0" w:line="225" w:lineRule="exact"/>
        <w:rPr>
          <w:rFonts w:ascii="Arial" w:cs="Arial" w:eastAsia="Arial" w:hAnsi="Arial"/>
          <w:sz w:val="18"/>
          <w:szCs w:val="18"/>
          <w:color w:val="auto"/>
        </w:rPr>
      </w:pPr>
    </w:p>
    <w:p>
      <w:pPr>
        <w:jc w:val="both"/>
        <w:ind w:left="100" w:firstLine="5"/>
        <w:spacing w:after="0" w:line="256" w:lineRule="auto"/>
        <w:tabs>
          <w:tab w:leader="none" w:pos="3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“Fair Market Value” means, as of any applicable determination date or for any applicable determination period, the closing price of the Company’s Common Stock as reported by Nasdaq (or any other stock exchange upon which the Common Stock may be listed for trading).</w:t>
      </w:r>
    </w:p>
    <w:p>
      <w:pPr>
        <w:spacing w:after="0" w:line="201" w:lineRule="exact"/>
        <w:rPr>
          <w:rFonts w:ascii="Arial" w:cs="Arial" w:eastAsia="Arial" w:hAnsi="Arial"/>
          <w:sz w:val="18"/>
          <w:szCs w:val="18"/>
          <w:color w:val="auto"/>
        </w:rPr>
      </w:pPr>
    </w:p>
    <w:p>
      <w:pPr>
        <w:jc w:val="both"/>
        <w:ind w:left="100" w:right="20" w:firstLine="5"/>
        <w:spacing w:after="0" w:line="256" w:lineRule="auto"/>
        <w:tabs>
          <w:tab w:leader="none" w:pos="4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Documents” means any written or electronic Award Agreement, memorandum, notice, and/or other document or instrument evidencing the terms and conditions of the grant of an Award by the Committee or the Board under the Plan, which may, but need not, be executed or acknowledged by both the Company and the Participant.</w:t>
      </w:r>
    </w:p>
    <w:p>
      <w:pPr>
        <w:spacing w:after="0" w:line="201" w:lineRule="exact"/>
        <w:rPr>
          <w:rFonts w:ascii="Arial" w:cs="Arial" w:eastAsia="Arial" w:hAnsi="Arial"/>
          <w:sz w:val="18"/>
          <w:szCs w:val="18"/>
          <w:color w:val="auto"/>
        </w:rPr>
      </w:pPr>
    </w:p>
    <w:p>
      <w:pPr>
        <w:ind w:left="100" w:right="20" w:firstLine="5"/>
        <w:spacing w:after="0" w:line="262" w:lineRule="auto"/>
        <w:tabs>
          <w:tab w:leader="none" w:pos="3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“Incentive Stock Option” means an Option intended to be and designated as an “Incentive Stock Option” within the meaning of Section 422 of the Code.</w:t>
      </w:r>
    </w:p>
    <w:p>
      <w:pPr>
        <w:spacing w:after="0" w:line="196" w:lineRule="exact"/>
        <w:rPr>
          <w:rFonts w:ascii="Arial" w:cs="Arial" w:eastAsia="Arial" w:hAnsi="Arial"/>
          <w:sz w:val="18"/>
          <w:szCs w:val="18"/>
          <w:color w:val="auto"/>
        </w:rPr>
      </w:pPr>
    </w:p>
    <w:p>
      <w:pPr>
        <w:jc w:val="both"/>
        <w:ind w:left="100" w:right="20" w:firstLine="5"/>
        <w:spacing w:after="0" w:line="216" w:lineRule="exact"/>
        <w:tabs>
          <w:tab w:leader="none" w:pos="3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Requirements” means any laws, or any rules or regulations issued or promulgated by the Internal Revenue Service (including Section 422 of the Code), the Securities and Exchange Commission, the National Association of Securities Dealers, Inc., Nasdaq (or any other stock exchange upon which the Common Stock may be listed for trading), or any other governmental or quasi</w:t>
      </w:r>
      <w:r>
        <w:rPr>
          <w:rFonts w:ascii="MS PGothic" w:cs="MS PGothic" w:eastAsia="MS PGothic" w:hAnsi="MS PGothic"/>
          <w:sz w:val="18"/>
          <w:szCs w:val="18"/>
          <w:color w:val="auto"/>
        </w:rPr>
        <w:t>‑</w:t>
      </w:r>
      <w:r>
        <w:rPr>
          <w:rFonts w:ascii="Arial" w:cs="Arial" w:eastAsia="Arial" w:hAnsi="Arial"/>
          <w:sz w:val="18"/>
          <w:szCs w:val="18"/>
          <w:color w:val="auto"/>
        </w:rPr>
        <w:t>governmental agency having jurisdiction over the Company, the Common Stock or the Plan.</w:t>
      </w:r>
    </w:p>
    <w:p>
      <w:pPr>
        <w:spacing w:after="0" w:line="218" w:lineRule="exact"/>
        <w:rPr>
          <w:rFonts w:ascii="Arial" w:cs="Arial" w:eastAsia="Arial" w:hAnsi="Arial"/>
          <w:sz w:val="18"/>
          <w:szCs w:val="18"/>
          <w:color w:val="auto"/>
        </w:rPr>
      </w:pPr>
    </w:p>
    <w:p>
      <w:pPr>
        <w:ind w:left="340" w:hanging="235"/>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“Non-Qualified Stock Option” means any Option that is not an Incentive Stock Option.</w:t>
      </w:r>
    </w:p>
    <w:p>
      <w:pPr>
        <w:spacing w:after="0" w:line="225" w:lineRule="exact"/>
        <w:rPr>
          <w:rFonts w:ascii="Arial" w:cs="Arial" w:eastAsia="Arial" w:hAnsi="Arial"/>
          <w:sz w:val="18"/>
          <w:szCs w:val="18"/>
          <w:color w:val="auto"/>
        </w:rPr>
      </w:pPr>
    </w:p>
    <w:p>
      <w:pPr>
        <w:jc w:val="both"/>
        <w:ind w:left="100" w:right="20" w:firstLine="5"/>
        <w:spacing w:after="0" w:line="256" w:lineRule="auto"/>
        <w:tabs>
          <w:tab w:leader="none" w:pos="3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“Option” means an option granted to a Participant pursuant to the Plan to acquire a certain number of Shares at such price(s) and during such period(s) and under such other terms and conditions as the Committee or Board shall determine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540"/>
          </w:cols>
          <w:pgMar w:left="1440" w:top="1435" w:right="919" w:bottom="1440" w:gutter="0" w:footer="0" w:header="0"/>
        </w:sectPr>
      </w:pPr>
    </w:p>
    <w:bookmarkStart w:id="44" w:name="page45"/>
    <w:bookmarkEnd w:id="44"/>
    <w:p>
      <w:pPr>
        <w:ind w:left="100" w:right="20" w:firstLine="5"/>
        <w:spacing w:after="0" w:line="262" w:lineRule="auto"/>
        <w:tabs>
          <w:tab w:leader="none" w:pos="3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Stock Unit Award” means any right granted to a Participant by the Committee or Board pursuant to Section 10 hereof.</w:t>
      </w:r>
    </w:p>
    <w:p>
      <w:pPr>
        <w:spacing w:after="0" w:line="196" w:lineRule="exact"/>
        <w:rPr>
          <w:rFonts w:ascii="Arial" w:cs="Arial" w:eastAsia="Arial" w:hAnsi="Arial"/>
          <w:sz w:val="18"/>
          <w:szCs w:val="18"/>
          <w:color w:val="auto"/>
        </w:rPr>
      </w:pPr>
    </w:p>
    <w:p>
      <w:pPr>
        <w:ind w:left="100" w:right="20" w:firstLine="5"/>
        <w:spacing w:after="0" w:line="262" w:lineRule="auto"/>
        <w:tabs>
          <w:tab w:leader="none" w:pos="3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“Participant” means an Associate who is selected by the Committee or the Board to receive an Award under the Plan.</w:t>
      </w:r>
    </w:p>
    <w:p>
      <w:pPr>
        <w:spacing w:after="0" w:line="196" w:lineRule="exact"/>
        <w:rPr>
          <w:rFonts w:ascii="Arial" w:cs="Arial" w:eastAsia="Arial" w:hAnsi="Arial"/>
          <w:sz w:val="18"/>
          <w:szCs w:val="18"/>
          <w:color w:val="auto"/>
        </w:rPr>
      </w:pPr>
    </w:p>
    <w:p>
      <w:pPr>
        <w:ind w:left="100" w:right="20" w:firstLine="5"/>
        <w:spacing w:after="0" w:line="262" w:lineRule="auto"/>
        <w:tabs>
          <w:tab w:leader="none" w:pos="3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Award” means any Award of Performance Shares or Performance Units pursuant to Section 9 hereof.</w:t>
      </w:r>
    </w:p>
    <w:p>
      <w:pPr>
        <w:spacing w:after="0" w:line="223" w:lineRule="exact"/>
        <w:rPr>
          <w:rFonts w:ascii="Arial" w:cs="Arial" w:eastAsia="Arial" w:hAnsi="Arial"/>
          <w:sz w:val="18"/>
          <w:szCs w:val="18"/>
          <w:color w:val="auto"/>
        </w:rPr>
      </w:pPr>
    </w:p>
    <w:p>
      <w:pPr>
        <w:jc w:val="both"/>
        <w:ind w:left="100" w:firstLine="5"/>
        <w:spacing w:after="0" w:line="251" w:lineRule="auto"/>
        <w:tabs>
          <w:tab w:leader="none" w:pos="423"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Goals” means the pre-established objective performance goals established by the Committee for each Performance Period. The Performance Goals may be based upon the performance of the Company (or a division, organization or other business unit thereof), a Subsidiary, an Affiliated Company, or of an individual Participant, using one or more of the Performance Measures selected by the Committee in its discretion. Performance Goals may be set at a specific level, or may be expressed as a relative percentage to the comparable measure at comparison companies or a defined index. Performance Goals shall, to the extent applicable, be based upon generally accepted accounting principles, but shall be adjusted by the Committee to take into account the effect of the following: changes in accounting standards that may be required by the Financial Accounting Standards Board after the Performance Goal is established; realized investment gains and losses; extraordinary, unusual, non-recurring, or infrequent items; “non-GAAP financial measures” that have been included in the Company’s quarterly earnings releases and disclosed to investors in accordance with SEC regulations; and other items as the Committee determines to be required so that the operating results of the Company (or a division, organization or other business unit thereof), a Subsidiary or an Affiliated Company shall be computed on a comparative basis from Performance Period to Performance Period. Determinations made by the Committee shall be based on relevant objective information and/or financial data, and shall be final and conclusive with respect to all affected parties.</w:t>
      </w:r>
    </w:p>
    <w:p>
      <w:pPr>
        <w:spacing w:after="0" w:line="237" w:lineRule="exact"/>
        <w:rPr>
          <w:rFonts w:ascii="Arial" w:cs="Arial" w:eastAsia="Arial" w:hAnsi="Arial"/>
          <w:sz w:val="18"/>
          <w:szCs w:val="18"/>
          <w:color w:val="auto"/>
        </w:rPr>
      </w:pPr>
    </w:p>
    <w:p>
      <w:pPr>
        <w:ind w:left="360" w:hanging="255"/>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Measures” means one or more of the following criteria, on which Performance Goals may be based:</w:t>
      </w:r>
    </w:p>
    <w:p>
      <w:pPr>
        <w:spacing w:after="0" w:line="9" w:lineRule="exact"/>
        <w:rPr>
          <w:rFonts w:ascii="Arial" w:cs="Arial" w:eastAsia="Arial" w:hAnsi="Arial"/>
          <w:sz w:val="18"/>
          <w:szCs w:val="18"/>
          <w:color w:val="auto"/>
        </w:rPr>
      </w:pPr>
    </w:p>
    <w:p>
      <w:pPr>
        <w:jc w:val="both"/>
        <w:ind w:left="100" w:right="20" w:firstLine="5"/>
        <w:spacing w:after="0" w:line="250" w:lineRule="auto"/>
        <w:tabs>
          <w:tab w:leader="none" w:pos="3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(either in the aggregate or on a per-Share basis, reflecting dilution of Shares as the Committee deems appropriate and, if the Committee so determines, net of or including dividends) before or after interest and taxes (“EBIT”) or before or after interest, taxes, depreciation, and amortization (“EBITDA”); (b) gross or net revenue or changes in annual revenues; (c) cash flow(s) (including operating, free or net cash flows); (d) financial return ratios; (e) total stockholder return, stockholder return based on growth measures or the attainment by the Shares of a specified value for a specified period of time, (f) Share price, or Share price appreciation; (g) earnings growth or growth in earnings per Share; (h) return measures, including return or net return on assets, net assets, equity, capital, investment, or gross sales; (i) adjusted pre-tax margin; (j) pre-tax profits; (k) operating margins; (l) operating profits;</w:t>
      </w:r>
    </w:p>
    <w:p>
      <w:pPr>
        <w:spacing w:after="0" w:line="3" w:lineRule="exact"/>
        <w:rPr>
          <w:rFonts w:ascii="Arial" w:cs="Arial" w:eastAsia="Arial" w:hAnsi="Arial"/>
          <w:sz w:val="18"/>
          <w:szCs w:val="18"/>
          <w:color w:val="auto"/>
        </w:rPr>
      </w:pPr>
    </w:p>
    <w:p>
      <w:pPr>
        <w:jc w:val="both"/>
        <w:ind w:left="100" w:firstLine="5"/>
        <w:spacing w:after="0" w:line="252"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(n) dividends; (o) net income or net operating income; (p) growth in operating earnings or growth in earnings per Share; (q) value of assets; (r) market share or market penetration with respect to specific designated products or product groups and/or specific geographic areas; (s) aggregate product price and other product measures; (t) expense or cost levels, in each case, where applicable, determined either on a company-wide basis or in respect of any one or more specified divisions; (u) reduction of losses, loss ratios or expense ratios; (v) reduction in fixed costs; (w) operating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540"/>
          </w:cols>
          <w:pgMar w:left="1440" w:top="1435" w:right="919" w:bottom="1440" w:gutter="0" w:footer="0" w:header="0"/>
        </w:sectPr>
      </w:pPr>
    </w:p>
    <w:bookmarkStart w:id="45" w:name="page46"/>
    <w:bookmarkEnd w:id="45"/>
    <w:p>
      <w:pPr>
        <w:jc w:val="both"/>
        <w:ind w:left="100" w:right="20"/>
        <w:spacing w:after="0" w:line="256" w:lineRule="auto"/>
        <w:rPr>
          <w:sz w:val="20"/>
          <w:szCs w:val="20"/>
          <w:color w:val="auto"/>
        </w:rPr>
      </w:pPr>
      <w:r>
        <w:rPr>
          <w:rFonts w:ascii="Arial" w:cs="Arial" w:eastAsia="Arial" w:hAnsi="Arial"/>
          <w:sz w:val="18"/>
          <w:szCs w:val="18"/>
          <w:color w:val="auto"/>
        </w:rPr>
        <w:t>management; (x) cost of capital; (y) debt reduction; (z) productivity improvements; (aa) satisfaction of specified business expansion goals or goals relating to acquisitions or divestitures; (bb) customer satisfaction based on specified objective goals or a Company-sponsored customer survey; or (cc) Associate diversity goals.</w:t>
      </w:r>
    </w:p>
    <w:p>
      <w:pPr>
        <w:spacing w:after="0" w:line="202" w:lineRule="exact"/>
        <w:rPr>
          <w:sz w:val="20"/>
          <w:szCs w:val="20"/>
          <w:color w:val="auto"/>
        </w:rPr>
      </w:pPr>
    </w:p>
    <w:p>
      <w:pPr>
        <w:jc w:val="both"/>
        <w:ind w:left="100"/>
        <w:spacing w:after="0" w:line="252" w:lineRule="auto"/>
        <w:rPr>
          <w:sz w:val="20"/>
          <w:szCs w:val="20"/>
          <w:color w:val="auto"/>
        </w:rPr>
      </w:pPr>
      <w:r>
        <w:rPr>
          <w:rFonts w:ascii="Arial" w:cs="Arial" w:eastAsia="Arial" w:hAnsi="Arial"/>
          <w:sz w:val="18"/>
          <w:szCs w:val="18"/>
          <w:color w:val="auto"/>
        </w:rPr>
        <w:t>Performance Measures may be applied on a pre-tax or post-tax basis, and may be based upon the performance of the Company (or a division, organization or other business unit thereof), a Subsidiary, an Affiliated Company, or of an individual Participant. The Committee may, at time of grant, in the case of an Award intended to be a Qualified Performance-Based Award, and in the case of other grants, at any time, provide that the Performance Goals for such Award may include or exclude items to measure specific objectives, such as losses from discontinued operations, extraordinary gains or losses, the cumulative effect of accounting changes, acquisitions or divestitures, foreign exchange impacts, and any unusual nonrecurring gain or loss.</w:t>
      </w:r>
    </w:p>
    <w:p>
      <w:pPr>
        <w:spacing w:after="0" w:line="207" w:lineRule="exact"/>
        <w:rPr>
          <w:sz w:val="20"/>
          <w:szCs w:val="20"/>
          <w:color w:val="auto"/>
        </w:rPr>
      </w:pPr>
    </w:p>
    <w:p>
      <w:pPr>
        <w:jc w:val="both"/>
        <w:ind w:left="100" w:right="20" w:firstLine="5"/>
        <w:spacing w:after="0" w:line="256" w:lineRule="auto"/>
        <w:tabs>
          <w:tab w:leader="none" w:pos="3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Period” means that period established by the Committee or the Board at the time any Award is granted or at any time thereafter during which any performance goals specified by the Committee or the Board with respect to such Award are to be measured.</w:t>
      </w:r>
    </w:p>
    <w:p>
      <w:pPr>
        <w:spacing w:after="0" w:line="228" w:lineRule="exact"/>
        <w:rPr>
          <w:rFonts w:ascii="Arial" w:cs="Arial" w:eastAsia="Arial" w:hAnsi="Arial"/>
          <w:sz w:val="18"/>
          <w:szCs w:val="18"/>
          <w:color w:val="auto"/>
        </w:rPr>
      </w:pPr>
    </w:p>
    <w:p>
      <w:pPr>
        <w:jc w:val="both"/>
        <w:ind w:left="100" w:right="20" w:firstLine="5"/>
        <w:spacing w:after="0" w:line="253" w:lineRule="auto"/>
        <w:tabs>
          <w:tab w:leader="none" w:pos="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Share” means any grant pursuant to Section 9 hereof of a right to receive the value of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p>
    <w:p>
      <w:pPr>
        <w:spacing w:after="0" w:line="233" w:lineRule="exact"/>
        <w:rPr>
          <w:sz w:val="20"/>
          <w:szCs w:val="20"/>
          <w:color w:val="auto"/>
        </w:rPr>
      </w:pPr>
    </w:p>
    <w:p>
      <w:pPr>
        <w:jc w:val="both"/>
        <w:ind w:left="100" w:right="20" w:firstLine="5"/>
        <w:spacing w:after="0" w:line="253" w:lineRule="auto"/>
        <w:tabs>
          <w:tab w:leader="none" w:pos="4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 Unit” means any grant pursuant to Section 9 hereof of a right to receive the value of property other than a Share, or a portion or multiple thereof, which value may be paid to the Participant by delivery of such property as the Committee or Board shall determine, including, without limitation, cash, Shares, or any combination thereof, upon achievement of such Performance Goals during the Performance Period as the Committee or the Board shall establish at the time of such grant or thereafter.</w:t>
      </w:r>
    </w:p>
    <w:p>
      <w:pPr>
        <w:spacing w:after="0" w:line="232" w:lineRule="exact"/>
        <w:rPr>
          <w:rFonts w:ascii="Arial" w:cs="Arial" w:eastAsia="Arial" w:hAnsi="Arial"/>
          <w:sz w:val="18"/>
          <w:szCs w:val="18"/>
          <w:color w:val="auto"/>
        </w:rPr>
      </w:pPr>
    </w:p>
    <w:p>
      <w:pPr>
        <w:jc w:val="both"/>
        <w:ind w:left="100" w:right="20" w:firstLine="5"/>
        <w:spacing w:after="0" w:line="254" w:lineRule="auto"/>
        <w:tabs>
          <w:tab w:leader="none" w:pos="4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“Qualified Performance-Based Award” means an Award to a Covered Associate who is a salaried employee of the Company or to an Associate that the Committee determines may be a Covered Associate at the time the Company would be entitled to a deduction for such Award, which Award is intended to provide “qualified performance-based compensation” within the meaning of Code Section 162(m).</w:t>
      </w:r>
    </w:p>
    <w:p>
      <w:pPr>
        <w:spacing w:after="0" w:line="231" w:lineRule="exact"/>
        <w:rPr>
          <w:rFonts w:ascii="Arial" w:cs="Arial" w:eastAsia="Arial" w:hAnsi="Arial"/>
          <w:sz w:val="18"/>
          <w:szCs w:val="18"/>
          <w:color w:val="auto"/>
        </w:rPr>
      </w:pPr>
    </w:p>
    <w:p>
      <w:pPr>
        <w:jc w:val="both"/>
        <w:ind w:left="100" w:firstLine="5"/>
        <w:spacing w:after="0" w:line="253" w:lineRule="auto"/>
        <w:tabs>
          <w:tab w:leader="none" w:pos="4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“Restricted Stock” means any Share issued with the restriction that the holder may not sell, transfer, pledge, or assign such Share and with such other restrictions as the Committee or the Board, in their sole discretion, may impose (including, without limitation, any forfeiture condition or any restriction on the right to vote such Share, and the right to receive any cash dividends on unvested shares), which restrictions may lapse separately or in combination at such time or times, in installments or otherwise, as the Committee or the Board may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540"/>
          </w:cols>
          <w:pgMar w:left="1440" w:top="1435" w:right="919" w:bottom="1440" w:gutter="0" w:footer="0" w:header="0"/>
        </w:sectPr>
      </w:pPr>
    </w:p>
    <w:bookmarkStart w:id="46" w:name="page47"/>
    <w:bookmarkEnd w:id="46"/>
    <w:p>
      <w:pPr>
        <w:ind w:left="1500" w:hanging="375"/>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“Restricted Stock Award” means an award of Restricted Stock or Restricted Stock Units under Section 8 hereof.</w:t>
      </w:r>
    </w:p>
    <w:p>
      <w:pPr>
        <w:spacing w:after="0" w:line="225" w:lineRule="exact"/>
        <w:rPr>
          <w:rFonts w:ascii="Arial" w:cs="Arial" w:eastAsia="Arial" w:hAnsi="Arial"/>
          <w:sz w:val="18"/>
          <w:szCs w:val="18"/>
          <w:color w:val="auto"/>
        </w:rPr>
      </w:pPr>
    </w:p>
    <w:p>
      <w:pPr>
        <w:ind w:left="1120" w:right="680" w:firstLine="5"/>
        <w:spacing w:after="0" w:line="262" w:lineRule="auto"/>
        <w:tabs>
          <w:tab w:leader="none" w:pos="1515"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“Restricted Stock Unit” means a right awarded to a Participant that, subject to Section 8(c), may result in the Participant’s ownership of Shares upon, but not before, the lapse of restrictions related thereto.</w:t>
      </w:r>
    </w:p>
    <w:p>
      <w:pPr>
        <w:spacing w:after="0" w:line="196" w:lineRule="exact"/>
        <w:rPr>
          <w:rFonts w:ascii="Arial" w:cs="Arial" w:eastAsia="Arial" w:hAnsi="Arial"/>
          <w:sz w:val="18"/>
          <w:szCs w:val="18"/>
          <w:color w:val="auto"/>
        </w:rPr>
      </w:pPr>
    </w:p>
    <w:p>
      <w:pPr>
        <w:ind w:left="1120" w:right="700" w:firstLine="5"/>
        <w:spacing w:after="0" w:line="262" w:lineRule="auto"/>
        <w:tabs>
          <w:tab w:leader="none" w:pos="13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“Restriction Period” means the period of time specified by the Committee or Board pursuant to Sections 8 and 10 below.</w:t>
      </w:r>
    </w:p>
    <w:p>
      <w:pPr>
        <w:spacing w:after="0" w:line="196" w:lineRule="exact"/>
        <w:rPr>
          <w:rFonts w:ascii="Arial" w:cs="Arial" w:eastAsia="Arial" w:hAnsi="Arial"/>
          <w:sz w:val="18"/>
          <w:szCs w:val="18"/>
          <w:color w:val="auto"/>
        </w:rPr>
      </w:pPr>
    </w:p>
    <w:p>
      <w:pPr>
        <w:ind w:left="1500" w:hanging="375"/>
        <w:spacing w:after="0"/>
        <w:tabs>
          <w:tab w:leader="none" w:pos="15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“Rule 16b-3” means Rule 16b-3 under Section 16 of the Act, as such Rule may be in effect from time to time.</w:t>
      </w:r>
    </w:p>
    <w:p>
      <w:pPr>
        <w:spacing w:after="0" w:line="225" w:lineRule="exact"/>
        <w:rPr>
          <w:rFonts w:ascii="Arial" w:cs="Arial" w:eastAsia="Arial" w:hAnsi="Arial"/>
          <w:sz w:val="18"/>
          <w:szCs w:val="18"/>
          <w:color w:val="auto"/>
        </w:rPr>
      </w:pPr>
    </w:p>
    <w:p>
      <w:pPr>
        <w:ind w:left="1120" w:right="700" w:firstLine="5"/>
        <w:spacing w:after="0" w:line="262" w:lineRule="auto"/>
        <w:tabs>
          <w:tab w:leader="none" w:pos="14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“Shares” means the shares of Common Stock of the Company, $.10 par value, as may be adjusted in accordance with Section 16 of the Plan.</w:t>
      </w:r>
    </w:p>
    <w:p>
      <w:pPr>
        <w:spacing w:after="0" w:line="196" w:lineRule="exact"/>
        <w:rPr>
          <w:rFonts w:ascii="Arial" w:cs="Arial" w:eastAsia="Arial" w:hAnsi="Arial"/>
          <w:sz w:val="18"/>
          <w:szCs w:val="18"/>
          <w:color w:val="auto"/>
        </w:rPr>
      </w:pPr>
    </w:p>
    <w:p>
      <w:pPr>
        <w:jc w:val="both"/>
        <w:ind w:left="1120" w:right="700" w:firstLine="5"/>
        <w:spacing w:after="0" w:line="256" w:lineRule="auto"/>
        <w:tabs>
          <w:tab w:leader="none" w:pos="1374"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“Stock Appreciation Right” means the right pursuant to an Award granted under Section 7 of the Plan, to surrender to the Company all (or a portion) of such right and, if applicable, a related Option, and receive cash or shares of Common Stock in accordance with the provisions of Section 7.</w:t>
      </w:r>
    </w:p>
    <w:p>
      <w:pPr>
        <w:spacing w:after="0" w:line="201" w:lineRule="exact"/>
        <w:rPr>
          <w:rFonts w:ascii="Arial" w:cs="Arial" w:eastAsia="Arial" w:hAnsi="Arial"/>
          <w:sz w:val="18"/>
          <w:szCs w:val="18"/>
          <w:color w:val="auto"/>
        </w:rPr>
      </w:pPr>
    </w:p>
    <w:p>
      <w:pPr>
        <w:ind w:left="1380" w:hanging="255"/>
        <w:spacing w:after="0"/>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“Strike Price” shall have the meaning set forth for such term in Section 7(b) of the Plan.</w:t>
      </w:r>
    </w:p>
    <w:p>
      <w:pPr>
        <w:spacing w:after="0" w:line="225" w:lineRule="exact"/>
        <w:rPr>
          <w:rFonts w:ascii="Arial" w:cs="Arial" w:eastAsia="Arial" w:hAnsi="Arial"/>
          <w:sz w:val="18"/>
          <w:szCs w:val="18"/>
          <w:color w:val="auto"/>
        </w:rPr>
      </w:pPr>
    </w:p>
    <w:p>
      <w:pPr>
        <w:jc w:val="both"/>
        <w:ind w:left="1120" w:right="700" w:firstLine="5"/>
        <w:spacing w:after="0" w:line="254" w:lineRule="auto"/>
        <w:tabs>
          <w:tab w:leader="none" w:pos="1471"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limited liability partnership, joint venture or other entity in which the Company owns or controls, directly or indirectly, not less than 50% of the total combined voting power or equity interests represented by all classes of stock, membership or other interests issued by such corporation, limited liability company, partnership, limited liability partnership, joint venture or other entity.</w:t>
      </w:r>
    </w:p>
    <w:p>
      <w:pPr>
        <w:spacing w:after="0" w:line="204" w:lineRule="exact"/>
        <w:rPr>
          <w:rFonts w:ascii="Arial" w:cs="Arial" w:eastAsia="Arial" w:hAnsi="Arial"/>
          <w:sz w:val="18"/>
          <w:szCs w:val="18"/>
          <w:color w:val="auto"/>
        </w:rPr>
      </w:pPr>
    </w:p>
    <w:p>
      <w:pPr>
        <w:jc w:val="both"/>
        <w:ind w:left="1120" w:right="700" w:firstLine="5"/>
        <w:spacing w:after="0" w:line="256" w:lineRule="auto"/>
        <w:tabs>
          <w:tab w:leader="none" w:pos="1417"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“Substitute Awards” shall mean Awards granted or Shares issued by the Company in assumption of, or in substitution or exchange for, awards previously granted, or the right or obligation to make future awards, by a company acquired by the Company or with which the Company combines.</w:t>
      </w:r>
    </w:p>
    <w:p>
      <w:pPr>
        <w:spacing w:after="0" w:line="201" w:lineRule="exact"/>
        <w:rPr>
          <w:rFonts w:ascii="Arial" w:cs="Arial" w:eastAsia="Arial" w:hAnsi="Arial"/>
          <w:sz w:val="18"/>
          <w:szCs w:val="18"/>
          <w:color w:val="auto"/>
        </w:rPr>
      </w:pPr>
    </w:p>
    <w:p>
      <w:pPr>
        <w:ind w:left="1600" w:hanging="475"/>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“UK Addendum” means the addendum set forth on Schedule A.</w:t>
      </w:r>
    </w:p>
    <w:p>
      <w:pPr>
        <w:spacing w:after="0" w:line="225" w:lineRule="exact"/>
        <w:rPr>
          <w:rFonts w:ascii="Arial" w:cs="Arial" w:eastAsia="Arial" w:hAnsi="Arial"/>
          <w:sz w:val="18"/>
          <w:szCs w:val="18"/>
          <w:color w:val="auto"/>
        </w:rPr>
      </w:pPr>
    </w:p>
    <w:p>
      <w:pPr>
        <w:jc w:val="both"/>
        <w:ind w:firstLine="557"/>
        <w:spacing w:after="0" w:line="256" w:lineRule="auto"/>
        <w:tabs>
          <w:tab w:leader="none" w:pos="1122"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 and the Board. Except as otherwise provided herein, each of the Committee or the Board has the full authority and discretion to administer the Plan, and to take any action that is necessary or advisable in connection with the administration of the Plan including, without limitation, the authority and discretion to:</w:t>
      </w:r>
    </w:p>
    <w:p>
      <w:pPr>
        <w:spacing w:after="0" w:line="228" w:lineRule="exact"/>
        <w:rPr>
          <w:rFonts w:ascii="Arial" w:cs="Arial" w:eastAsia="Arial" w:hAnsi="Arial"/>
          <w:sz w:val="18"/>
          <w:szCs w:val="18"/>
          <w:u w:val="single" w:color="auto"/>
          <w:color w:val="auto"/>
        </w:rPr>
      </w:pPr>
    </w:p>
    <w:p>
      <w:pPr>
        <w:ind w:left="1760" w:hanging="514"/>
        <w:spacing w:after="0"/>
        <w:tabs>
          <w:tab w:leader="none" w:pos="17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select the Associates eligible to become Participants under the Plan;</w:t>
      </w:r>
    </w:p>
    <w:p>
      <w:pPr>
        <w:spacing w:after="0" w:line="252" w:lineRule="exact"/>
        <w:rPr>
          <w:rFonts w:ascii="Arial" w:cs="Arial" w:eastAsia="Arial" w:hAnsi="Arial"/>
          <w:sz w:val="18"/>
          <w:szCs w:val="18"/>
          <w:color w:val="auto"/>
        </w:rPr>
      </w:pPr>
    </w:p>
    <w:p>
      <w:pPr>
        <w:ind w:left="1760" w:hanging="514"/>
        <w:spacing w:after="0"/>
        <w:tabs>
          <w:tab w:leader="none" w:pos="17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determine whether and to what extent Awards are to be granted;</w:t>
      </w:r>
    </w:p>
    <w:p>
      <w:pPr>
        <w:spacing w:after="0" w:line="252" w:lineRule="exact"/>
        <w:rPr>
          <w:rFonts w:ascii="Arial" w:cs="Arial" w:eastAsia="Arial" w:hAnsi="Arial"/>
          <w:sz w:val="18"/>
          <w:szCs w:val="18"/>
          <w:color w:val="auto"/>
        </w:rPr>
      </w:pPr>
    </w:p>
    <w:p>
      <w:pPr>
        <w:ind w:left="1760" w:hanging="514"/>
        <w:spacing w:after="0"/>
        <w:tabs>
          <w:tab w:leader="none" w:pos="17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determine the number of Shares to be covered by each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420" w:top="1435" w:right="239" w:bottom="1440" w:gutter="0" w:footer="0" w:header="0"/>
        </w:sectPr>
      </w:pPr>
    </w:p>
    <w:bookmarkStart w:id="47" w:name="page48"/>
    <w:bookmarkEnd w:id="47"/>
    <w:p>
      <w:pPr>
        <w:jc w:val="both"/>
        <w:ind w:left="1380" w:right="700" w:firstLine="6"/>
        <w:spacing w:after="0" w:line="252" w:lineRule="auto"/>
        <w:tabs>
          <w:tab w:leader="none" w:pos="19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terms and conditions, not inconsistent with the terms of the Plan, of any grant hereunder (including, but not limited to, the term of the Award, the Exercise Price or Strike Price and any restriction, limitation, procedure, or deferral related thereto, provisions relating to the effect upon the Award of a Participant’s cessation of employment, acceleration of vesting, forfeiture provisions regarding an Award and/or the profits received by any Participant from receiving an Award of exercising an Option or Stock Appreciation Right, and any other terms and conditions regarding any Award, based in each case upon such guidelines and factors as the Committee or Board shall determine from time to time in their sole discretion);</w:t>
      </w:r>
    </w:p>
    <w:p>
      <w:pPr>
        <w:spacing w:after="0" w:line="234" w:lineRule="exact"/>
        <w:rPr>
          <w:rFonts w:ascii="Arial" w:cs="Arial" w:eastAsia="Arial" w:hAnsi="Arial"/>
          <w:sz w:val="18"/>
          <w:szCs w:val="18"/>
          <w:color w:val="auto"/>
        </w:rPr>
      </w:pPr>
    </w:p>
    <w:p>
      <w:pPr>
        <w:jc w:val="both"/>
        <w:ind w:left="1380" w:right="700" w:firstLine="6"/>
        <w:spacing w:after="0" w:line="256" w:lineRule="auto"/>
        <w:tabs>
          <w:tab w:leader="none" w:pos="19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grants under the Plan are to be made and operate, whether on a tandem basis or otherwise, with other grants or awards (whether equity or cash based) made by the Company under or outside of the Plan; and</w:t>
      </w:r>
    </w:p>
    <w:p>
      <w:pPr>
        <w:spacing w:after="0" w:line="228" w:lineRule="exact"/>
        <w:rPr>
          <w:rFonts w:ascii="Arial" w:cs="Arial" w:eastAsia="Arial" w:hAnsi="Arial"/>
          <w:sz w:val="18"/>
          <w:szCs w:val="18"/>
          <w:color w:val="auto"/>
        </w:rPr>
      </w:pPr>
    </w:p>
    <w:p>
      <w:pPr>
        <w:ind w:left="1380" w:right="700" w:firstLine="6"/>
        <w:spacing w:after="0" w:line="262" w:lineRule="auto"/>
        <w:tabs>
          <w:tab w:leader="none" w:pos="1941"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delegate to one or more officers of the Company the right to grant Awards under the Plan, provided that such delegation is made in accordance with the provisions of applicable state and federal laws.</w:t>
      </w:r>
    </w:p>
    <w:p>
      <w:pPr>
        <w:spacing w:after="0" w:line="2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of the Committee and the Board shall have the authority to adopt, alter and repeal such rules, guidelines and practices governing the Plan as it shall from time to time deem advisable; to interpret the terms and provisions of the Plan and any Award granted under thereunder (and any Grant Documents relating thereto); and to otherwise supervise the administration of the Plan.</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the Committee and the Board shall also have the authority to provide, in their discretion, for the rescission, forfeiture, cancellation or other restriction of any Award granted under the Plan, or for the forfeiture, rescission or repayment to the Company by a Participant or former Participant of any profits or gains related to any Award granted hereunder, or other limitations, upon the occurrence of such prescribed events and under such circumstances as the Committee or the Board shall deem necessary and reasonable for the benefit of the Company; provided, however, that this provision shall have no application after a Change in Control Event (as defined below in Section 11) has occurred.</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decisions made by the Committee and the Board pursuant to the provisions of the Plan shall be made in the Committee’s or Board’s sole discretion and shall be final and binding on all persons including the Company and any Participant. No member of the Committee or Board will be liable for any such action taken or omitted to be taken or determination made in good faith.</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Notwithstanding any provision of the Plan to the contrary, the Committee shall have the exclusive authority and discretion to award, administer or otherwise take any action required or permitted to be taken with respect to Qualified Performance-Based Awards or under any provisions of the Plan with respect to Awards that are intended to comply with the requirements of Section 162(m) of the Code.</w:t>
      </w:r>
    </w:p>
    <w:p>
      <w:pPr>
        <w:spacing w:after="0" w:line="202"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25" w:lineRule="exact"/>
        <w:rPr>
          <w:sz w:val="20"/>
          <w:szCs w:val="20"/>
          <w:color w:val="auto"/>
        </w:rPr>
      </w:pPr>
    </w:p>
    <w:p>
      <w:pPr>
        <w:jc w:val="both"/>
        <w:ind w:left="660" w:right="700" w:hanging="4"/>
        <w:spacing w:after="0" w:line="252" w:lineRule="auto"/>
        <w:tabs>
          <w:tab w:leader="none" w:pos="10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total number of Shares (“Total Shares”) which may be issued pursuant to the Plan shall not exceed 32,875,000 Shares; provided, that the Total Shares shall be increased to 37,875,000 Shares, subject to the approval of the Company’s stockholders within one year of August 1, 2018. Such Shares may consist, in whole or in part, of authorized and unissued shares or treasury shares, as determined in the discretion of the Committee or the Board. Notwithstanding anything to the contrary in this Section 4, in no event will more than the Total Shares be cumulatively available for Awards of Incentive Stock Options under the Plan.</w:t>
      </w:r>
    </w:p>
    <w:p>
      <w:pPr>
        <w:spacing w:after="0" w:line="208" w:lineRule="exact"/>
        <w:rPr>
          <w:rFonts w:ascii="Arial" w:cs="Arial" w:eastAsia="Arial" w:hAnsi="Arial"/>
          <w:sz w:val="18"/>
          <w:szCs w:val="18"/>
          <w:color w:val="auto"/>
        </w:rPr>
      </w:pPr>
    </w:p>
    <w:p>
      <w:pPr>
        <w:jc w:val="both"/>
        <w:ind w:left="660" w:right="680" w:hanging="4"/>
        <w:spacing w:after="0" w:line="254" w:lineRule="auto"/>
        <w:tabs>
          <w:tab w:leader="none" w:pos="9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Award made under the Plan is forfeited, any Option (and the related Stock Appreciation Right, if any), or any Stock Appreciation Right not related to an Option terminates, expires or lapses without being exercised, or any Stock Appreciation Right is exercised for cash, the Shares subject to such Awards that are, as a result, not delivered to the Participant shall again be available for delivery in connection with Awards.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35" w:right="239" w:bottom="1440" w:gutter="0" w:footer="0" w:header="0"/>
        </w:sectPr>
      </w:pPr>
    </w:p>
    <w:bookmarkStart w:id="48" w:name="page49"/>
    <w:bookmarkEnd w:id="48"/>
    <w:p>
      <w:pPr>
        <w:jc w:val="both"/>
        <w:ind w:left="660" w:right="680"/>
        <w:spacing w:after="0" w:line="252" w:lineRule="auto"/>
        <w:rPr>
          <w:sz w:val="20"/>
          <w:szCs w:val="20"/>
          <w:color w:val="auto"/>
        </w:rPr>
      </w:pPr>
      <w:r>
        <w:rPr>
          <w:rFonts w:ascii="Arial" w:cs="Arial" w:eastAsia="Arial" w:hAnsi="Arial"/>
          <w:sz w:val="18"/>
          <w:szCs w:val="18"/>
          <w:color w:val="auto"/>
        </w:rPr>
        <w:t>Stock Appreciation Right is exercised, the total number of Shares against which the Stock Appreciation Right was measured, not merely the number of Shares issued, will be deemed delivered for purposes of determining the maximum number of Shares available for delivery under the Plan. If the Exercise Price of any Option is satisfied by delivering Shares to the Company (by either actual delivery or by attestation), the total number of Shares exercised, not merely the number of Shares delivered or attested to, shall be deemed delivered for purposes of determining the maximum number of Shares available for delivery pursuant to Awards under the Plan. To the extent any Shares subject to an Award are not delivered to a Participant because such Shares are used to satisfy an applicable tax withholding obligation, such Shares that are not delivered shall be deemed delivered and shall not thereafter be available for delivery in connection with Awards.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Shares available for issuance or reissuance under the Plan will be subject to adjustment as provided in Section 16 below.</w:t>
      </w:r>
    </w:p>
    <w:p>
      <w:pPr>
        <w:spacing w:after="0" w:line="225" w:lineRule="exact"/>
        <w:rPr>
          <w:sz w:val="20"/>
          <w:szCs w:val="20"/>
          <w:color w:val="auto"/>
        </w:rPr>
      </w:pPr>
    </w:p>
    <w:p>
      <w:pPr>
        <w:jc w:val="both"/>
        <w:ind w:firstLine="656"/>
        <w:spacing w:after="0" w:line="242" w:lineRule="auto"/>
        <w:tabs>
          <w:tab w:leader="none" w:pos="86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Eligible Participants</w:t>
      </w:r>
      <w:r>
        <w:rPr>
          <w:rFonts w:ascii="Arial" w:cs="Arial" w:eastAsia="Arial" w:hAnsi="Arial"/>
          <w:sz w:val="18"/>
          <w:szCs w:val="18"/>
          <w:color w:val="auto"/>
        </w:rPr>
        <w:t>. All Associates shall be eligible to receive Awards and thereby become Participants in the Plan, regardless of such Associate’s prior participation in the Plan or any other benefit plan of the Company, provided that (1) only Associates who are employees of the Company or a Subsidiary may receive Incentive Stock Options; and (2) for any Performance Period for which Awards are intended to be Qualified Performance-Based Awards to eligible classes of Associates as set forth in Section 14, the Committee shall designate the Associates eligible to be granted Awards no later than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start of the fiscal year (or in the case of a Performance Period based upon a time period other than a fiscal year, no later than the date on which 25% of the Performance Period has elapsed). No executive officer named in the Summary Compensation Table of the Company’s then current Proxy Statement shall be eligible to receive in excess of 400,000 Options or Stock Appreciation Rights in any one-year period.</w:t>
      </w:r>
    </w:p>
    <w:p>
      <w:pPr>
        <w:spacing w:after="0" w:line="217" w:lineRule="exact"/>
        <w:rPr>
          <w:rFonts w:ascii="Arial" w:cs="Arial" w:eastAsia="Arial" w:hAnsi="Arial"/>
          <w:sz w:val="18"/>
          <w:szCs w:val="18"/>
          <w:color w:val="auto"/>
        </w:rPr>
      </w:pPr>
    </w:p>
    <w:p>
      <w:pPr>
        <w:ind w:left="860" w:hanging="20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sz w:val="20"/>
          <w:szCs w:val="20"/>
          <w:color w:val="auto"/>
        </w:rPr>
      </w:pPr>
    </w:p>
    <w:p>
      <w:pPr>
        <w:jc w:val="both"/>
        <w:ind w:left="1300" w:right="700" w:firstLine="5"/>
        <w:spacing w:after="0" w:line="252"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The Committee, the Board or their authorized designees may from time to time authorize grants of Options to any Participant upon such terms and conditions as the Committee or Board may determine in accordance with the provisions set forth in the Plan. Each grant will specify, among other things, the number of Shares to which it pertains; the Exercise Price; the form of payment to be made by the Participant for the Shares purchased upon exercise of any Option; the required period or periods (if any) of continuous service by the Participant with the Company, a Subsidiary or an Affiliated Company and/or any other conditions to be satisfied before the Options or installments thereof will vest and become exercisable. Options granted under the Plan may be either Non-Qualified Options or Incentive Stock Options.</w:t>
      </w:r>
    </w:p>
    <w:p>
      <w:pPr>
        <w:spacing w:after="0" w:line="206" w:lineRule="exact"/>
        <w:rPr>
          <w:sz w:val="20"/>
          <w:szCs w:val="20"/>
          <w:color w:val="auto"/>
        </w:rPr>
      </w:pPr>
    </w:p>
    <w:p>
      <w:pPr>
        <w:jc w:val="both"/>
        <w:ind w:left="1300" w:right="700" w:firstLine="648"/>
        <w:spacing w:after="0" w:line="253" w:lineRule="auto"/>
        <w:rPr>
          <w:sz w:val="20"/>
          <w:szCs w:val="20"/>
          <w:color w:val="auto"/>
        </w:rPr>
      </w:pPr>
      <w:r>
        <w:rPr>
          <w:rFonts w:ascii="Arial" w:cs="Arial" w:eastAsia="Arial" w:hAnsi="Arial"/>
          <w:sz w:val="18"/>
          <w:szCs w:val="18"/>
          <w:color w:val="auto"/>
        </w:rPr>
        <w:t>Notwithstanding any provision of the Plan to the contrary, the aggregate Fair Market Value (as determined on the Date of Grant) of the Common Stock with respect to which Incentive Stock Options granted are exercisable for the first time by any Participant during any calendar year (under all plans of the Company and its Subsidiaries) shall not exceed the maximum amount specified by Section 422 of the Code, as amended from time to time (currently $100,000).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35" w:right="239" w:bottom="1440" w:gutter="0" w:footer="0" w:header="0"/>
        </w:sectPr>
      </w:pPr>
    </w:p>
    <w:bookmarkStart w:id="49" w:name="page50"/>
    <w:bookmarkEnd w:id="49"/>
    <w:p>
      <w:pPr>
        <w:jc w:val="both"/>
        <w:ind w:left="100" w:firstLine="648"/>
        <w:spacing w:after="0" w:line="256" w:lineRule="auto"/>
        <w:rPr>
          <w:sz w:val="20"/>
          <w:szCs w:val="20"/>
          <w:color w:val="auto"/>
        </w:rPr>
      </w:pPr>
      <w:r>
        <w:rPr>
          <w:rFonts w:ascii="Arial" w:cs="Arial" w:eastAsia="Arial" w:hAnsi="Arial"/>
          <w:sz w:val="18"/>
          <w:szCs w:val="18"/>
          <w:color w:val="auto"/>
        </w:rPr>
        <w:t>Each Option granted under this Plan will be evidenced by Grant Documents delivered to the Participant containing such further terms and provisions, not inconsistent with the Plan, as the Committee or Board may approve in their discretion.</w:t>
      </w:r>
    </w:p>
    <w:p>
      <w:pPr>
        <w:spacing w:after="0" w:line="202" w:lineRule="exact"/>
        <w:rPr>
          <w:sz w:val="20"/>
          <w:szCs w:val="20"/>
          <w:color w:val="auto"/>
        </w:rPr>
      </w:pPr>
    </w:p>
    <w:p>
      <w:pPr>
        <w:ind w:left="380" w:hanging="275"/>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hanging="7"/>
        <w:spacing w:after="0" w:line="256" w:lineRule="auto"/>
        <w:tabs>
          <w:tab w:leader="none" w:pos="97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Exercise Price for each share of Common Stock purchasable under any Option shall be not less than 100% of the Fair Market Value per share on the Date of Grant as the Committee or Board shall specify. All such Exercise Prices shall be subject to adjustment as provided for in Section 16 hereof.</w:t>
      </w:r>
    </w:p>
    <w:p>
      <w:pPr>
        <w:spacing w:after="0" w:line="201" w:lineRule="exact"/>
        <w:rPr>
          <w:rFonts w:ascii="Arial" w:cs="Arial" w:eastAsia="Arial" w:hAnsi="Arial"/>
          <w:sz w:val="18"/>
          <w:szCs w:val="18"/>
          <w:color w:val="auto"/>
        </w:rPr>
      </w:pPr>
    </w:p>
    <w:p>
      <w:pPr>
        <w:jc w:val="both"/>
        <w:ind w:left="760" w:right="20" w:hanging="7"/>
        <w:spacing w:after="0" w:line="253" w:lineRule="auto"/>
        <w:tabs>
          <w:tab w:leader="none" w:pos="10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any Participant to whom an Incentive Stock Option is to be granted under the Plan is on the Date of Grant the owner of stock (as determined under Section 425(d) of the Code) possessing more than 10% of the total combined voting power of all classes of stock of the Company or any one of its Subsidiaries or Affiliated Companies, then the Exercise Price per share of Common Stock subject to such Incentive Stock Option shall not be less than 110% of the Fair Market Value of one Share on the Date of Grant.</w:t>
      </w:r>
    </w:p>
    <w:p>
      <w:pPr>
        <w:spacing w:after="0" w:line="205" w:lineRule="exact"/>
        <w:rPr>
          <w:rFonts w:ascii="Arial" w:cs="Arial" w:eastAsia="Arial" w:hAnsi="Arial"/>
          <w:sz w:val="18"/>
          <w:szCs w:val="18"/>
          <w:color w:val="auto"/>
        </w:rPr>
      </w:pPr>
    </w:p>
    <w:p>
      <w:pPr>
        <w:ind w:left="760" w:hanging="655"/>
        <w:spacing w:after="0" w:line="251" w:lineRule="auto"/>
        <w:tabs>
          <w:tab w:leader="none" w:pos="41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Subject to Section 11 hereof, the period during which an Option shall vest and become exercisable by a Participant (or his or her representative(s) or transferee(s)) whether during or after employment or following death, retirement or disability (the “Exercise Period”) shall be such period of time as may be designated by the Committee or the Board as set forth in the Committee’s or Board’s applicable rules, guidelines and practices governing the Plan and/or in the Grant Documents executed in connection with such Option. If the Committee or Board provides, in their sole discretion, that any Option is exercisable only in installments, the Committee or Board may waive or accelerate such installment exercise provisions at any time at or after grant in whole or in part, based upon such factors as the Committee or Board shall determine, in their sole discretion.</w:t>
      </w:r>
    </w:p>
    <w:p>
      <w:pPr>
        <w:spacing w:after="0" w:line="213" w:lineRule="exact"/>
        <w:rPr>
          <w:sz w:val="20"/>
          <w:szCs w:val="20"/>
          <w:color w:val="auto"/>
        </w:rPr>
      </w:pPr>
    </w:p>
    <w:p>
      <w:pPr>
        <w:jc w:val="both"/>
        <w:ind w:left="760" w:right="20"/>
        <w:spacing w:after="0" w:line="252" w:lineRule="auto"/>
        <w:rPr>
          <w:sz w:val="20"/>
          <w:szCs w:val="20"/>
          <w:color w:val="auto"/>
        </w:rPr>
      </w:pPr>
      <w:r>
        <w:rPr>
          <w:rFonts w:ascii="Arial" w:cs="Arial" w:eastAsia="Arial" w:hAnsi="Arial"/>
          <w:sz w:val="18"/>
          <w:szCs w:val="18"/>
          <w:color w:val="auto"/>
        </w:rPr>
        <w:t>The maximum duration of any Incentive Stock Option granted under the Plan shall be ten (10) years from the Date of Grant (and no such Incentive Stock Option shall be exercisable after the expiration of such (10) year period), unless the Incentive Stock Option is granted to a Participant who, at the time of the grant, owns stock representing more than 10% of the voting power of all classes of stock of the Company, in which case the term may not exceed five (5) years from the Date of Grant. The duration of Non-Qualified Stock Options shall be for such period as determined by the Committee or Board in its sole discretion, not to exceed ten years.</w:t>
      </w:r>
    </w:p>
    <w:p>
      <w:pPr>
        <w:spacing w:after="0" w:line="236" w:lineRule="exact"/>
        <w:rPr>
          <w:sz w:val="20"/>
          <w:szCs w:val="20"/>
          <w:color w:val="auto"/>
        </w:rPr>
      </w:pPr>
    </w:p>
    <w:p>
      <w:pPr>
        <w:jc w:val="both"/>
        <w:ind w:left="100" w:right="20" w:firstLine="5"/>
        <w:spacing w:after="0" w:line="254" w:lineRule="auto"/>
        <w:tabs>
          <w:tab w:leader="none" w:pos="3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Subject to Section 11 hereof, an Option may be exercised by a Participant at any time and from time to time during the Exercise Period by giving written notice of such exercise to the Company specifying the number of shares of Common Stock to be purchased by the Participant. Such notice shall be accompanied by payment of the Exercise Price in accordance with subsection (e)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40"/>
          </w:cols>
          <w:pgMar w:left="1440" w:top="1435" w:right="919" w:bottom="1440" w:gutter="0" w:footer="0" w:header="0"/>
        </w:sectPr>
      </w:pPr>
    </w:p>
    <w:bookmarkStart w:id="50" w:name="page51"/>
    <w:bookmarkEnd w:id="50"/>
    <w:p>
      <w:pPr>
        <w:jc w:val="both"/>
        <w:ind w:left="100" w:right="20" w:firstLine="5"/>
        <w:spacing w:after="0" w:line="256" w:lineRule="auto"/>
        <w:tabs>
          <w:tab w:leader="none" w:pos="38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for Shares</w:t>
      </w:r>
      <w:r>
        <w:rPr>
          <w:rFonts w:ascii="Arial" w:cs="Arial" w:eastAsia="Arial" w:hAnsi="Arial"/>
          <w:sz w:val="18"/>
          <w:szCs w:val="18"/>
          <w:color w:val="auto"/>
        </w:rPr>
        <w:t>. Full payment of the Exercise Price for the Shares purchased upon exercise of an Option, together with the amount of any tax or excise due in respect of the sale and issue thereof, may be made in one of the following forms of payment:</w:t>
      </w:r>
    </w:p>
    <w:p>
      <w:pPr>
        <w:spacing w:after="0" w:line="201" w:lineRule="exact"/>
        <w:rPr>
          <w:rFonts w:ascii="Arial" w:cs="Arial" w:eastAsia="Arial" w:hAnsi="Arial"/>
          <w:sz w:val="18"/>
          <w:szCs w:val="18"/>
          <w:color w:val="auto"/>
        </w:rPr>
      </w:pPr>
    </w:p>
    <w:p>
      <w:pPr>
        <w:ind w:left="960" w:hanging="207"/>
        <w:spacing w:after="0"/>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Cash, by check or electronic funds transfer;</w:t>
      </w:r>
    </w:p>
    <w:p>
      <w:pPr>
        <w:spacing w:after="0" w:line="225" w:lineRule="exact"/>
        <w:rPr>
          <w:rFonts w:ascii="Arial" w:cs="Arial" w:eastAsia="Arial" w:hAnsi="Arial"/>
          <w:sz w:val="18"/>
          <w:szCs w:val="18"/>
          <w:color w:val="auto"/>
        </w:rPr>
      </w:pPr>
    </w:p>
    <w:p>
      <w:pPr>
        <w:jc w:val="both"/>
        <w:ind w:left="760" w:right="20" w:hanging="7"/>
        <w:spacing w:after="0" w:line="253" w:lineRule="auto"/>
        <w:tabs>
          <w:tab w:leader="none" w:pos="10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Pursuant to procedures approved by the Company, through the sale (or margin) of Shares acquired upon exercise of the Option through a broker-dealer to whom the Participant has submitted an irrevocable notice of exercise and irrevocable instructions to deliver promptly to the Company the amount of sale (or if applicable margin loan) proceeds sufficient to pay for the Exercise Price, together with, if requested by the Company, the amount of federal, state, local or foreign withholding taxes payable by reason of such exercise;</w:t>
      </w:r>
    </w:p>
    <w:p>
      <w:pPr>
        <w:spacing w:after="0" w:line="205" w:lineRule="exact"/>
        <w:rPr>
          <w:rFonts w:ascii="Arial" w:cs="Arial" w:eastAsia="Arial" w:hAnsi="Arial"/>
          <w:sz w:val="18"/>
          <w:szCs w:val="18"/>
          <w:color w:val="auto"/>
        </w:rPr>
      </w:pPr>
    </w:p>
    <w:p>
      <w:pPr>
        <w:jc w:val="both"/>
        <w:ind w:left="760" w:right="20" w:hanging="7"/>
        <w:spacing w:after="0" w:line="254" w:lineRule="auto"/>
        <w:tabs>
          <w:tab w:leader="none" w:pos="1057" w:val="left"/>
        </w:tabs>
        <w:numPr>
          <w:ilvl w:val="1"/>
          <w:numId w:val="35"/>
        </w:numPr>
        <w:rPr>
          <w:rFonts w:ascii="Arial" w:cs="Arial" w:eastAsia="Arial" w:hAnsi="Arial"/>
          <w:sz w:val="18"/>
          <w:szCs w:val="18"/>
          <w:color w:val="auto"/>
        </w:rPr>
      </w:pPr>
      <w:r>
        <w:rPr>
          <w:rFonts w:ascii="Arial" w:cs="Arial" w:eastAsia="Arial" w:hAnsi="Arial"/>
          <w:sz w:val="18"/>
          <w:szCs w:val="18"/>
          <w:color w:val="auto"/>
        </w:rPr>
        <w:t>By delivering previously-owned shares of Common Stock owned by the Participant for a period of at least six months having a Fair Market Value on the date upon which the Participant exercises his or her Option equal to the Exercise Price, or by delivering a combination of cash and shares of Common Stock equal to the aggregate Exercise Price;</w:t>
      </w:r>
    </w:p>
    <w:p>
      <w:pPr>
        <w:spacing w:after="0" w:line="204" w:lineRule="exact"/>
        <w:rPr>
          <w:rFonts w:ascii="Arial" w:cs="Arial" w:eastAsia="Arial" w:hAnsi="Arial"/>
          <w:sz w:val="18"/>
          <w:szCs w:val="18"/>
          <w:color w:val="auto"/>
        </w:rPr>
      </w:pPr>
    </w:p>
    <w:p>
      <w:pPr>
        <w:jc w:val="both"/>
        <w:ind w:left="760" w:right="20" w:hanging="7"/>
        <w:spacing w:after="0" w:line="256" w:lineRule="auto"/>
        <w:tabs>
          <w:tab w:leader="none" w:pos="1071" w:val="left"/>
        </w:tabs>
        <w:numPr>
          <w:ilvl w:val="1"/>
          <w:numId w:val="35"/>
        </w:numPr>
        <w:rPr>
          <w:rFonts w:ascii="Arial" w:cs="Arial" w:eastAsia="Arial" w:hAnsi="Arial"/>
          <w:sz w:val="18"/>
          <w:szCs w:val="18"/>
          <w:color w:val="auto"/>
        </w:rPr>
      </w:pPr>
      <w:r>
        <w:rPr>
          <w:rFonts w:ascii="Arial" w:cs="Arial" w:eastAsia="Arial" w:hAnsi="Arial"/>
          <w:sz w:val="18"/>
          <w:szCs w:val="18"/>
          <w:color w:val="auto"/>
        </w:rPr>
        <w:t>By authorizing the Company to withhold a number of shares of Common Stock otherwise issuable to the Participant upon exercise of an Option having an aggregate Fair Market Value on the date upon which the Participant exercises his or her Option equal to the aggregate Exercise Price; or</w:t>
      </w:r>
    </w:p>
    <w:p>
      <w:pPr>
        <w:spacing w:after="0" w:line="201" w:lineRule="exact"/>
        <w:rPr>
          <w:rFonts w:ascii="Arial" w:cs="Arial" w:eastAsia="Arial" w:hAnsi="Arial"/>
          <w:sz w:val="18"/>
          <w:szCs w:val="18"/>
          <w:color w:val="auto"/>
        </w:rPr>
      </w:pPr>
    </w:p>
    <w:p>
      <w:pPr>
        <w:ind w:left="1020" w:hanging="267"/>
        <w:spacing w:after="0"/>
        <w:tabs>
          <w:tab w:leader="none" w:pos="10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By any combination of the foregoing.</w:t>
      </w:r>
    </w:p>
    <w:p>
      <w:pPr>
        <w:spacing w:after="0" w:line="225" w:lineRule="exact"/>
        <w:rPr>
          <w:sz w:val="20"/>
          <w:szCs w:val="20"/>
          <w:color w:val="auto"/>
        </w:rPr>
      </w:pPr>
    </w:p>
    <w:p>
      <w:pPr>
        <w:jc w:val="both"/>
        <w:ind w:left="100" w:right="20" w:firstLine="648"/>
        <w:spacing w:after="0" w:line="253" w:lineRule="auto"/>
        <w:rPr>
          <w:sz w:val="20"/>
          <w:szCs w:val="20"/>
          <w:color w:val="auto"/>
        </w:rPr>
      </w:pPr>
      <w:r>
        <w:rPr>
          <w:rFonts w:ascii="Arial" w:cs="Arial" w:eastAsia="Arial" w:hAnsi="Arial"/>
          <w:sz w:val="18"/>
          <w:szCs w:val="18"/>
          <w:color w:val="auto"/>
        </w:rPr>
        <w:t>Provided, however, that the payment methods described in clause (iv) immediately above shall not be available to a Participant without the prior consent of either the Committee or its authorized designee(s), or if at any time the Company is prohibited from purchasing or acquiring Shares under applicable Legal Requirements. The Committee or the Board may permit a Participant to exercise an Option and defer the issuance of any Shares, subject to such rules and procedures as the Committee or Board may establish.</w:t>
      </w:r>
    </w:p>
    <w:p>
      <w:pPr>
        <w:spacing w:after="0" w:line="206" w:lineRule="exact"/>
        <w:rPr>
          <w:sz w:val="20"/>
          <w:szCs w:val="20"/>
          <w:color w:val="auto"/>
        </w:rPr>
      </w:pPr>
    </w:p>
    <w:p>
      <w:pPr>
        <w:jc w:val="both"/>
        <w:ind w:left="100" w:right="20" w:firstLine="648"/>
        <w:spacing w:after="0" w:line="253" w:lineRule="auto"/>
        <w:rPr>
          <w:sz w:val="20"/>
          <w:szCs w:val="20"/>
          <w:color w:val="auto"/>
        </w:rPr>
      </w:pPr>
      <w:r>
        <w:rPr>
          <w:rFonts w:ascii="Arial" w:cs="Arial" w:eastAsia="Arial" w:hAnsi="Arial"/>
          <w:sz w:val="18"/>
          <w:szCs w:val="18"/>
          <w:color w:val="auto"/>
        </w:rPr>
        <w:t>The Company will issue no certificates for Shares until full payment of the Exercise Price has been made, and a Participant shall have none of the rights of a stockholder until certificates for the Shares purchased are issued; provided however, that for purposes of this Section 6, full payment shall be deemed to have been received by the Company upon evidence of delivery to a broker-dealer of the irrevocable instructions contemplated by clause (ii) immediately above.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dividends, dividend equivalents or other similar payments shall be payable in respect of an unvested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Option.</w:t>
      </w:r>
    </w:p>
    <w:p>
      <w:pPr>
        <w:spacing w:after="0" w:line="225" w:lineRule="exact"/>
        <w:rPr>
          <w:sz w:val="20"/>
          <w:szCs w:val="20"/>
          <w:color w:val="auto"/>
        </w:rPr>
      </w:pPr>
    </w:p>
    <w:p>
      <w:pPr>
        <w:jc w:val="both"/>
        <w:ind w:left="100" w:firstLine="5"/>
        <w:spacing w:after="0" w:line="254" w:lineRule="auto"/>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Company may require a Participant exercising a Non-Qualified Stock Option or Stock Appreciation Right granted hereunder to reimburse the Company (or the entity which employs the Participant) for taxes required by any government to be withheld or otherwise deducted and paid by such corporation in respect of the issuance of the Shares. Such withholding requirements may be satisfied by any one of the following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540"/>
          </w:cols>
          <w:pgMar w:left="1440" w:top="1435" w:right="919" w:bottom="1440" w:gutter="0" w:footer="0" w:header="0"/>
        </w:sectPr>
      </w:pPr>
    </w:p>
    <w:bookmarkStart w:id="51" w:name="page52"/>
    <w:bookmarkEnd w:id="51"/>
    <w:p>
      <w:pPr>
        <w:ind w:left="1504" w:hanging="207"/>
        <w:spacing w:after="0"/>
        <w:tabs>
          <w:tab w:leader="none" w:pos="1504"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Participant may deliver cash in an amount which would satisfy the withholding requirement;</w:t>
      </w:r>
    </w:p>
    <w:p>
      <w:pPr>
        <w:spacing w:after="0" w:line="225" w:lineRule="exact"/>
        <w:rPr>
          <w:rFonts w:ascii="Arial" w:cs="Arial" w:eastAsia="Arial" w:hAnsi="Arial"/>
          <w:sz w:val="18"/>
          <w:szCs w:val="18"/>
          <w:color w:val="auto"/>
        </w:rPr>
      </w:pPr>
    </w:p>
    <w:p>
      <w:pPr>
        <w:ind w:left="1304" w:hanging="7"/>
        <w:spacing w:after="0" w:line="262" w:lineRule="auto"/>
        <w:tabs>
          <w:tab w:leader="none" w:pos="1569" w:val="left"/>
        </w:tabs>
        <w:numPr>
          <w:ilvl w:val="2"/>
          <w:numId w:val="37"/>
        </w:numPr>
        <w:rPr>
          <w:rFonts w:ascii="Arial" w:cs="Arial" w:eastAsia="Arial" w:hAnsi="Arial"/>
          <w:sz w:val="18"/>
          <w:szCs w:val="18"/>
          <w:color w:val="auto"/>
        </w:rPr>
      </w:pPr>
      <w:r>
        <w:rPr>
          <w:rFonts w:ascii="Arial" w:cs="Arial" w:eastAsia="Arial" w:hAnsi="Arial"/>
          <w:sz w:val="18"/>
          <w:szCs w:val="18"/>
          <w:color w:val="auto"/>
        </w:rPr>
        <w:t>A Participant may deliver previously-owned Shares (based upon the Fair Market Value of the Common Stock on the date of exercise) in an amount which would satisfy the withholding requirement; or</w:t>
      </w:r>
    </w:p>
    <w:p>
      <w:pPr>
        <w:spacing w:after="0" w:line="196" w:lineRule="exact"/>
        <w:rPr>
          <w:rFonts w:ascii="Arial" w:cs="Arial" w:eastAsia="Arial" w:hAnsi="Arial"/>
          <w:sz w:val="18"/>
          <w:szCs w:val="18"/>
          <w:color w:val="auto"/>
        </w:rPr>
      </w:pPr>
    </w:p>
    <w:p>
      <w:pPr>
        <w:jc w:val="both"/>
        <w:ind w:left="1304" w:hanging="7"/>
        <w:spacing w:after="0" w:line="253" w:lineRule="auto"/>
        <w:tabs>
          <w:tab w:leader="none" w:pos="1595" w:val="left"/>
        </w:tabs>
        <w:numPr>
          <w:ilvl w:val="2"/>
          <w:numId w:val="37"/>
        </w:numPr>
        <w:rPr>
          <w:rFonts w:ascii="Arial" w:cs="Arial" w:eastAsia="Arial" w:hAnsi="Arial"/>
          <w:sz w:val="18"/>
          <w:szCs w:val="18"/>
          <w:color w:val="auto"/>
        </w:rPr>
      </w:pPr>
      <w:r>
        <w:rPr>
          <w:rFonts w:ascii="Arial" w:cs="Arial" w:eastAsia="Arial" w:hAnsi="Arial"/>
          <w:sz w:val="18"/>
          <w:szCs w:val="18"/>
          <w:color w:val="auto"/>
        </w:rPr>
        <w:t>With the prior consent of either the Committee or the Board, or its authorized designees, a Participant may request that the Company (or the entity which employs the Participant) withhold from the number of Shares otherwise issuable to the Participant upon exercise of an Option such number of Shares (based upon the Fair Market Value of the Common Stock on the date of exercise) as is necessary to satisfy the withholding requirement.</w:t>
      </w:r>
    </w:p>
    <w:p>
      <w:pPr>
        <w:spacing w:after="0" w:line="205" w:lineRule="exact"/>
        <w:rPr>
          <w:rFonts w:ascii="Arial" w:cs="Arial" w:eastAsia="Arial" w:hAnsi="Arial"/>
          <w:sz w:val="18"/>
          <w:szCs w:val="18"/>
          <w:color w:val="auto"/>
        </w:rPr>
      </w:pPr>
    </w:p>
    <w:p>
      <w:pPr>
        <w:jc w:val="both"/>
        <w:ind w:left="644" w:firstLine="5"/>
        <w:spacing w:after="0" w:line="251" w:lineRule="auto"/>
        <w:tabs>
          <w:tab w:leader="none" w:pos="91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Conditions to Exercise of Options</w:t>
      </w:r>
      <w:r>
        <w:rPr>
          <w:rFonts w:ascii="Arial" w:cs="Arial" w:eastAsia="Arial" w:hAnsi="Arial"/>
          <w:sz w:val="18"/>
          <w:szCs w:val="18"/>
          <w:color w:val="auto"/>
        </w:rPr>
        <w:t>. The Committee or the Board may, in their discretion, require as conditions to the exercise of Options or Stock Appreciation Rights and the issuance of shares thereunder either (a) that a registration statement under the Securities Act of 1933, as amended, with respect to the Options or Stock Appreciation Rights and the shares to be issued upon the exercise thereof, containing such current information as is required by the Rules and Regulations under said Act, shall have become, and continue to be, effective; or (b) that the Participant or his or her transferee(s) (i) shall have represented, warranted and agreed, in form and substance satisfactory to the Company, both that he or she is acquiring the Option or Stock Appreciation Right and, at the time of exercising the Option or Stock Appreciation Right, that he or she is acquiring the shares for his/her own account, for investment and not with a view to or in connection with any distribution; (ii) shall have agreed to restrictions on transfer, in form and substance satisfactory to the Company; and (iii) shall have agreed to an endorsement which makes appropriate reference to such representations, warranties, agreements and restrictions both on the option and on the certificate representing the shares.</w:t>
      </w:r>
    </w:p>
    <w:p>
      <w:pPr>
        <w:spacing w:after="0" w:line="211" w:lineRule="exact"/>
        <w:rPr>
          <w:rFonts w:ascii="Arial" w:cs="Arial" w:eastAsia="Arial" w:hAnsi="Arial"/>
          <w:sz w:val="18"/>
          <w:szCs w:val="18"/>
          <w:color w:val="auto"/>
        </w:rPr>
      </w:pPr>
    </w:p>
    <w:p>
      <w:pPr>
        <w:ind w:left="644" w:firstLine="5"/>
        <w:spacing w:after="0" w:line="262" w:lineRule="auto"/>
        <w:tabs>
          <w:tab w:leader="none" w:pos="91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Proceeds realized from the sale of Common Stock pursuant to Options granted hereunder shall constitute general funds of the Company.</w:t>
      </w:r>
    </w:p>
    <w:p>
      <w:pPr>
        <w:spacing w:after="0" w:line="196" w:lineRule="exact"/>
        <w:rPr>
          <w:rFonts w:ascii="Arial" w:cs="Arial" w:eastAsia="Arial" w:hAnsi="Arial"/>
          <w:sz w:val="18"/>
          <w:szCs w:val="18"/>
          <w:color w:val="auto"/>
        </w:rPr>
      </w:pPr>
    </w:p>
    <w:p>
      <w:pPr>
        <w:ind w:left="644" w:firstLine="5"/>
        <w:spacing w:after="0" w:line="262" w:lineRule="auto"/>
        <w:tabs>
          <w:tab w:leader="none" w:pos="85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Minimum Vesting Period</w:t>
      </w:r>
      <w:r>
        <w:rPr>
          <w:rFonts w:ascii="Arial" w:cs="Arial" w:eastAsia="Arial" w:hAnsi="Arial"/>
          <w:sz w:val="18"/>
          <w:szCs w:val="18"/>
          <w:color w:val="auto"/>
        </w:rPr>
        <w:t>. The minimum vesting period applicable to any Option shall be one (1) year from the date of grant.</w:t>
      </w:r>
    </w:p>
    <w:p>
      <w:pPr>
        <w:spacing w:after="0" w:line="196" w:lineRule="exact"/>
        <w:rPr>
          <w:rFonts w:ascii="Arial" w:cs="Arial" w:eastAsia="Arial" w:hAnsi="Arial"/>
          <w:sz w:val="18"/>
          <w:szCs w:val="18"/>
          <w:color w:val="auto"/>
        </w:rPr>
      </w:pPr>
    </w:p>
    <w:p>
      <w:pPr>
        <w:ind w:left="204" w:hanging="204"/>
        <w:spacing w:after="0"/>
        <w:tabs>
          <w:tab w:leader="none" w:pos="20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right="60" w:firstLine="5"/>
        <w:spacing w:after="0" w:line="252" w:lineRule="auto"/>
        <w:tabs>
          <w:tab w:leader="none" w:pos="9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When granted, Stock Appreciation Rights may, but need not be, identified with a specific Option (including any Option granted on or before the Date of Grant of the Stock Appreciation Rights) in a number equal to or different from the number of Stock Appreciation Rights so granted. If Stock Appreciation Rights are identified with Shares subject to an Option, then, unless otherwise provided in the applicable Grant Documents, the Participant’s associated Stock Appreciation Rights shall terminate upon the expiration, termination, forfeiture or cancellation of such Option or the exercise of such Option.</w:t>
      </w:r>
    </w:p>
    <w:p>
      <w:pPr>
        <w:spacing w:after="0" w:line="208" w:lineRule="exact"/>
        <w:rPr>
          <w:rFonts w:ascii="Arial" w:cs="Arial" w:eastAsia="Arial" w:hAnsi="Arial"/>
          <w:sz w:val="18"/>
          <w:szCs w:val="18"/>
          <w:color w:val="auto"/>
        </w:rPr>
      </w:pPr>
    </w:p>
    <w:p>
      <w:pPr>
        <w:ind w:left="644" w:right="80" w:firstLine="5"/>
        <w:spacing w:after="0" w:line="262" w:lineRule="auto"/>
        <w:tabs>
          <w:tab w:leader="none" w:pos="91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Strike Price of any Stock Appreciation Right shall (i) for any Stock Appreciation Right that is identified with an Option, equal the Exercise Price of such Option, or (ii) for any other Stock Appreciation Right, be not less than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64"/>
          </w:cols>
          <w:pgMar w:left="896" w:top="1435" w:right="939" w:bottom="1440" w:gutter="0" w:footer="0" w:header="0"/>
        </w:sectPr>
      </w:pPr>
    </w:p>
    <w:bookmarkStart w:id="52" w:name="page53"/>
    <w:bookmarkEnd w:id="52"/>
    <w:p>
      <w:pPr>
        <w:jc w:val="both"/>
        <w:ind w:left="644" w:right="100"/>
        <w:spacing w:after="0" w:line="256" w:lineRule="auto"/>
        <w:rPr>
          <w:sz w:val="20"/>
          <w:szCs w:val="20"/>
          <w:color w:val="auto"/>
        </w:rPr>
      </w:pPr>
      <w:r>
        <w:rPr>
          <w:rFonts w:ascii="Arial" w:cs="Arial" w:eastAsia="Arial" w:hAnsi="Arial"/>
          <w:sz w:val="18"/>
          <w:szCs w:val="18"/>
          <w:color w:val="auto"/>
        </w:rPr>
        <w:t>of the Fair Market Value of a Share of Common Stock on the Date of Grant as the Committee or Board shall specify. The duration of any Stock Appreciation Right shall be for such period as determined by the Committee or Board in its sole discretion, not to exceed ten years.</w:t>
      </w:r>
    </w:p>
    <w:p>
      <w:pPr>
        <w:spacing w:after="0" w:line="202" w:lineRule="exact"/>
        <w:rPr>
          <w:sz w:val="20"/>
          <w:szCs w:val="20"/>
          <w:color w:val="auto"/>
        </w:rPr>
      </w:pPr>
    </w:p>
    <w:p>
      <w:pPr>
        <w:jc w:val="both"/>
        <w:ind w:left="644" w:right="100" w:firstLine="5"/>
        <w:spacing w:after="0" w:line="252" w:lineRule="auto"/>
        <w:tabs>
          <w:tab w:leader="none" w:pos="9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Section 11 hereof, (i) each Stock Appreciation Right which is identified with any Option grant shall vest and become exercisable by a Participant as and to the extent, including the minimum vesting period provided in Section 6(i), that the related Option with respect to which such Stock Appreciation Right is identified may be exercised; and (ii) each other Stock Appreciation Right shall vest and become exercisable by a Participant, whether during or after employment or following death, retirement or disability, at such time or times as may be designated by the Committee or Board as set forth in the applicable rules, guidelines and practices governing the Plan and/or the Grant Documents executed in connection with such Stock Appreciation Right; provided, however, that the minimum vesting period applicable to any such other Stock Appreciation Right shall be one (1) year from the date of grant.</w:t>
      </w:r>
    </w:p>
    <w:p>
      <w:pPr>
        <w:spacing w:after="0" w:line="206" w:lineRule="exact"/>
        <w:rPr>
          <w:rFonts w:ascii="Arial" w:cs="Arial" w:eastAsia="Arial" w:hAnsi="Arial"/>
          <w:sz w:val="18"/>
          <w:szCs w:val="18"/>
          <w:color w:val="auto"/>
        </w:rPr>
      </w:pPr>
    </w:p>
    <w:p>
      <w:pPr>
        <w:jc w:val="both"/>
        <w:ind w:left="644" w:right="100" w:firstLine="5"/>
        <w:spacing w:after="0" w:line="253" w:lineRule="auto"/>
        <w:tabs>
          <w:tab w:leader="none" w:pos="941"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Subject to Section 11 hereof, Stock Appreciation Rights may be exercised by a Participant by delivery to the Company of written notice of intent to exercise a specific number of Stock Appreciation Rights. Unless otherwise provided in the applicable Grant Documents, the exercise of Stock Appreciation Rights which are identified with Shares of Common Stock subject to an Option shall result in the cancellation or forfeiture of such Option to the extent of the exercise of such Stock Appreciation Right.</w:t>
      </w:r>
    </w:p>
    <w:p>
      <w:pPr>
        <w:spacing w:after="0" w:line="205" w:lineRule="exact"/>
        <w:rPr>
          <w:rFonts w:ascii="Arial" w:cs="Arial" w:eastAsia="Arial" w:hAnsi="Arial"/>
          <w:sz w:val="18"/>
          <w:szCs w:val="18"/>
          <w:color w:val="auto"/>
        </w:rPr>
      </w:pPr>
    </w:p>
    <w:p>
      <w:pPr>
        <w:jc w:val="both"/>
        <w:ind w:left="644" w:right="80" w:firstLine="5"/>
        <w:spacing w:after="0" w:line="252" w:lineRule="auto"/>
        <w:tabs>
          <w:tab w:leader="none" w:pos="931"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benefit to the Participant for each Stock Appreciation Right exercised shall be equal to (i) the Fair Market Value of a Share of Common Stock on the date of exercise, minus (ii) the Strike Price of such Stock Appreciation Right. Such benefit shall be payable in cash, except that the Committee or Board may provide in the applicable rules, guidelines and practices governing the Plan and/or the Grant Documents that benefits may be paid wholly or partly in Shares of Common Stock. No dividends, dividend equivalents or other similar payments shall be payable in respect of an unvested Stock Appreciation Right.</w:t>
      </w:r>
    </w:p>
    <w:p>
      <w:pPr>
        <w:spacing w:after="0" w:line="208" w:lineRule="exact"/>
        <w:rPr>
          <w:rFonts w:ascii="Arial" w:cs="Arial" w:eastAsia="Arial" w:hAnsi="Arial"/>
          <w:sz w:val="18"/>
          <w:szCs w:val="18"/>
          <w:color w:val="auto"/>
        </w:rPr>
      </w:pPr>
    </w:p>
    <w:p>
      <w:pPr>
        <w:ind w:left="204" w:hanging="204"/>
        <w:spacing w:after="0"/>
        <w:tabs>
          <w:tab w:leader="none" w:pos="20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Restricted Stock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right="20" w:firstLine="5"/>
        <w:spacing w:after="0" w:line="253" w:lineRule="auto"/>
        <w:tabs>
          <w:tab w:leader="none" w:pos="91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A Restricted Stock Award shall be subject to restrictions imposed by the Committee or the Board during a period of time specified by the Committee or Board (the “Restriction Period”). Restricted Stock Awards may be issued hereunder to Participants for no cash consideration or for such minimum consideration as may be required by applicable law, either alone or in addition to other Awards granted under the Plan. The provisions of Restricted Stock Awards need not be the same with respect to each Participant.</w:t>
      </w:r>
    </w:p>
    <w:p>
      <w:pPr>
        <w:spacing w:after="0" w:line="232" w:lineRule="exact"/>
        <w:rPr>
          <w:rFonts w:ascii="Arial" w:cs="Arial" w:eastAsia="Arial" w:hAnsi="Arial"/>
          <w:sz w:val="18"/>
          <w:szCs w:val="18"/>
          <w:color w:val="auto"/>
        </w:rPr>
      </w:pPr>
    </w:p>
    <w:p>
      <w:pPr>
        <w:ind w:left="924" w:hanging="275"/>
        <w:spacing w:after="0"/>
        <w:tabs>
          <w:tab w:leader="none" w:pos="92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4" w:hanging="7"/>
        <w:spacing w:after="0" w:line="254" w:lineRule="auto"/>
        <w:tabs>
          <w:tab w:leader="none" w:pos="1526"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Company may grant Restricted Stock to those Associates the Committee or the Board may select in their sole discretion. Each Award of Restricted Stock shall have those terms and conditions that are expressly set forth in or are required by the Plan and the Grant Documents as the Committee or the Board may determine in their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84"/>
          </w:cols>
          <w:pgMar w:left="896" w:top="1435" w:right="919" w:bottom="1440" w:gutter="0" w:footer="0" w:header="0"/>
        </w:sectPr>
      </w:pPr>
    </w:p>
    <w:bookmarkStart w:id="53" w:name="page54"/>
    <w:bookmarkEnd w:id="53"/>
    <w:p>
      <w:pPr>
        <w:spacing w:after="0" w:line="212" w:lineRule="exact"/>
        <w:rPr>
          <w:sz w:val="20"/>
          <w:szCs w:val="20"/>
          <w:color w:val="auto"/>
        </w:rPr>
      </w:pPr>
    </w:p>
    <w:p>
      <w:pPr>
        <w:jc w:val="both"/>
        <w:ind w:left="760" w:right="20" w:hanging="7"/>
        <w:spacing w:after="0" w:line="252" w:lineRule="auto"/>
        <w:tabs>
          <w:tab w:leader="none" w:pos="104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While any restriction applies to any Participant’s Restricted Stock, (a) the Participant shall receive the proceeds of the Restricted Stock in any stock split, reverse stock split, recapitalization, or other change in the capital structure of the Company, which proceeds shall automatically and without need for any other action become Restricted Stock and be subject to all restrictions then existing as to the Participant’s Restricted Stock; (b) the Participant shall be entitled to vote the Restricted Stock during the Restriction Period; and (c) no dividends, dividend equivalents or other similar payments shall be payable in respect of such Restricted Stock.</w:t>
      </w:r>
    </w:p>
    <w:p>
      <w:pPr>
        <w:spacing w:after="0" w:line="207" w:lineRule="exact"/>
        <w:rPr>
          <w:rFonts w:ascii="Arial" w:cs="Arial" w:eastAsia="Arial" w:hAnsi="Arial"/>
          <w:sz w:val="18"/>
          <w:szCs w:val="18"/>
          <w:color w:val="auto"/>
        </w:rPr>
      </w:pPr>
    </w:p>
    <w:p>
      <w:pPr>
        <w:jc w:val="both"/>
        <w:ind w:left="760" w:hanging="7"/>
        <w:spacing w:after="0" w:line="251" w:lineRule="auto"/>
        <w:tabs>
          <w:tab w:leader="none" w:pos="10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Restricted Stock will be delivered to the Participant subject to the understanding that while any restriction applies to the Restricted Stock, the Participant shall not have the right to sell, transfer, assign, convey, pledge, hypothecate, grant any security interest in or mortgage on, or otherwise dispose of or encumber any shares of Restricted Stock or any interest therein. As a result of the retention of rights in the Restricted Stock by the Company, except as required by any applicable law, neither any shares of the Restricted Stock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spacing w:after="0" w:line="212" w:lineRule="exact"/>
        <w:rPr>
          <w:rFonts w:ascii="Arial" w:cs="Arial" w:eastAsia="Arial" w:hAnsi="Arial"/>
          <w:sz w:val="18"/>
          <w:szCs w:val="18"/>
          <w:color w:val="auto"/>
        </w:rPr>
      </w:pPr>
    </w:p>
    <w:p>
      <w:pPr>
        <w:jc w:val="both"/>
        <w:ind w:left="760" w:hanging="7"/>
        <w:spacing w:after="0" w:line="254" w:lineRule="auto"/>
        <w:tabs>
          <w:tab w:leader="none" w:pos="10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Unless other provisions are specified in the Grant Documents or Plan guidelines which may be adopted by the Committee or the Board from time to time, any Restricted Stock held by the Participant at the time the Participant ceases to be an Associate for any reason shall be forfeited by the Participant to the Company and automatically re-conveyed to the Company.</w:t>
      </w:r>
    </w:p>
    <w:p>
      <w:pPr>
        <w:spacing w:after="0" w:line="231" w:lineRule="exact"/>
        <w:rPr>
          <w:rFonts w:ascii="Arial" w:cs="Arial" w:eastAsia="Arial" w:hAnsi="Arial"/>
          <w:sz w:val="18"/>
          <w:szCs w:val="18"/>
          <w:color w:val="auto"/>
        </w:rPr>
      </w:pPr>
    </w:p>
    <w:p>
      <w:pPr>
        <w:ind w:left="760" w:hanging="7"/>
        <w:spacing w:after="0" w:line="262" w:lineRule="auto"/>
        <w:tabs>
          <w:tab w:leader="none" w:pos="10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Committee or the Board may withhold, in accordance with Section 17(f) hereof, any amounts necessary to collect any withholding taxes upon any taxable event relating to Restricted Stock.</w:t>
      </w:r>
    </w:p>
    <w:p>
      <w:pPr>
        <w:spacing w:after="0" w:line="196" w:lineRule="exact"/>
        <w:rPr>
          <w:rFonts w:ascii="Arial" w:cs="Arial" w:eastAsia="Arial" w:hAnsi="Arial"/>
          <w:sz w:val="18"/>
          <w:szCs w:val="18"/>
          <w:color w:val="auto"/>
        </w:rPr>
      </w:pPr>
    </w:p>
    <w:p>
      <w:pPr>
        <w:jc w:val="both"/>
        <w:ind w:left="760" w:right="20" w:hanging="7"/>
        <w:spacing w:after="0" w:line="254" w:lineRule="auto"/>
        <w:tabs>
          <w:tab w:leader="none" w:pos="10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making of an Award of Restricted Stock and delivery of any Restricted Stock is subject to compliance by the Company with all applicable Legal Requirements. The Company need not issue or transfer Restricted Stock pursuant to the Plan unless the Company’s legal counsel has approved all legal matters in connection with the delivery of the Restricted Stock.</w:t>
      </w:r>
    </w:p>
    <w:p>
      <w:pPr>
        <w:spacing w:after="0" w:line="231" w:lineRule="exact"/>
        <w:rPr>
          <w:rFonts w:ascii="Arial" w:cs="Arial" w:eastAsia="Arial" w:hAnsi="Arial"/>
          <w:sz w:val="18"/>
          <w:szCs w:val="18"/>
          <w:color w:val="auto"/>
        </w:rPr>
      </w:pPr>
    </w:p>
    <w:p>
      <w:pPr>
        <w:jc w:val="both"/>
        <w:ind w:left="760" w:right="20" w:hanging="7"/>
        <w:spacing w:after="0" w:line="256" w:lineRule="auto"/>
        <w:tabs>
          <w:tab w:leader="none" w:pos="11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Restricted Stock will be book-entry Shares only unless the Committee or the Board decides to issue certificates to evidence any shares of Restricted Stock. The Company may place stop-transfer instructions with respect to all Restricted Stock on its stock transfer records.</w:t>
      </w:r>
    </w:p>
    <w:p>
      <w:pPr>
        <w:spacing w:after="0" w:line="228" w:lineRule="exact"/>
        <w:rPr>
          <w:rFonts w:ascii="Arial" w:cs="Arial" w:eastAsia="Arial" w:hAnsi="Arial"/>
          <w:sz w:val="18"/>
          <w:szCs w:val="18"/>
          <w:color w:val="auto"/>
        </w:rPr>
      </w:pPr>
    </w:p>
    <w:p>
      <w:pPr>
        <w:ind w:left="760" w:right="20" w:hanging="7"/>
        <w:spacing w:after="0" w:line="262" w:lineRule="auto"/>
        <w:tabs>
          <w:tab w:leader="none" w:pos="11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the time of grant of Restricted Stock (or at such earlier or later time as the Committee or the Board determines to be appropriate in light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540"/>
          </w:cols>
          <w:pgMar w:left="1440" w:top="1440" w:right="919" w:bottom="1440" w:gutter="0" w:footer="0" w:header="0"/>
        </w:sectPr>
      </w:pPr>
    </w:p>
    <w:bookmarkStart w:id="54" w:name="page55"/>
    <w:bookmarkEnd w:id="54"/>
    <w:p>
      <w:pPr>
        <w:jc w:val="both"/>
        <w:ind w:left="760" w:right="20"/>
        <w:spacing w:after="0" w:line="252" w:lineRule="auto"/>
        <w:rPr>
          <w:sz w:val="20"/>
          <w:szCs w:val="20"/>
          <w:color w:val="auto"/>
        </w:rPr>
      </w:pPr>
      <w:r>
        <w:rPr>
          <w:rFonts w:ascii="Arial" w:cs="Arial" w:eastAsia="Arial" w:hAnsi="Arial"/>
          <w:sz w:val="18"/>
          <w:szCs w:val="18"/>
          <w:color w:val="auto"/>
        </w:rPr>
        <w:t>of the provisions of Code Section 409A), the Committee or the Board may permit a Participant of an Award of Restricted Stock to defer receipt of his or her Restricted Stock in accordance with rules and procedures established by the Committee or the Board. Alternatively, the Committee or the Board may, in their discretion and at the times provided above, permit an individual who would have been a Participant with respect to an Award of Restricted Stock, to elect instead to receive an equivalent Award of Restricted Stock Units, and the Committee or the Board may permit the Participant to elect to defer receipt of Shares under the Restricted Stock Units in accordance with Section 8(c)(viii).</w:t>
      </w:r>
    </w:p>
    <w:p>
      <w:pPr>
        <w:spacing w:after="0" w:line="234" w:lineRule="exact"/>
        <w:rPr>
          <w:sz w:val="20"/>
          <w:szCs w:val="20"/>
          <w:color w:val="auto"/>
        </w:rPr>
      </w:pPr>
    </w:p>
    <w:p>
      <w:pPr>
        <w:jc w:val="both"/>
        <w:ind w:left="760" w:right="20" w:hanging="7"/>
        <w:spacing w:after="0" w:line="254" w:lineRule="auto"/>
        <w:tabs>
          <w:tab w:leader="none" w:pos="110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minimum Restriction Period applicable to any Award of Restricted Stock that is not subject to performance conditions restricting the grant size, the transfer of the shares, or the vesting of the award shall be two (2) years from the date of grant; provided, however, that a Restriction Period of less than two (2) years may be approved under the Plan for such Awards with respect to up to a total of 100,000 Shares.</w:t>
      </w:r>
    </w:p>
    <w:p>
      <w:pPr>
        <w:spacing w:after="0" w:line="204" w:lineRule="exact"/>
        <w:rPr>
          <w:rFonts w:ascii="Arial" w:cs="Arial" w:eastAsia="Arial" w:hAnsi="Arial"/>
          <w:sz w:val="18"/>
          <w:szCs w:val="18"/>
          <w:color w:val="auto"/>
        </w:rPr>
      </w:pPr>
    </w:p>
    <w:p>
      <w:pPr>
        <w:ind w:left="360" w:hanging="255"/>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760" w:right="20" w:hanging="7"/>
        <w:spacing w:after="0" w:line="254" w:lineRule="auto"/>
        <w:tabs>
          <w:tab w:leader="none" w:pos="98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Company may grant Restricted Stock Units to those Associates as the Committee or the Board may select in its sole discretion. Restricted Stock Units represent the right to receive Shares in the future, at such times, and subject to such conditions as the Committee or the Board shall determine. The restrictions imposed shall take into account potential tax treatment under Code Section 409A.</w:t>
      </w:r>
    </w:p>
    <w:p>
      <w:pPr>
        <w:spacing w:after="0" w:line="204" w:lineRule="exact"/>
        <w:rPr>
          <w:rFonts w:ascii="Arial" w:cs="Arial" w:eastAsia="Arial" w:hAnsi="Arial"/>
          <w:sz w:val="18"/>
          <w:szCs w:val="18"/>
          <w:color w:val="auto"/>
        </w:rPr>
      </w:pPr>
    </w:p>
    <w:p>
      <w:pPr>
        <w:jc w:val="both"/>
        <w:ind w:left="760" w:hanging="7"/>
        <w:spacing w:after="0" w:line="251" w:lineRule="auto"/>
        <w:tabs>
          <w:tab w:leader="none" w:pos="10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Until the Restricted Stock Unit is released from restrictions and any Shares subject thereto are delivered to the Participant, the Participant shall not have any beneficial ownership in any Shares subject to the Restricted Stock Unit, nor shall the Participant have the right to sell, transfer, assign, convey, pledge, hypothecate, grant any security interest in or mortgage on, or otherwise dispose of or encumber any Restricted Stock Unit or any interest therein. Except as required by any law, no Restricted Stock Unit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spacing w:after="0" w:line="212" w:lineRule="exact"/>
        <w:rPr>
          <w:rFonts w:ascii="Arial" w:cs="Arial" w:eastAsia="Arial" w:hAnsi="Arial"/>
          <w:sz w:val="18"/>
          <w:szCs w:val="18"/>
          <w:color w:val="auto"/>
        </w:rPr>
      </w:pPr>
    </w:p>
    <w:p>
      <w:pPr>
        <w:jc w:val="both"/>
        <w:ind w:left="760" w:hanging="7"/>
        <w:spacing w:after="0" w:line="252" w:lineRule="auto"/>
        <w:tabs>
          <w:tab w:leader="none" w:pos="1064" w:val="left"/>
        </w:tabs>
        <w:numPr>
          <w:ilvl w:val="1"/>
          <w:numId w:val="44"/>
        </w:numPr>
        <w:rPr>
          <w:rFonts w:ascii="Arial" w:cs="Arial" w:eastAsia="Arial" w:hAnsi="Arial"/>
          <w:sz w:val="18"/>
          <w:szCs w:val="18"/>
          <w:color w:val="auto"/>
        </w:rPr>
      </w:pPr>
      <w:r>
        <w:rPr>
          <w:rFonts w:ascii="Arial" w:cs="Arial" w:eastAsia="Arial" w:hAnsi="Arial"/>
          <w:sz w:val="18"/>
          <w:szCs w:val="18"/>
          <w:color w:val="auto"/>
        </w:rPr>
        <w:t>Upon the lapse of the restrictions, the Participant holder of Restricted Stock Units shall, except as noted below, be entitled to receive, as soon as administratively practical, (a) that number of Shares subject to the Award that are no longer subject to restrictions, (b) cash in an amount equal to the Fair Market Value of the number of Shares subject to the Award that are no longer subject to restrictions, or (c) any combination of Shares and cash, as the Committee or the Board shall determine in their sole discretion, or shall have specified at the time the Award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40"/>
          </w:cols>
          <w:pgMar w:left="1440" w:top="1435" w:right="919" w:bottom="1440" w:gutter="0" w:footer="0" w:header="0"/>
        </w:sectPr>
      </w:pPr>
    </w:p>
    <w:bookmarkStart w:id="55" w:name="page56"/>
    <w:bookmarkEnd w:id="55"/>
    <w:p>
      <w:pPr>
        <w:jc w:val="both"/>
        <w:ind w:left="1304" w:hanging="7"/>
        <w:spacing w:after="0" w:line="256" w:lineRule="auto"/>
        <w:tabs>
          <w:tab w:leader="none" w:pos="1605" w:val="left"/>
        </w:tabs>
        <w:numPr>
          <w:ilvl w:val="2"/>
          <w:numId w:val="45"/>
        </w:numPr>
        <w:rPr>
          <w:rFonts w:ascii="Arial" w:cs="Arial" w:eastAsia="Arial" w:hAnsi="Arial"/>
          <w:sz w:val="18"/>
          <w:szCs w:val="18"/>
          <w:color w:val="auto"/>
        </w:rPr>
      </w:pPr>
      <w:r>
        <w:rPr>
          <w:rFonts w:ascii="Arial" w:cs="Arial" w:eastAsia="Arial" w:hAnsi="Arial"/>
          <w:sz w:val="18"/>
          <w:szCs w:val="18"/>
          <w:color w:val="auto"/>
        </w:rPr>
        <w:t>Restricted Stock Units and the entitlement to Shares, cash, or any combination thereunder will be forfeited and all rights of a Participant to such Restricted Stock Units and the Shares thereunder will terminate if the applicable restrictions are not satisfied.</w:t>
      </w:r>
    </w:p>
    <w:p>
      <w:pPr>
        <w:spacing w:after="0" w:line="228" w:lineRule="exact"/>
        <w:rPr>
          <w:rFonts w:ascii="Arial" w:cs="Arial" w:eastAsia="Arial" w:hAnsi="Arial"/>
          <w:sz w:val="18"/>
          <w:szCs w:val="18"/>
          <w:color w:val="auto"/>
        </w:rPr>
      </w:pPr>
    </w:p>
    <w:p>
      <w:pPr>
        <w:jc w:val="both"/>
        <w:ind w:left="1304" w:hanging="7"/>
        <w:spacing w:after="0" w:line="256" w:lineRule="auto"/>
        <w:tabs>
          <w:tab w:leader="none" w:pos="1569" w:val="left"/>
        </w:tabs>
        <w:numPr>
          <w:ilvl w:val="2"/>
          <w:numId w:val="45"/>
        </w:numPr>
        <w:rPr>
          <w:rFonts w:ascii="Arial" w:cs="Arial" w:eastAsia="Arial" w:hAnsi="Arial"/>
          <w:sz w:val="18"/>
          <w:szCs w:val="18"/>
          <w:color w:val="auto"/>
        </w:rPr>
      </w:pPr>
      <w:r>
        <w:rPr>
          <w:rFonts w:ascii="Arial" w:cs="Arial" w:eastAsia="Arial" w:hAnsi="Arial"/>
          <w:sz w:val="18"/>
          <w:szCs w:val="18"/>
          <w:color w:val="auto"/>
        </w:rPr>
        <w:t>A Participant holder of Restricted Stock Units is not entitled to any rights of a holder of the Shares (e.g., voting rights), prior to the receipt of such Shares pursuant to the Plan. No dividends, dividend equivalents or other similar payments shall be payable in respect of an outstanding Restricted Stock Unit.</w:t>
      </w:r>
    </w:p>
    <w:p>
      <w:pPr>
        <w:spacing w:after="0" w:line="228" w:lineRule="exact"/>
        <w:rPr>
          <w:rFonts w:ascii="Arial" w:cs="Arial" w:eastAsia="Arial" w:hAnsi="Arial"/>
          <w:sz w:val="18"/>
          <w:szCs w:val="18"/>
          <w:color w:val="auto"/>
        </w:rPr>
      </w:pPr>
    </w:p>
    <w:p>
      <w:pPr>
        <w:ind w:left="1304" w:right="20" w:hanging="7"/>
        <w:spacing w:after="0" w:line="262" w:lineRule="auto"/>
        <w:tabs>
          <w:tab w:leader="none" w:pos="1651"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Committee or the Board may withhold, in accordance with Section 17(f) hereof, any amounts necessary to collect any withholding taxes upon any taxable event relating to any Restricted Stock Units.</w:t>
      </w:r>
    </w:p>
    <w:p>
      <w:pPr>
        <w:spacing w:after="0" w:line="196" w:lineRule="exact"/>
        <w:rPr>
          <w:rFonts w:ascii="Arial" w:cs="Arial" w:eastAsia="Arial" w:hAnsi="Arial"/>
          <w:sz w:val="18"/>
          <w:szCs w:val="18"/>
          <w:color w:val="auto"/>
        </w:rPr>
      </w:pPr>
    </w:p>
    <w:p>
      <w:pPr>
        <w:ind w:left="1304" w:right="20" w:hanging="7"/>
        <w:spacing w:after="0" w:line="262" w:lineRule="auto"/>
        <w:tabs>
          <w:tab w:leader="none" w:pos="1664"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granting of Restricted Stock Units and the delivery of any Shares is subject to compliance by the Company with all applicable Legal Requirements.</w:t>
      </w:r>
    </w:p>
    <w:p>
      <w:pPr>
        <w:spacing w:after="0" w:line="223" w:lineRule="exact"/>
        <w:rPr>
          <w:rFonts w:ascii="Arial" w:cs="Arial" w:eastAsia="Arial" w:hAnsi="Arial"/>
          <w:sz w:val="18"/>
          <w:szCs w:val="18"/>
          <w:color w:val="auto"/>
        </w:rPr>
      </w:pPr>
    </w:p>
    <w:p>
      <w:pPr>
        <w:jc w:val="both"/>
        <w:ind w:left="1304" w:right="20" w:hanging="7"/>
        <w:spacing w:after="0" w:line="252" w:lineRule="auto"/>
        <w:tabs>
          <w:tab w:leader="none" w:pos="1694" w:val="left"/>
        </w:tabs>
        <w:numPr>
          <w:ilvl w:val="2"/>
          <w:numId w:val="45"/>
        </w:numPr>
        <w:rPr>
          <w:rFonts w:ascii="Arial" w:cs="Arial" w:eastAsia="Arial" w:hAnsi="Arial"/>
          <w:sz w:val="18"/>
          <w:szCs w:val="18"/>
          <w:color w:val="auto"/>
        </w:rPr>
      </w:pPr>
      <w:r>
        <w:rPr>
          <w:rFonts w:ascii="Arial" w:cs="Arial" w:eastAsia="Arial" w:hAnsi="Arial"/>
          <w:sz w:val="18"/>
          <w:szCs w:val="18"/>
          <w:color w:val="auto"/>
        </w:rPr>
        <w:t>At the time of grant of Restricted Stock Units (or at such earlier or later time as the Committee or the Board determines to be appropriate in light of the provisions of Code Section 409A), the Committee or the Board may permit a Participant to elect to defer receipt of the Shares or cash to be delivered upon lapse of the restrictions applicable to the Restricted Stock Units in accordance with rules and procedures that may be established from time to time by the Committee or the Board. Such rules and procedures shall take into account potential tax treatment under Code Section 409A, and may provide for payment in Shares or cash.</w:t>
      </w:r>
    </w:p>
    <w:p>
      <w:pPr>
        <w:spacing w:after="0" w:line="235" w:lineRule="exact"/>
        <w:rPr>
          <w:rFonts w:ascii="Arial" w:cs="Arial" w:eastAsia="Arial" w:hAnsi="Arial"/>
          <w:sz w:val="18"/>
          <w:szCs w:val="18"/>
          <w:color w:val="auto"/>
        </w:rPr>
      </w:pPr>
    </w:p>
    <w:p>
      <w:pPr>
        <w:jc w:val="both"/>
        <w:ind w:left="1304" w:right="20" w:hanging="7"/>
        <w:spacing w:after="0" w:line="256" w:lineRule="auto"/>
        <w:tabs>
          <w:tab w:leader="none" w:pos="1618"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minimum Restriction Period applicable to any Award of Restricted Stock Units shall be one (1) year from the date of grant, provided, however, that a Restriction Period of less than one (1) year may be approved under the Plan for such Awards with respect to up to a total of 100,000 Shares.</w:t>
      </w:r>
    </w:p>
    <w:p>
      <w:pPr>
        <w:spacing w:after="0" w:line="228" w:lineRule="exact"/>
        <w:rPr>
          <w:rFonts w:ascii="Arial" w:cs="Arial" w:eastAsia="Arial" w:hAnsi="Arial"/>
          <w:sz w:val="18"/>
          <w:szCs w:val="18"/>
          <w:color w:val="auto"/>
        </w:rPr>
      </w:pPr>
    </w:p>
    <w:p>
      <w:pPr>
        <w:ind w:left="204" w:hanging="204"/>
        <w:spacing w:after="0"/>
        <w:tabs>
          <w:tab w:leader="none" w:pos="20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644" w:firstLine="5"/>
        <w:spacing w:after="0" w:line="256" w:lineRule="auto"/>
        <w:tabs>
          <w:tab w:leader="none" w:pos="91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may grant Performance Awards to Associates on any terms and conditions the Committee or the Board deem desirable. Each Award of Performance Awards shall have those terms and conditions that are expressly set forth in, or are required by, the Plan and the Grant Documents.</w:t>
      </w:r>
    </w:p>
    <w:p>
      <w:pPr>
        <w:spacing w:after="0" w:line="228" w:lineRule="exact"/>
        <w:rPr>
          <w:rFonts w:ascii="Arial" w:cs="Arial" w:eastAsia="Arial" w:hAnsi="Arial"/>
          <w:sz w:val="18"/>
          <w:szCs w:val="18"/>
          <w:color w:val="auto"/>
        </w:rPr>
      </w:pPr>
    </w:p>
    <w:p>
      <w:pPr>
        <w:jc w:val="both"/>
        <w:ind w:left="644" w:firstLine="5"/>
        <w:spacing w:after="0" w:line="252" w:lineRule="auto"/>
        <w:tabs>
          <w:tab w:leader="none" w:pos="914"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 The Committee or the Board may set Performance Goals which, depending on the extent to which they are met during a Performance Period, will determine the number of Performance Shares or Performance Units that will be delivered to a Participant at the end of the Performance Period. The Performance Goals may be set at threshold, target, and maximum performance levels, and the number of Performance Shares or Performance Units to be delivered may be tied to the degree of attainment of the various performance levels specified under the various Performance Goals during the Performance Period, which may not be less than one year. No payment shall be made with respect to a Performance Award if any specified threshold performance level is not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84"/>
          </w:cols>
          <w:pgMar w:left="896" w:top="1435" w:right="919" w:bottom="1440" w:gutter="0" w:footer="0" w:header="0"/>
        </w:sectPr>
      </w:pPr>
    </w:p>
    <w:bookmarkStart w:id="56" w:name="page57"/>
    <w:bookmarkEnd w:id="56"/>
    <w:p>
      <w:pPr>
        <w:jc w:val="both"/>
        <w:ind w:left="1300" w:right="700" w:firstLine="5"/>
        <w:spacing w:after="0" w:line="251" w:lineRule="auto"/>
        <w:tabs>
          <w:tab w:leader="none" w:pos="15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Beneficial Ownership</w:t>
      </w:r>
      <w:r>
        <w:rPr>
          <w:rFonts w:ascii="Arial" w:cs="Arial" w:eastAsia="Arial" w:hAnsi="Arial"/>
          <w:sz w:val="18"/>
          <w:szCs w:val="18"/>
          <w:color w:val="auto"/>
        </w:rPr>
        <w:t>. A Participant receiving a Performance Award shall not have any beneficial ownership in any Shares subject to such Award until Shares are delivered in satisfaction of the Award, nor shall the Participant have the right to sell, transfer, assign, convey, pledge, hypothecate, grant any security interest in or mortgage on, or otherwise dispose of or encumber any Performance Award or any interest therein. Except as required by any law, neither the Performance Award nor any interest therein shall be subject in any manner to any forced or involuntary sale, transfer, conveyance, pledge, hypothecation, encumbrance, or other disposition or to any charge, liability, debt, or obligation of the Participant, whether as the direct or indirect result of any action of the Participant or any action taken in any proceeding, including any proceeding under any bankruptcy or other creditors’ rights law. Any action attempting to effect any transaction of that type shall be void.</w:t>
      </w:r>
    </w:p>
    <w:p>
      <w:pPr>
        <w:spacing w:after="0" w:line="212" w:lineRule="exact"/>
        <w:rPr>
          <w:rFonts w:ascii="Arial" w:cs="Arial" w:eastAsia="Arial" w:hAnsi="Arial"/>
          <w:sz w:val="18"/>
          <w:szCs w:val="18"/>
          <w:color w:val="auto"/>
        </w:rPr>
      </w:pPr>
    </w:p>
    <w:p>
      <w:pPr>
        <w:jc w:val="both"/>
        <w:ind w:left="1300" w:right="700" w:firstLine="5"/>
        <w:spacing w:after="0" w:line="256" w:lineRule="auto"/>
        <w:tabs>
          <w:tab w:leader="none" w:pos="157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Determination of Achievement of Performance Awards</w:t>
      </w:r>
      <w:r>
        <w:rPr>
          <w:rFonts w:ascii="Arial" w:cs="Arial" w:eastAsia="Arial" w:hAnsi="Arial"/>
          <w:sz w:val="18"/>
          <w:szCs w:val="18"/>
          <w:color w:val="auto"/>
        </w:rPr>
        <w:t>. The Committee or the Board shall, promptly after the date on which the necessary financial, individual or other information for a particular Performance Period becomes available, determine and certify the degree to which each of the Performance Goals have been attained.</w:t>
      </w:r>
    </w:p>
    <w:p>
      <w:pPr>
        <w:spacing w:after="0" w:line="201" w:lineRule="exact"/>
        <w:rPr>
          <w:rFonts w:ascii="Arial" w:cs="Arial" w:eastAsia="Arial" w:hAnsi="Arial"/>
          <w:sz w:val="18"/>
          <w:szCs w:val="18"/>
          <w:color w:val="auto"/>
        </w:rPr>
      </w:pPr>
    </w:p>
    <w:p>
      <w:pPr>
        <w:jc w:val="both"/>
        <w:ind w:left="1300" w:right="680" w:firstLine="5"/>
        <w:spacing w:after="0" w:line="252" w:lineRule="auto"/>
        <w:tabs>
          <w:tab w:leader="none" w:pos="1637"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Payment of Performance Awards</w:t>
      </w:r>
      <w:r>
        <w:rPr>
          <w:rFonts w:ascii="Arial" w:cs="Arial" w:eastAsia="Arial" w:hAnsi="Arial"/>
          <w:sz w:val="18"/>
          <w:szCs w:val="18"/>
          <w:color w:val="auto"/>
        </w:rPr>
        <w:t>. After the applicable Performance Period has ended, a recipient of a Performance Award shall be entitled to payment based on the performance level attained with respect to the Performance Goals applicable to the Performance Award. Performance Awards shall be settled as soon as practicable after the Committee or Board determines and certifies the degree of attainment of Performance Goals for the Performance Period. Subject to the terms and conditions of the Grant Documents, payment to a Participant with respect to a Performance Award may be made (a) in Shares, (b) in cash, or (c) any combination of Shares and cash, as the Committee or the Board may determine at any time in their sole discretion.</w:t>
      </w:r>
    </w:p>
    <w:p>
      <w:pPr>
        <w:spacing w:after="0" w:line="207" w:lineRule="exact"/>
        <w:rPr>
          <w:rFonts w:ascii="Arial" w:cs="Arial" w:eastAsia="Arial" w:hAnsi="Arial"/>
          <w:sz w:val="18"/>
          <w:szCs w:val="18"/>
          <w:color w:val="auto"/>
        </w:rPr>
      </w:pPr>
    </w:p>
    <w:p>
      <w:pPr>
        <w:jc w:val="both"/>
        <w:ind w:left="1300" w:right="700" w:firstLine="5"/>
        <w:spacing w:after="0" w:line="253" w:lineRule="auto"/>
        <w:tabs>
          <w:tab w:leader="none" w:pos="152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Limitation on Rights/Withholding</w:t>
      </w:r>
      <w:r>
        <w:rPr>
          <w:rFonts w:ascii="Arial" w:cs="Arial" w:eastAsia="Arial" w:hAnsi="Arial"/>
          <w:sz w:val="18"/>
          <w:szCs w:val="18"/>
          <w:color w:val="auto"/>
        </w:rPr>
        <w:t>. A recipient of a Performance Award is not entitled to any rights of a holder of the Shares (e.g. voting rights), prior to the receipt of such Shares pursuant to the Plan. No dividends, dividend equivalents or other similar payments shall be payable in respect of an outstanding Performance Award. The Committee or the Board may withhold, in accordance with Section 17(f) hereof, any amounts necessary to collect any withholding taxes upon any taxable event relating to Performance Awards.</w:t>
      </w:r>
    </w:p>
    <w:p>
      <w:pPr>
        <w:spacing w:after="0" w:line="205" w:lineRule="exact"/>
        <w:rPr>
          <w:rFonts w:ascii="Arial" w:cs="Arial" w:eastAsia="Arial" w:hAnsi="Arial"/>
          <w:sz w:val="18"/>
          <w:szCs w:val="18"/>
          <w:color w:val="auto"/>
        </w:rPr>
      </w:pPr>
    </w:p>
    <w:p>
      <w:pPr>
        <w:jc w:val="both"/>
        <w:ind w:firstLine="656"/>
        <w:spacing w:after="0" w:line="251" w:lineRule="auto"/>
        <w:tabs>
          <w:tab w:leader="none" w:pos="962"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Other Stock Unit Awards</w:t>
      </w:r>
      <w:r>
        <w:rPr>
          <w:rFonts w:ascii="Arial" w:cs="Arial" w:eastAsia="Arial" w:hAnsi="Arial"/>
          <w:sz w:val="18"/>
          <w:szCs w:val="18"/>
          <w:color w:val="auto"/>
        </w:rPr>
        <w:t>. Other Awards of Shares and other Awards that are valued in whole or in part by reference to, or are otherwise based on, Shares or other property (“Other Stock Unit Awards”) may be granted hereunder to Participants, either alone or in addition to other Awards granted under the Plan. Other Stock Unit Awards may be paid in Shares, cash or any other form of property as the Committee or the Board may determine. Subject to the provisions of the Plan, the Committee or the Board shall have sole and complete authority to determine the Associates to whom such Awards shall be made, the times at which such Awards shall be made, the number of Shares to be granted pursuant to such Awards, and all other terms and conditions of such Awards. The provisions of Other Stock Unit Awards need not be the same with respect to each Participant. For any Award or Shares subject to any Award made under this Section 10, the vesting of which is conditioned only on the passage of time, such Restriction Period shall be a minimum of two (2) years for full vesting. Shares (including securities convertible into Shares) subject to Awards granted under this Section 10 may be issued for no cash consideration or for such minimum consideration as may be required by applicable law. No dividends, dividend equivalents or other similar payments shall be payable in respect of an outstanding Other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35" w:right="239" w:bottom="1440" w:gutter="0" w:footer="0" w:header="0"/>
        </w:sectPr>
      </w:pPr>
    </w:p>
    <w:bookmarkStart w:id="57" w:name="page58"/>
    <w:bookmarkEnd w:id="57"/>
    <w:p>
      <w:pPr>
        <w:jc w:val="both"/>
        <w:ind w:firstLine="656"/>
        <w:spacing w:after="0" w:line="250" w:lineRule="auto"/>
        <w:tabs>
          <w:tab w:leader="none" w:pos="948"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 other provision of the Plan to the contrary, upon the occurrence of a transaction involving the consummation of a reorganization, merger, consolidation or similar transaction involving the Company (other than a reorganization, merger, consolidation or similar transaction in which the Company’s shareholders immediately prior to such transaction own more than 50% of the combined voting power entitled to vote in the election of directors of the surviving corporation), a sale of all or substantially all of its assets, the liquidation or dissolution of the Company, the acquisition of a significant percentage, which shall be no less than beneficial ownership (within the meaning of Rule 13d-3 under the Act) of 20%, of the voting power of the Company, (each a “Change in Control Event”), which shall not include preliminary transaction activities such as receipt of a letter of interest, receipt of a letter of intent or an agreement in principle, each outstanding Award will be treated as the Committee or Board may determine (subject to the provisions of the following paragraph), without a Participant’s consent, including, without limitation, that (A) Awards will be assumed, or substantially equivalent Awards will be substituted, by the acquiring or succeeding corporation (or affiliate thereof), with appropriate adjustments as to the number and kind of shares and prices; (B) upon written or electronic notice to a Participant, that the Participant’s Awards will terminate upon or immediately prior to the consummation of such Change in Control Event; (C) that, to the extent the Committee or Board may determine, in whole or in part prior to or upon consummation of such Change in Control Event, (i) Options and Stock Appreciation Rights may become immediately exercisable; (ii) restrictions and deferral limitations applicable to any Restricted Stock or Restricted Stock Unit Award may become free of all restrictions and limitations and become fully vested and transferable; (iii) all Performance Awards may be considered to be prorated, and any deferral or other restriction may lapse and such Performance Awards may be immediately settled or distributed (provided, for purposes of clarification, that any Performance Award converted into an Award that provides for service-based vesting will be treated in accordance with clause (ii) of this subsection 11(C)); and (iv) the restrictions and deferral limitations and other conditions applicable to any Other Stock Unit Awards or any other Awards granted under the Plan may lapse and such Other Stock Unit Awards or such other Awards may become free of all restrictions, limitations or conditions and become fully vested and transferable to the full extent of the Award not previously forfeited or vested; (D) the termination of an Award in exchange for an amount equal to the excess of the fair market value of the Shares subject to the Award immediately prior to the occurrence of such transaction (which shall be no less than the value being paid for such Shares pursuant to such transaction as determined by the Committee or Board) over the Exercise Price or Strike Price, if applicable, of such Award, with such amount payable in cash, in one or more of the kinds of property payable in such transaction, or in a combination thereof, as the Committee or Board in their discretion shall determine, or</w:t>
      </w:r>
    </w:p>
    <w:p>
      <w:pPr>
        <w:spacing w:after="0" w:line="11"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combination of the foregoing. In taking any of the actions permitted by this Section 11, the Committee or Board will not be obligated to</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treat all Awards, all Awards held by a Participant, or all Awards of the same type, similarly. Notwithstanding the definition of Change in Control Event above in this Section 11, to the extent required to avoid the adverse tax consequences under Section 409A of the Code, a Change in Control Event shall be deemed to occur only to the extent it also meets the requirements for a change in control event for purposes of Section 409A of the Code.</w:t>
      </w:r>
    </w:p>
    <w:p>
      <w:pPr>
        <w:spacing w:after="0" w:line="2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event that the successor corporation does not assume or substitute for the Award (or portion thereof), (i) Options and Stock Appreciation Rights will vest and become immediately exercisable; (ii) restrictions and deferral limitations applicable to any Restricted Stock or Restricted Stock Unit Award will become free of all restrictions and limitations and become fully vested and transferable; (iii) all Performance Awards will be considered to be prorated, and any deferral or other restriction will lapse and such Performance Awards will be immediately settled or distributed; and (iv) the restrictions and deferral limitations and other conditions applicable to any Other Stock Unit Awards or any other Awards granted under the Plan will lapse and such Other Stock Unit Awards or such other Awards will become free of all restrictions, limitations or conditions and become fully vested and transferable to the full extent of the Award not previously forfeited or vested. In addition, if an Option or Stock Appreciation Right is not assumed or substituted in the event of a Change in Control Event, the Committee or Board will notify the Participant in writing or electronically that the Option or Stock Appreciation Right will be exercisable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35" w:right="239" w:bottom="1440" w:gutter="0" w:footer="0" w:header="0"/>
        </w:sectPr>
      </w:pPr>
    </w:p>
    <w:bookmarkStart w:id="58" w:name="page59"/>
    <w:bookmarkEnd w:id="58"/>
    <w:p>
      <w:pPr>
        <w:jc w:val="both"/>
        <w:ind w:right="20"/>
        <w:spacing w:after="0" w:line="262" w:lineRule="auto"/>
        <w:rPr>
          <w:sz w:val="20"/>
          <w:szCs w:val="20"/>
          <w:color w:val="auto"/>
        </w:rPr>
      </w:pPr>
      <w:r>
        <w:rPr>
          <w:rFonts w:ascii="Arial" w:cs="Arial" w:eastAsia="Arial" w:hAnsi="Arial"/>
          <w:sz w:val="18"/>
          <w:szCs w:val="18"/>
          <w:color w:val="auto"/>
        </w:rPr>
        <w:t>period of time determined by the Committee or Board in its sole discretion, and the Option or Stock Appreciation Right will terminate upon the expiration of such period.</w:t>
      </w:r>
    </w:p>
    <w:p>
      <w:pPr>
        <w:spacing w:after="0" w:line="2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purposes of this Section 11, an Award will be considered assumed if, following the Change in Control Event, the Award confers the right to purchase or receive, for each Share subject to the Award immediately prior to the Change in Control Event, the consideration (whether stock, cash, or other securities or property) received in the Change in Control Event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Event is not solely common stock of the successor corporation or its parent entity, the Committee or Board may, with the consent of the successor corporation, provide for the consideration to be received upon the exercise of an Option or Stock Appreciation Right or upon the payout of any other Award, for each Share subject to such Award, to be solely common stock of the successor corporation or its parent entity equal in fair market value to the per share consideration received by holders of Common Stock in the Change in Control Event.</w:t>
      </w:r>
    </w:p>
    <w:p>
      <w:pPr>
        <w:spacing w:after="0" w:line="2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anything in this Section 11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Event corporate structure will not be deemed to invalidate an otherwise valid Award assumption.</w:t>
      </w:r>
    </w:p>
    <w:p>
      <w:pPr>
        <w:spacing w:after="0" w:line="231" w:lineRule="exact"/>
        <w:rPr>
          <w:sz w:val="20"/>
          <w:szCs w:val="20"/>
          <w:color w:val="auto"/>
        </w:rPr>
      </w:pPr>
    </w:p>
    <w:p>
      <w:pPr>
        <w:ind w:left="960" w:hanging="30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Clawback</w:t>
      </w:r>
      <w:r>
        <w:rPr>
          <w:rFonts w:ascii="Arial" w:cs="Arial" w:eastAsia="Arial" w:hAnsi="Arial"/>
          <w:sz w:val="18"/>
          <w:szCs w:val="18"/>
          <w:color w:val="auto"/>
        </w:rPr>
        <w:t>. All Awards granted pursuant to this Plan are subject to the Company’s “clawback policy” as may be in effect at the time.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266" w:lineRule="exact"/>
        <w:rPr>
          <w:sz w:val="20"/>
          <w:szCs w:val="20"/>
          <w:color w:val="auto"/>
        </w:rPr>
      </w:pPr>
    </w:p>
    <w:p>
      <w:pPr>
        <w:ind w:left="1300" w:right="700" w:firstLine="5"/>
        <w:spacing w:after="0" w:line="225" w:lineRule="auto"/>
        <w:tabs>
          <w:tab w:leader="none" w:pos="1585" w:val="left"/>
        </w:tabs>
        <w:numPr>
          <w:ilvl w:val="0"/>
          <w:numId w:val="52"/>
        </w:numPr>
        <w:rPr>
          <w:rFonts w:ascii="Arial" w:cs="Arial" w:eastAsia="Arial" w:hAnsi="Arial"/>
          <w:sz w:val="22"/>
          <w:szCs w:val="22"/>
          <w:color w:val="auto"/>
        </w:rPr>
      </w:pPr>
      <w:r>
        <w:rPr>
          <w:rFonts w:ascii="Arial" w:cs="Arial" w:eastAsia="Arial" w:hAnsi="Arial"/>
          <w:sz w:val="18"/>
          <w:szCs w:val="18"/>
          <w:color w:val="auto"/>
        </w:rPr>
        <w:t>Incentive Stock Options granted under the Plan shall not be transferred by a Participant, except by will or by the laws of descent and distribution.</w:t>
      </w:r>
    </w:p>
    <w:p>
      <w:pPr>
        <w:spacing w:after="0" w:line="257" w:lineRule="exact"/>
        <w:rPr>
          <w:rFonts w:ascii="Arial" w:cs="Arial" w:eastAsia="Arial" w:hAnsi="Arial"/>
          <w:sz w:val="22"/>
          <w:szCs w:val="22"/>
          <w:color w:val="auto"/>
        </w:rPr>
      </w:pPr>
    </w:p>
    <w:p>
      <w:pPr>
        <w:jc w:val="both"/>
        <w:ind w:left="1300" w:right="680" w:firstLine="5"/>
        <w:spacing w:after="0" w:line="246" w:lineRule="auto"/>
        <w:tabs>
          <w:tab w:leader="none" w:pos="1610" w:val="left"/>
        </w:tabs>
        <w:numPr>
          <w:ilvl w:val="0"/>
          <w:numId w:val="52"/>
        </w:numPr>
        <w:rPr>
          <w:rFonts w:ascii="Arial" w:cs="Arial" w:eastAsia="Arial" w:hAnsi="Arial"/>
          <w:sz w:val="22"/>
          <w:szCs w:val="22"/>
          <w:color w:val="auto"/>
        </w:rPr>
      </w:pPr>
      <w:r>
        <w:rPr>
          <w:rFonts w:ascii="Arial" w:cs="Arial" w:eastAsia="Arial" w:hAnsi="Arial"/>
          <w:sz w:val="18"/>
          <w:szCs w:val="18"/>
          <w:color w:val="auto"/>
        </w:rPr>
        <w:t>Other Awards (subject to the limitations in paragraph (c) below) granted under the Plan may be transferred by a Participant to: (i) the Participant’s family members (whether related by blood, marriage, or adoption and including a former spouse); (ii) trust(s) in which the Participant’s family members have a greater than 50% beneficial interest; (iii) trusts, including but not limited to charitable remainder trusts, or similar vehicles established for estate planning and/or charitable giving purposes; and (iv) family partnerships and/or family limited liability companies which are controlled by the Participant or the Participant’s family members, such transfers being permitted to occur by gift or pursuant to a domestic relation order, or, only in the case of transfers to the entities described in clauses (i), (ii) and (iii) immediately above, for value. The Committee or Board, or their authorized designees may, in their sole discretion, permit transfers of Awards to other persons or entities upon the request of a Participant; provided, however, that such Awards may not be transferred to a third party financial institution for value, including as collateral. Subsequent transfers of previously transferred Awards may only be made to one of the permitted transferees named above, unless the subsequent transfer has been approved by the Committee or the Board, or their authorized designee(s). Otherwise, such transferred Awards may be transferred only by will or the laws of descent and distribution.</w:t>
      </w:r>
    </w:p>
    <w:p>
      <w:pPr>
        <w:spacing w:after="0" w:line="260" w:lineRule="exact"/>
        <w:rPr>
          <w:rFonts w:ascii="Arial" w:cs="Arial" w:eastAsia="Arial" w:hAnsi="Arial"/>
          <w:sz w:val="22"/>
          <w:szCs w:val="22"/>
          <w:color w:val="auto"/>
        </w:rPr>
      </w:pPr>
    </w:p>
    <w:p>
      <w:pPr>
        <w:ind w:left="1300" w:right="700" w:firstLine="5"/>
        <w:spacing w:after="0" w:line="225" w:lineRule="auto"/>
        <w:tabs>
          <w:tab w:leader="none" w:pos="1612" w:val="left"/>
        </w:tabs>
        <w:numPr>
          <w:ilvl w:val="0"/>
          <w:numId w:val="52"/>
        </w:numPr>
        <w:rPr>
          <w:rFonts w:ascii="Arial" w:cs="Arial" w:eastAsia="Arial" w:hAnsi="Arial"/>
          <w:sz w:val="22"/>
          <w:szCs w:val="22"/>
          <w:color w:val="auto"/>
        </w:rPr>
      </w:pPr>
      <w:r>
        <w:rPr>
          <w:rFonts w:ascii="Arial" w:cs="Arial" w:eastAsia="Arial" w:hAnsi="Arial"/>
          <w:sz w:val="18"/>
          <w:szCs w:val="18"/>
          <w:color w:val="auto"/>
        </w:rPr>
        <w:t>Notwithstanding the foregoing, if at the time any Option is transferred as permitted under this Section 13, a corresponding Stock Appreciation Right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35" w:right="239" w:bottom="1440" w:gutter="0" w:footer="0" w:header="0"/>
        </w:sectPr>
      </w:pPr>
    </w:p>
    <w:bookmarkStart w:id="59" w:name="page60"/>
    <w:bookmarkEnd w:id="59"/>
    <w:p>
      <w:pPr>
        <w:jc w:val="both"/>
        <w:ind w:left="644" w:right="20"/>
        <w:spacing w:after="0" w:line="256" w:lineRule="auto"/>
        <w:rPr>
          <w:sz w:val="20"/>
          <w:szCs w:val="20"/>
          <w:color w:val="auto"/>
        </w:rPr>
      </w:pPr>
      <w:r>
        <w:rPr>
          <w:rFonts w:ascii="Arial" w:cs="Arial" w:eastAsia="Arial" w:hAnsi="Arial"/>
          <w:sz w:val="18"/>
          <w:szCs w:val="18"/>
          <w:color w:val="auto"/>
        </w:rPr>
        <w:t>been identified as being granted in tandem with such Option, then the transfer of such Option shall also constitute a transfer of the corresponding Stock Appreciation Right, and such Stock Appreciation Right shall not be transferable other than as part of the transfer of the Option to which it relates.</w:t>
      </w:r>
    </w:p>
    <w:p>
      <w:pPr>
        <w:spacing w:after="0" w:line="243" w:lineRule="exact"/>
        <w:rPr>
          <w:sz w:val="20"/>
          <w:szCs w:val="20"/>
          <w:color w:val="auto"/>
        </w:rPr>
      </w:pPr>
    </w:p>
    <w:p>
      <w:pPr>
        <w:jc w:val="both"/>
        <w:ind w:left="644" w:firstLine="5"/>
        <w:spacing w:after="0" w:line="244" w:lineRule="auto"/>
        <w:tabs>
          <w:tab w:leader="none" w:pos="941" w:val="left"/>
        </w:tabs>
        <w:numPr>
          <w:ilvl w:val="1"/>
          <w:numId w:val="53"/>
        </w:numPr>
        <w:rPr>
          <w:rFonts w:ascii="Arial" w:cs="Arial" w:eastAsia="Arial" w:hAnsi="Arial"/>
          <w:sz w:val="22"/>
          <w:szCs w:val="22"/>
          <w:color w:val="auto"/>
        </w:rPr>
      </w:pPr>
      <w:r>
        <w:rPr>
          <w:rFonts w:ascii="Arial" w:cs="Arial" w:eastAsia="Arial" w:hAnsi="Arial"/>
          <w:sz w:val="18"/>
          <w:szCs w:val="18"/>
          <w:color w:val="auto"/>
        </w:rPr>
        <w:t>Concurrently with any transfer, the transferor shall give written notice to the Plan’s then-current Plan administrator of the name and address of the transferee, the number of Shares being transferred, the Date of Grant of the Awards being transferred, and such other information as may reasonably be required by the administrator. Following a transfer, any such Awards shall continue to be subject to the same terms and conditions as were applicable immediately prior to transfer. The provisions of the Plan and applicable Grant Documents shall continue to be applied with respect to the original Participant, and such Awards shall be exercisable by the transferee only to the extent that they could have been exercised by the Participant under the terms of the original Grant Documents. The Company disclaims any obligation to provide notice to a transferee of any termination or expiration of a transferred Award.</w:t>
      </w:r>
    </w:p>
    <w:p>
      <w:pPr>
        <w:spacing w:after="0" w:line="214" w:lineRule="exact"/>
        <w:rPr>
          <w:rFonts w:ascii="Arial" w:cs="Arial" w:eastAsia="Arial" w:hAnsi="Arial"/>
          <w:sz w:val="22"/>
          <w:szCs w:val="22"/>
          <w:color w:val="auto"/>
        </w:rPr>
      </w:pPr>
    </w:p>
    <w:p>
      <w:pPr>
        <w:ind w:left="304" w:hanging="304"/>
        <w:spacing w:after="0"/>
        <w:tabs>
          <w:tab w:leader="none" w:pos="30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Code Section 162(m) Provisions and Award Limitations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right="20" w:firstLine="5"/>
        <w:spacing w:after="0" w:line="250" w:lineRule="auto"/>
        <w:tabs>
          <w:tab w:leader="none" w:pos="926" w:val="left"/>
        </w:tabs>
        <w:numPr>
          <w:ilvl w:val="1"/>
          <w:numId w:val="54"/>
        </w:numPr>
        <w:rPr>
          <w:rFonts w:ascii="Arial" w:cs="Arial" w:eastAsia="Arial" w:hAnsi="Arial"/>
          <w:sz w:val="18"/>
          <w:szCs w:val="18"/>
          <w:color w:val="auto"/>
        </w:rPr>
      </w:pPr>
      <w:r>
        <w:rPr>
          <w:rFonts w:ascii="Arial" w:cs="Arial" w:eastAsia="Arial" w:hAnsi="Arial"/>
          <w:sz w:val="18"/>
          <w:szCs w:val="18"/>
          <w:color w:val="auto"/>
        </w:rPr>
        <w:t>Notwithstanding any other provision of the Plan, (i) to the extent Awards to salaried employees (each an “eligible employee” for purposes of Code Section 162(m) and the Treasury Regulations thereunder with regard to stockholder approval of the material terms of the Performance Goals) are intended to be Qualified Performance-Based Awards; or</w:t>
      </w:r>
    </w:p>
    <w:p>
      <w:pPr>
        <w:spacing w:after="0" w:line="1" w:lineRule="exact"/>
        <w:rPr>
          <w:rFonts w:ascii="Arial" w:cs="Arial" w:eastAsia="Arial" w:hAnsi="Arial"/>
          <w:sz w:val="18"/>
          <w:szCs w:val="18"/>
          <w:color w:val="auto"/>
        </w:rPr>
      </w:pPr>
    </w:p>
    <w:p>
      <w:pPr>
        <w:jc w:val="both"/>
        <w:ind w:left="644" w:right="20" w:firstLine="5"/>
        <w:spacing w:after="0" w:line="256"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Committee determines at the time any Award is granted to a salaried employee who is, or who may be as of the end of the tax year in which the Company would claim a tax deduction in connection with such Award, a Covered Associate, then the Committee may provide that this Section 14 is applicable to such Award.</w:t>
      </w:r>
    </w:p>
    <w:p>
      <w:pPr>
        <w:spacing w:after="0" w:line="228" w:lineRule="exact"/>
        <w:rPr>
          <w:rFonts w:ascii="Arial" w:cs="Arial" w:eastAsia="Arial" w:hAnsi="Arial"/>
          <w:sz w:val="18"/>
          <w:szCs w:val="18"/>
          <w:color w:val="auto"/>
        </w:rPr>
      </w:pPr>
    </w:p>
    <w:p>
      <w:pPr>
        <w:jc w:val="both"/>
        <w:ind w:left="644" w:right="20" w:firstLine="5"/>
        <w:spacing w:after="0" w:line="252" w:lineRule="auto"/>
        <w:tabs>
          <w:tab w:leader="none" w:pos="944" w:val="left"/>
        </w:tabs>
        <w:numPr>
          <w:ilvl w:val="1"/>
          <w:numId w:val="56"/>
        </w:numPr>
        <w:rPr>
          <w:rFonts w:ascii="Arial" w:cs="Arial" w:eastAsia="Arial" w:hAnsi="Arial"/>
          <w:sz w:val="18"/>
          <w:szCs w:val="18"/>
          <w:color w:val="auto"/>
        </w:rPr>
      </w:pPr>
      <w:r>
        <w:rPr>
          <w:rFonts w:ascii="Arial" w:cs="Arial" w:eastAsia="Arial" w:hAnsi="Arial"/>
          <w:sz w:val="18"/>
          <w:szCs w:val="18"/>
          <w:color w:val="auto"/>
        </w:rPr>
        <w:t>If an Award is subject to this Section 14, then the lapsing of restrictions thereon and the distribution of cash, Shares or other property pursuant thereto, as applicable, shall be subject to the achievement or attainment of one or more objective Performance Goals as determined by the Committee, using one or more Performance Measures also as determined by the Committee. Such Performance Goals shall be established by the Committee no later than 90 days after the beginning of the Performance Period to which the Performance Goals pertain and while the attainment of the Performance Goals is substantially uncertain, and in any event no later than the date on which 25% of the Performance Period has elapsed.</w:t>
      </w:r>
    </w:p>
    <w:p>
      <w:pPr>
        <w:spacing w:after="0" w:line="234" w:lineRule="exact"/>
        <w:rPr>
          <w:rFonts w:ascii="Arial" w:cs="Arial" w:eastAsia="Arial" w:hAnsi="Arial"/>
          <w:sz w:val="18"/>
          <w:szCs w:val="18"/>
          <w:color w:val="auto"/>
        </w:rPr>
      </w:pPr>
    </w:p>
    <w:p>
      <w:pPr>
        <w:jc w:val="both"/>
        <w:ind w:left="644" w:right="20" w:firstLine="5"/>
        <w:spacing w:after="0" w:line="254" w:lineRule="auto"/>
        <w:tabs>
          <w:tab w:leader="none" w:pos="912"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Notwithstanding any provision of this Plan (other than Section 11 or 15), with respect to any Award that is subject to this Section 14, the Committee may adjust downwards, but not upwards, the amount payable pursuant to such Award, and the Committee may not waive the achievement of the applicable Performance Goals except in the case of the death or disability of the Participant.</w:t>
      </w:r>
    </w:p>
    <w:p>
      <w:pPr>
        <w:spacing w:after="0" w:line="231" w:lineRule="exact"/>
        <w:rPr>
          <w:rFonts w:ascii="Arial" w:cs="Arial" w:eastAsia="Arial" w:hAnsi="Arial"/>
          <w:sz w:val="18"/>
          <w:szCs w:val="18"/>
          <w:color w:val="auto"/>
        </w:rPr>
      </w:pPr>
    </w:p>
    <w:p>
      <w:pPr>
        <w:jc w:val="both"/>
        <w:ind w:left="644" w:right="20" w:firstLine="5"/>
        <w:spacing w:after="0" w:line="254" w:lineRule="auto"/>
        <w:tabs>
          <w:tab w:leader="none" w:pos="923"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Committee shall have the power to impose such other restrictions on Awards subject to this Section 14 as it may deem necessary or appropriate to ensure that such Awards satisfy all requirements for “performance-based compensation” within the meaning of Section 162(m)(4)(C) of the Code, or any successor provision thereto. Whenever the Committee determines that it is advisable to grant or pay Awards that do not qualify as Qualified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84"/>
          </w:cols>
          <w:pgMar w:left="896" w:top="1435" w:right="919" w:bottom="1440" w:gutter="0" w:footer="0" w:header="0"/>
        </w:sectPr>
      </w:pPr>
    </w:p>
    <w:bookmarkStart w:id="60" w:name="page61"/>
    <w:bookmarkEnd w:id="60"/>
    <w:p>
      <w:pPr>
        <w:ind w:left="644" w:right="20"/>
        <w:spacing w:after="0" w:line="262" w:lineRule="auto"/>
        <w:rPr>
          <w:sz w:val="20"/>
          <w:szCs w:val="20"/>
          <w:color w:val="auto"/>
        </w:rPr>
      </w:pPr>
      <w:r>
        <w:rPr>
          <w:rFonts w:ascii="Arial" w:cs="Arial" w:eastAsia="Arial" w:hAnsi="Arial"/>
          <w:sz w:val="18"/>
          <w:szCs w:val="18"/>
          <w:color w:val="auto"/>
        </w:rPr>
        <w:t>Based Awards, the Committee may make grants or payments without satisfying the requirements of Code Section 162(m).</w:t>
      </w:r>
    </w:p>
    <w:p>
      <w:pPr>
        <w:spacing w:after="0" w:line="223" w:lineRule="exact"/>
        <w:rPr>
          <w:sz w:val="20"/>
          <w:szCs w:val="20"/>
          <w:color w:val="auto"/>
        </w:rPr>
      </w:pPr>
    </w:p>
    <w:p>
      <w:pPr>
        <w:jc w:val="both"/>
        <w:ind w:left="644" w:firstLine="5"/>
        <w:spacing w:after="0" w:line="252" w:lineRule="auto"/>
        <w:tabs>
          <w:tab w:leader="none" w:pos="941"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 provision of this Plan other than Section 16, commencing with calendar year 2005, (i) no Participant may be granted in any twelve (12) month period an aggregate amount of Options and/or Stock Appreciation Rights with respect to more than 400,000 Shares, and (ii) no Participant may be granted in any twelve (12) month period an aggregate amount of Restricted Stock Awards, Restricted Stock Unit Awards, Performance Awards or Other Stock Unit Awards, with respect to more than 400,000 Shares (or cash amounts based on the value of more than 400,000 Shares).</w:t>
      </w:r>
    </w:p>
    <w:p>
      <w:pPr>
        <w:spacing w:after="0" w:line="208" w:lineRule="exact"/>
        <w:rPr>
          <w:rFonts w:ascii="Arial" w:cs="Arial" w:eastAsia="Arial" w:hAnsi="Arial"/>
          <w:sz w:val="18"/>
          <w:szCs w:val="18"/>
          <w:color w:val="auto"/>
        </w:rPr>
      </w:pPr>
    </w:p>
    <w:p>
      <w:pPr>
        <w:jc w:val="both"/>
        <w:ind w:left="644" w:right="20" w:firstLine="5"/>
        <w:spacing w:after="0" w:line="254" w:lineRule="auto"/>
        <w:tabs>
          <w:tab w:leader="none" w:pos="8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Notwithstanding any provision of this Plan other than Section 16, commencing with calendar year 2015, no non-employee director of the Company may be granted in any twelve (12) month period an aggregate amount of equity having a value of more than $400,000 on the date of grant, under this Plan or any other equity compensation plan sponsored by the Company.</w:t>
      </w:r>
    </w:p>
    <w:p>
      <w:pPr>
        <w:spacing w:after="0" w:line="204" w:lineRule="exact"/>
        <w:rPr>
          <w:rFonts w:ascii="Arial" w:cs="Arial" w:eastAsia="Arial" w:hAnsi="Arial"/>
          <w:sz w:val="18"/>
          <w:szCs w:val="18"/>
          <w:color w:val="auto"/>
        </w:rPr>
      </w:pPr>
    </w:p>
    <w:p>
      <w:pPr>
        <w:ind w:left="304" w:hanging="304"/>
        <w:spacing w:after="0"/>
        <w:tabs>
          <w:tab w:leader="none" w:pos="30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Alteration, Termination, Discontinuance, Suspension, and Amendment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4" w:right="20" w:firstLine="5"/>
        <w:spacing w:after="0" w:line="250" w:lineRule="auto"/>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Committee or the Board may amend, alter, suspend, discontinue or terminate the Plan or any portion thereof at any time; provided that no such amendment, alteration, suspension, discontinuation or termination shall be made without (i) stockholder approval if such approval is necessary to qualify for or comply with any tax or regulatory requirement for which or with which the Committee or Board deems it necessary or desirable to qualify or comply; or</w:t>
      </w:r>
    </w:p>
    <w:p>
      <w:pPr>
        <w:spacing w:after="0" w:line="1" w:lineRule="exact"/>
        <w:rPr>
          <w:rFonts w:ascii="Arial" w:cs="Arial" w:eastAsia="Arial" w:hAnsi="Arial"/>
          <w:sz w:val="18"/>
          <w:szCs w:val="18"/>
          <w:color w:val="auto"/>
        </w:rPr>
      </w:pPr>
    </w:p>
    <w:p>
      <w:pPr>
        <w:jc w:val="both"/>
        <w:ind w:left="644" w:right="20" w:firstLine="5"/>
        <w:spacing w:after="0" w:line="250" w:lineRule="auto"/>
        <w:tabs>
          <w:tab w:leader="none" w:pos="93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consent of the affected Participant, if such action would impair the rights of such Participant under any outstanding Award. Notwithstanding anything to the contrary herein, the Committee or the Board may make technical amendments to the Plan as may be necessary so as to have the Plan conform to any Legal Requirements in any jurisdiction within or outside the United States, so long as stockholder approval of such technical amendments is not required.</w:t>
      </w:r>
    </w:p>
    <w:p>
      <w:pPr>
        <w:spacing w:after="0" w:line="2" w:lineRule="exact"/>
        <w:rPr>
          <w:rFonts w:ascii="Arial" w:cs="Arial" w:eastAsia="Arial" w:hAnsi="Arial"/>
          <w:sz w:val="18"/>
          <w:szCs w:val="18"/>
          <w:color w:val="auto"/>
        </w:rPr>
      </w:pPr>
    </w:p>
    <w:p>
      <w:pPr>
        <w:jc w:val="both"/>
        <w:ind w:left="644" w:firstLine="5"/>
        <w:spacing w:after="0" w:line="251" w:lineRule="auto"/>
        <w:tabs>
          <w:tab w:leader="none" w:pos="918"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Committee or Board may amend the terms of any outstanding Award, prospectively or retroactively, except to the extent that such action would cause an Award subject to Section 14 not to qualify for the exemption from the limitation on deductibility imposed by Section 162(m)(4)(c) of the Code, and except that no such amendment shall impair the rights of any Participant without his or her consent. Subject to the requirements of paragraph (c) below, the Committee or Board may, without the consent of the Participant, amend any Grant Documents evidencing an Option or Stock Appreciation Right granted under the Plan, or otherwise take action, to accelerate the time or times at which an Option or Stock Appreciation Right may be exercised; to waive any other condition or restriction applicable to an Award or to the exercise of an Option or Stock Appreciation Right; to amend the definition of a change in control of the Company (if such a definition is contained in such Grant Documents) to expand the events that would result in a change in control and to add a change in control provision to such Grant Documents (if such provision is not contained in such Grant Documents); and may amend any such Grant Documents in any other respect with the consent of the Participant.</w:t>
      </w:r>
    </w:p>
    <w:p>
      <w:pPr>
        <w:spacing w:after="0" w:line="211" w:lineRule="exact"/>
        <w:rPr>
          <w:rFonts w:ascii="Arial" w:cs="Arial" w:eastAsia="Arial" w:hAnsi="Arial"/>
          <w:sz w:val="18"/>
          <w:szCs w:val="18"/>
          <w:color w:val="auto"/>
        </w:rPr>
      </w:pPr>
    </w:p>
    <w:p>
      <w:pPr>
        <w:jc w:val="both"/>
        <w:ind w:left="644" w:right="20" w:firstLine="5"/>
        <w:spacing w:after="0" w:line="256" w:lineRule="auto"/>
        <w:tabs>
          <w:tab w:leader="none" w:pos="9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an amendment would (i) materially increase the benefits to participants under the Plan, (ii) increase the aggregate number of Shares that may be issued under the Plan, or (iii) materially modify the requirements for participation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084"/>
          </w:cols>
          <w:pgMar w:left="896" w:top="1435" w:right="919" w:bottom="1440" w:gutter="0" w:footer="0" w:header="0"/>
        </w:sectPr>
      </w:pPr>
    </w:p>
    <w:bookmarkStart w:id="61" w:name="page62"/>
    <w:bookmarkEnd w:id="61"/>
    <w:p>
      <w:pPr>
        <w:ind w:left="1300" w:right="700"/>
        <w:spacing w:after="0" w:line="262" w:lineRule="auto"/>
        <w:rPr>
          <w:sz w:val="20"/>
          <w:szCs w:val="20"/>
          <w:color w:val="auto"/>
        </w:rPr>
      </w:pPr>
      <w:r>
        <w:rPr>
          <w:rFonts w:ascii="Arial" w:cs="Arial" w:eastAsia="Arial" w:hAnsi="Arial"/>
          <w:sz w:val="18"/>
          <w:szCs w:val="18"/>
          <w:color w:val="auto"/>
        </w:rPr>
        <w:t>Plan by materially increasing the class or number of persons eligible to participate in the Plan, then such amendment shall be subject to stockholder approval.</w:t>
      </w:r>
    </w:p>
    <w:p>
      <w:pPr>
        <w:spacing w:after="0" w:line="196" w:lineRule="exact"/>
        <w:rPr>
          <w:sz w:val="20"/>
          <w:szCs w:val="20"/>
          <w:color w:val="auto"/>
        </w:rPr>
      </w:pPr>
    </w:p>
    <w:p>
      <w:pPr>
        <w:jc w:val="both"/>
        <w:ind w:left="1300" w:right="700" w:firstLine="5"/>
        <w:spacing w:after="0" w:line="252" w:lineRule="auto"/>
        <w:tabs>
          <w:tab w:leader="none" w:pos="1594"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required by any Legal Requirement, any amendment to the Plan or any Award will also be submitted to and approved by the requisite vote of the stockholders of the Company. If any Legal Requirement requires the Plan to be amended, or in the event any Legal Requirement is amended or supplemented (e.g., by addition of alternative rules) to permit the Company to remove or lessen any restrictions on or with respect to an Award, the Board and the Committee each reserve the right to amend the Plan or any Grant Documents evidencing an Award to the extent of any such requirement, amendment or supplement, and all Awards then outstanding will be subject to such amendment.</w:t>
      </w:r>
    </w:p>
    <w:p>
      <w:pPr>
        <w:spacing w:after="0" w:line="207" w:lineRule="exact"/>
        <w:rPr>
          <w:rFonts w:ascii="Arial" w:cs="Arial" w:eastAsia="Arial" w:hAnsi="Arial"/>
          <w:sz w:val="18"/>
          <w:szCs w:val="18"/>
          <w:color w:val="auto"/>
        </w:rPr>
      </w:pPr>
    </w:p>
    <w:p>
      <w:pPr>
        <w:jc w:val="both"/>
        <w:ind w:left="1300" w:right="700" w:firstLine="5"/>
        <w:spacing w:after="0" w:line="252" w:lineRule="auto"/>
        <w:tabs>
          <w:tab w:leader="none" w:pos="1602"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the Committee or the Board may not, without prior approval of the stockholders of the Company, reprice any outstanding Option and/or Stock Appreciation Rights by either lowering the Exercise Price thereof or canceling such outstanding Option and/or Stock Appreciation Rights in consideration of a grant having a lower Exercise Price or in exchange for awards or cash considerations. This paragraph 15(e) is intended to prohibit the repricing of “underwater” Options without prior stockholder approval and shall not be construed to prohibit the adjustments provided for in Section 16 hereof.</w:t>
      </w:r>
    </w:p>
    <w:p>
      <w:pPr>
        <w:spacing w:after="0" w:line="208" w:lineRule="exact"/>
        <w:rPr>
          <w:rFonts w:ascii="Arial" w:cs="Arial" w:eastAsia="Arial" w:hAnsi="Arial"/>
          <w:sz w:val="18"/>
          <w:szCs w:val="18"/>
          <w:color w:val="auto"/>
        </w:rPr>
      </w:pPr>
    </w:p>
    <w:p>
      <w:pPr>
        <w:ind w:left="1300" w:right="700" w:firstLine="5"/>
        <w:spacing w:after="0" w:line="262" w:lineRule="auto"/>
        <w:tabs>
          <w:tab w:leader="none" w:pos="15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Plan may be terminated at any time by action of the Board. The termination of the Plan will not adversely affect the terms of any outstanding Award.</w:t>
      </w:r>
    </w:p>
    <w:p>
      <w:pPr>
        <w:spacing w:after="0" w:line="196" w:lineRule="exact"/>
        <w:rPr>
          <w:rFonts w:ascii="Arial" w:cs="Arial" w:eastAsia="Arial" w:hAnsi="Arial"/>
          <w:sz w:val="18"/>
          <w:szCs w:val="18"/>
          <w:color w:val="auto"/>
        </w:rPr>
      </w:pPr>
    </w:p>
    <w:p>
      <w:pPr>
        <w:jc w:val="both"/>
        <w:ind w:firstLine="656"/>
        <w:spacing w:after="0" w:line="251" w:lineRule="auto"/>
        <w:tabs>
          <w:tab w:leader="none" w:pos="94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Adjustment of Shares; Effect of Certain Transactions</w:t>
      </w:r>
      <w:r>
        <w:rPr>
          <w:rFonts w:ascii="Arial" w:cs="Arial" w:eastAsia="Arial" w:hAnsi="Arial"/>
          <w:sz w:val="18"/>
          <w:szCs w:val="18"/>
          <w:color w:val="auto"/>
        </w:rPr>
        <w:t>. Notwithstanding any other provision of the Plan to the contrary, in the event of any change affecting the Shares subject to the Plan or any Award (through merger, consolidation, reorganization, recapitalization, dividend or other distribution (whether in the form of cash, Shares, other securities or other property), stock split, split-up, split-off, spin-off, combination of shares, exchange of shares, issuance of rights to subscribe, or other change in capital structure of the Company), appropriate adjustments or substitutions shall be made by the Committee or the Board as to the (i) Total Shares subject to the Plan, (ii) maximum number of Shares for which Awards may be granted to any one Associate, (iii) number of Shares and price per Share subject to outstanding Awards, and (iv) class of shares of stock that may be delivered under the Plan and/or each outstanding Award, as shall be equitable to prevent dilution or enlargement of rights under previously granted Awards. The determination of the Committee or Board as to these matters shall be conclusive; provided, however, that (i) any such adjustment with respect to an Incentive Stock Option and any related Stock Appreciation Right shall comply with the rules of Section 424(a) of the Code; and (ii) in no event shall any adjustment be made which would disqualify any Incentive Stock Option granted hereunder as an Incentive Stock Option for purposes of Section 422 of the Code.</w:t>
      </w:r>
    </w:p>
    <w:p>
      <w:pPr>
        <w:spacing w:after="0" w:line="211" w:lineRule="exact"/>
        <w:rPr>
          <w:rFonts w:ascii="Arial" w:cs="Arial" w:eastAsia="Arial" w:hAnsi="Arial"/>
          <w:sz w:val="18"/>
          <w:szCs w:val="18"/>
          <w:color w:val="auto"/>
        </w:rPr>
      </w:pPr>
    </w:p>
    <w:p>
      <w:pPr>
        <w:ind w:left="960" w:hanging="30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700" w:firstLine="5"/>
        <w:spacing w:after="0" w:line="262" w:lineRule="auto"/>
        <w:tabs>
          <w:tab w:leader="none" w:pos="1609"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 Associate or Participant shall have any claim to be granted any Award under the Plan, and there is no obligation for uniformity of treatment of Associates or Participants under the Plan.</w:t>
      </w:r>
    </w:p>
    <w:p>
      <w:pPr>
        <w:spacing w:after="0" w:line="223" w:lineRule="exact"/>
        <w:rPr>
          <w:rFonts w:ascii="Arial" w:cs="Arial" w:eastAsia="Arial" w:hAnsi="Arial"/>
          <w:sz w:val="18"/>
          <w:szCs w:val="18"/>
          <w:color w:val="auto"/>
        </w:rPr>
      </w:pPr>
    </w:p>
    <w:p>
      <w:pPr>
        <w:ind w:left="1580" w:hanging="275"/>
        <w:spacing w:after="0"/>
        <w:tabs>
          <w:tab w:leader="none" w:pos="1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Except to the extent that such action would cause an Award subject to Section 14 not to qualify for the exemption</w:t>
      </w:r>
    </w:p>
    <w:p>
      <w:pPr>
        <w:spacing w:after="0" w:line="9" w:lineRule="exact"/>
        <w:rPr>
          <w:sz w:val="20"/>
          <w:szCs w:val="20"/>
          <w:color w:val="auto"/>
        </w:rPr>
      </w:pPr>
    </w:p>
    <w:p>
      <w:pPr>
        <w:jc w:val="both"/>
        <w:ind w:left="1300" w:right="680"/>
        <w:spacing w:after="0" w:line="256" w:lineRule="auto"/>
        <w:rPr>
          <w:sz w:val="20"/>
          <w:szCs w:val="20"/>
          <w:color w:val="auto"/>
        </w:rPr>
      </w:pPr>
      <w:r>
        <w:rPr>
          <w:rFonts w:ascii="Arial" w:cs="Arial" w:eastAsia="Arial" w:hAnsi="Arial"/>
          <w:sz w:val="18"/>
          <w:szCs w:val="18"/>
          <w:color w:val="auto"/>
        </w:rPr>
        <w:t>from the limitation on deductibility imposed by Section 162(m)(4)(c) of the Code, the Committee or Board shall be authorized to make adjustments in performance award criteria or in the terms and conditions of other Awards in recognition of unusual or nonrecurring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35" w:right="239" w:bottom="1440" w:gutter="0" w:footer="0" w:header="0"/>
        </w:sectPr>
      </w:pPr>
    </w:p>
    <w:bookmarkStart w:id="62" w:name="page63"/>
    <w:bookmarkEnd w:id="62"/>
    <w:p>
      <w:pPr>
        <w:jc w:val="both"/>
        <w:ind w:left="100" w:right="20"/>
        <w:spacing w:after="0" w:line="252" w:lineRule="auto"/>
        <w:rPr>
          <w:sz w:val="20"/>
          <w:szCs w:val="20"/>
          <w:color w:val="auto"/>
        </w:rPr>
      </w:pPr>
      <w:r>
        <w:rPr>
          <w:rFonts w:ascii="Arial" w:cs="Arial" w:eastAsia="Arial" w:hAnsi="Arial"/>
          <w:sz w:val="18"/>
          <w:szCs w:val="18"/>
          <w:color w:val="auto"/>
        </w:rPr>
        <w:t>affecting the Company or its financial statements or changes in applicable laws, regulations or accounting principles. The Committee or Board may correct any defect, supply any omission, or reconcile any inconsistency in the Plan or any Award in the manner and to the extent it shall deem desirable to carry it into effect. In the event the Company shall assume outstanding employee benefit awards or the right or obligation to make future such awards in connection with the acquisition of or combination with another corporation or business entity, the Committee or Board may, in their discretion, make such adjustments in the terms of Awards under the Plan as it shall deem appropriate.</w:t>
      </w:r>
    </w:p>
    <w:p>
      <w:pPr>
        <w:spacing w:after="0" w:line="236" w:lineRule="exact"/>
        <w:rPr>
          <w:sz w:val="20"/>
          <w:szCs w:val="20"/>
          <w:color w:val="auto"/>
        </w:rPr>
      </w:pPr>
    </w:p>
    <w:p>
      <w:pPr>
        <w:jc w:val="both"/>
        <w:ind w:left="100" w:right="20" w:firstLine="5"/>
        <w:spacing w:after="0" w:line="253" w:lineRule="auto"/>
        <w:tabs>
          <w:tab w:leader="none" w:pos="3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certificates for Shares delivered under the Plan pursuant to any Award shall be subject to such stock transfer orders and other restrictions as the Committee or Board may deem advisable under the rules, regulations, and other requirements of the Securities and Exchange Commission, any stock exchange upon which the Shares are then listed, and any applicable state or Federal securities law, and the Committee or Board may cause a legend or legends to be put on any such certificates to make appropriate reference to such restrictions.</w:t>
      </w:r>
    </w:p>
    <w:p>
      <w:pPr>
        <w:spacing w:after="0" w:line="232" w:lineRule="exact"/>
        <w:rPr>
          <w:rFonts w:ascii="Arial" w:cs="Arial" w:eastAsia="Arial" w:hAnsi="Arial"/>
          <w:sz w:val="18"/>
          <w:szCs w:val="18"/>
          <w:color w:val="auto"/>
        </w:rPr>
      </w:pPr>
    </w:p>
    <w:p>
      <w:pPr>
        <w:jc w:val="both"/>
        <w:ind w:left="100" w:right="20" w:firstLine="5"/>
        <w:spacing w:after="0" w:line="254" w:lineRule="auto"/>
        <w:tabs>
          <w:tab w:leader="none" w:pos="38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Award granted hereunder shall be construed as an offer to sell securities of the Company, and no such offer shall be outstanding, unless and until the Committee or the Board in their sole discretion has determined that any such offer, if made, would be in compliance with all applicable requirements of the U.S. Federal securities laws and any other Legal Requirements to which such offer, if made, would be subject.</w:t>
      </w:r>
    </w:p>
    <w:p>
      <w:pPr>
        <w:spacing w:after="0" w:line="231" w:lineRule="exact"/>
        <w:rPr>
          <w:rFonts w:ascii="Arial" w:cs="Arial" w:eastAsia="Arial" w:hAnsi="Arial"/>
          <w:sz w:val="18"/>
          <w:szCs w:val="18"/>
          <w:color w:val="auto"/>
        </w:rPr>
      </w:pPr>
    </w:p>
    <w:p>
      <w:pPr>
        <w:ind w:left="100" w:right="20" w:firstLine="5"/>
        <w:spacing w:after="0" w:line="262" w:lineRule="auto"/>
        <w:tabs>
          <w:tab w:leader="none" w:pos="3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Committee or the Board shall be authorized to establish procedures pursuant to which the payment of any Award may be deferred.</w:t>
      </w:r>
    </w:p>
    <w:p>
      <w:pPr>
        <w:spacing w:after="0" w:line="223" w:lineRule="exact"/>
        <w:rPr>
          <w:rFonts w:ascii="Arial" w:cs="Arial" w:eastAsia="Arial" w:hAnsi="Arial"/>
          <w:sz w:val="18"/>
          <w:szCs w:val="18"/>
          <w:color w:val="auto"/>
        </w:rPr>
      </w:pPr>
    </w:p>
    <w:p>
      <w:pPr>
        <w:jc w:val="both"/>
        <w:ind w:left="100" w:firstLine="5"/>
        <w:spacing w:after="0" w:line="252" w:lineRule="auto"/>
        <w:tabs>
          <w:tab w:leader="none" w:pos="3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be authorized to withhold from any Award granted or payment due under the Plan the amount of withholding taxes due in respect of an Award or payment hereunder and to take such other action as may be necessary in the opinion of the Plan administrator to satisfy all obligations for the payment of such taxes, not to exceed the statutory minimum withholding obligation. The Committee or Board shall be authorized to establish procedures for election by Participants to satisfy such obligations for the payment of such taxes (i) by delivery of or transfer of Shares to the Company, (ii) with the consent of the Committee or the Board, by directing the Company to retain Shares otherwise deliverable in connection with the Award, (iii) by payment in cash of the amount to be withheld, or (iv) by withholding from any cash compensation otherwise due to the Participant.</w:t>
      </w:r>
    </w:p>
    <w:p>
      <w:pPr>
        <w:spacing w:after="0" w:line="233" w:lineRule="exact"/>
        <w:rPr>
          <w:rFonts w:ascii="Arial" w:cs="Arial" w:eastAsia="Arial" w:hAnsi="Arial"/>
          <w:sz w:val="18"/>
          <w:szCs w:val="18"/>
          <w:color w:val="auto"/>
        </w:rPr>
      </w:pPr>
    </w:p>
    <w:p>
      <w:pPr>
        <w:jc w:val="both"/>
        <w:ind w:left="100" w:right="20" w:firstLine="5"/>
        <w:spacing w:after="0" w:line="256"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Nothing contained in this Plan shall prevent the Board from adopting other or additional compensation arrangements, subject to stockholder approval if required, and such arrangements may be either generally applicable or applicable only in specific cases.</w:t>
      </w:r>
    </w:p>
    <w:p>
      <w:pPr>
        <w:spacing w:after="0" w:line="228" w:lineRule="exact"/>
        <w:rPr>
          <w:rFonts w:ascii="Arial" w:cs="Arial" w:eastAsia="Arial" w:hAnsi="Arial"/>
          <w:sz w:val="18"/>
          <w:szCs w:val="18"/>
          <w:color w:val="auto"/>
        </w:rPr>
      </w:pPr>
    </w:p>
    <w:p>
      <w:pPr>
        <w:ind w:left="100" w:right="20" w:firstLine="5"/>
        <w:spacing w:after="0" w:line="262" w:lineRule="auto"/>
        <w:tabs>
          <w:tab w:leader="none" w:pos="4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validity, construction, and effect of the Plan and any rules and regulations relating to the Plan shall be determined in accordance with the laws of the state of Delaware and applicable Federal law.</w:t>
      </w:r>
    </w:p>
    <w:p>
      <w:pPr>
        <w:spacing w:after="0" w:line="223" w:lineRule="exact"/>
        <w:rPr>
          <w:rFonts w:ascii="Arial" w:cs="Arial" w:eastAsia="Arial" w:hAnsi="Arial"/>
          <w:sz w:val="18"/>
          <w:szCs w:val="18"/>
          <w:color w:val="auto"/>
        </w:rPr>
      </w:pPr>
    </w:p>
    <w:p>
      <w:pPr>
        <w:jc w:val="both"/>
        <w:ind w:left="100" w:right="20" w:firstLine="5"/>
        <w:spacing w:after="0" w:line="256" w:lineRule="auto"/>
        <w:tabs>
          <w:tab w:leader="none" w:pos="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provision of this Plan is or becomes or is deemed invalid, illegal or unenforceable in any jurisdiction, or would disqualify the Plan or any Award under any law deemed applicable by the Committee or the Board, such provision shall be construed or deemed amended to conform to applicable law, or if it cannot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540"/>
          </w:cols>
          <w:pgMar w:left="1440" w:top="1435" w:right="919" w:bottom="1440" w:gutter="0" w:footer="0" w:header="0"/>
        </w:sectPr>
      </w:pPr>
    </w:p>
    <w:bookmarkStart w:id="63" w:name="page64"/>
    <w:bookmarkEnd w:id="63"/>
    <w:p>
      <w:pPr>
        <w:ind w:left="100"/>
        <w:spacing w:after="0" w:line="262" w:lineRule="auto"/>
        <w:rPr>
          <w:sz w:val="20"/>
          <w:szCs w:val="20"/>
          <w:color w:val="auto"/>
        </w:rPr>
      </w:pPr>
      <w:r>
        <w:rPr>
          <w:rFonts w:ascii="Arial" w:cs="Arial" w:eastAsia="Arial" w:hAnsi="Arial"/>
          <w:sz w:val="18"/>
          <w:szCs w:val="18"/>
          <w:color w:val="auto"/>
        </w:rPr>
        <w:t>construed or deemed amended without, in the determination of the Committee or the Board, materially altering the intent of the Plan, it shall be stricken, and the remainder of the Plan shall remain in full force and effect.</w:t>
      </w:r>
    </w:p>
    <w:p>
      <w:pPr>
        <w:spacing w:after="0" w:line="223" w:lineRule="exact"/>
        <w:rPr>
          <w:sz w:val="20"/>
          <w:szCs w:val="20"/>
          <w:color w:val="auto"/>
        </w:rPr>
      </w:pPr>
    </w:p>
    <w:p>
      <w:pPr>
        <w:jc w:val="both"/>
        <w:ind w:left="100" w:firstLine="5"/>
        <w:spacing w:after="0" w:line="252" w:lineRule="auto"/>
        <w:tabs>
          <w:tab w:leader="none" w:pos="3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Awards may be granted to Participants who are foreign nationals or employed outside the United States, or both, on such terms and conditions different from those applicable to Awards to Employees employed in the United States as may, in the judgment of the Committee or the Board, be necessary or desirable in order to recognize differences in local law or tax policy. The Committee or Board also may impose conditions on the exercise or vesting of Awards in order to minimize the Company’s obligations with respect to tax equalization for Associates on assignments outside their home country.</w:t>
      </w:r>
    </w:p>
    <w:p>
      <w:pPr>
        <w:spacing w:after="0" w:line="235" w:lineRule="exact"/>
        <w:rPr>
          <w:rFonts w:ascii="Arial" w:cs="Arial" w:eastAsia="Arial" w:hAnsi="Arial"/>
          <w:sz w:val="18"/>
          <w:szCs w:val="18"/>
          <w:color w:val="auto"/>
        </w:rPr>
      </w:pPr>
    </w:p>
    <w:p>
      <w:pPr>
        <w:jc w:val="both"/>
        <w:ind w:left="100" w:firstLine="5"/>
        <w:spacing w:after="0" w:line="256" w:lineRule="auto"/>
        <w:tabs>
          <w:tab w:leader="none" w:pos="379"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Award shall be granted or exercised if the grant of the Award or the exercise and the issuance of shares or other consideration pursuant thereto would be contrary to the Legal Requirements of any duly constituted authority having jurisdiction.</w:t>
      </w:r>
    </w:p>
    <w:p>
      <w:pPr>
        <w:spacing w:after="0" w:line="201" w:lineRule="exact"/>
        <w:rPr>
          <w:rFonts w:ascii="Arial" w:cs="Arial" w:eastAsia="Arial" w:hAnsi="Arial"/>
          <w:sz w:val="18"/>
          <w:szCs w:val="18"/>
          <w:color w:val="auto"/>
        </w:rPr>
      </w:pPr>
    </w:p>
    <w:p>
      <w:pPr>
        <w:jc w:val="both"/>
        <w:ind w:left="100" w:firstLine="5"/>
        <w:spacing w:after="0" w:line="254" w:lineRule="auto"/>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Plan will not confer upon any Participant any right with respect to continuance of employment or other service with the Company or any Subsidiary or Affiliated Company, nor will it interfere in any way with any right the Company or any Subsidiary or Affiliated Company would otherwise have to terminate a Participant’s employment or other service at any time.</w:t>
      </w:r>
    </w:p>
    <w:p>
      <w:pPr>
        <w:spacing w:after="0" w:line="204" w:lineRule="exact"/>
        <w:rPr>
          <w:rFonts w:ascii="Arial" w:cs="Arial" w:eastAsia="Arial" w:hAnsi="Arial"/>
          <w:sz w:val="18"/>
          <w:szCs w:val="18"/>
          <w:color w:val="auto"/>
        </w:rPr>
      </w:pPr>
    </w:p>
    <w:p>
      <w:pPr>
        <w:jc w:val="both"/>
        <w:ind w:left="100" w:right="20" w:firstLine="5"/>
        <w:spacing w:after="0" w:line="256" w:lineRule="auto"/>
        <w:tabs>
          <w:tab w:leader="none" w:pos="4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Employees and directors of the Company and its Subsidiaries who are based in the United Kingdom may be granted Awards pursuant to the terms of the UK Addendum. Grants made pursuant to the UK Addendum shall be subject to the terms and conditions of the Plan, unless otherwise provided in the UK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540"/>
          </w:cols>
          <w:pgMar w:left="1440" w:top="1435" w:right="919" w:bottom="1440" w:gutter="0" w:footer="0" w:header="0"/>
        </w:sectPr>
      </w:pPr>
    </w:p>
    <w:bookmarkStart w:id="64" w:name="page65"/>
    <w:bookmarkEnd w:id="64"/>
    <w:p>
      <w:pPr>
        <w:spacing w:after="0" w:line="5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Schedule A</w:t>
      </w:r>
    </w:p>
    <w:p>
      <w:pPr>
        <w:spacing w:after="0" w:line="11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UK Addendum</w:t>
      </w:r>
    </w:p>
    <w:p>
      <w:pPr>
        <w:spacing w:after="0" w:line="117" w:lineRule="exact"/>
        <w:rPr>
          <w:sz w:val="20"/>
          <w:szCs w:val="20"/>
          <w:color w:val="auto"/>
        </w:rPr>
      </w:pPr>
    </w:p>
    <w:p>
      <w:pPr>
        <w:ind w:left="308" w:hanging="308"/>
        <w:spacing w:after="0"/>
        <w:tabs>
          <w:tab w:leader="none" w:pos="30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eligibility</w:t>
      </w:r>
    </w:p>
    <w:p>
      <w:pPr>
        <w:spacing w:after="0" w:line="117" w:lineRule="exact"/>
        <w:rPr>
          <w:rFonts w:ascii="Arial" w:cs="Arial" w:eastAsia="Arial" w:hAnsi="Arial"/>
          <w:sz w:val="18"/>
          <w:szCs w:val="18"/>
          <w:b w:val="1"/>
          <w:bCs w:val="1"/>
          <w:color w:val="auto"/>
        </w:rPr>
      </w:pPr>
    </w:p>
    <w:p>
      <w:pPr>
        <w:jc w:val="both"/>
        <w:ind w:left="32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purpose of this addendum to the Plan (the </w:t>
      </w:r>
      <w:r>
        <w:rPr>
          <w:rFonts w:ascii="Arial" w:cs="Arial" w:eastAsia="Arial" w:hAnsi="Arial"/>
          <w:sz w:val="18"/>
          <w:szCs w:val="18"/>
          <w:b w:val="1"/>
          <w:bCs w:val="1"/>
          <w:color w:val="auto"/>
        </w:rPr>
        <w:t>"UK Addendum"</w:t>
      </w:r>
      <w:r>
        <w:rPr>
          <w:rFonts w:ascii="Arial" w:cs="Arial" w:eastAsia="Arial" w:hAnsi="Arial"/>
          <w:sz w:val="18"/>
          <w:szCs w:val="18"/>
          <w:color w:val="auto"/>
        </w:rPr>
        <w:t xml:space="preserve">) is to enable the Board to grant Awards to certain employees and directors of LiveRamp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its Subsidiaries who are based in the United Kingdom. Awards (which will be unapproved for UK tax purposes) may only be granted under the UK Addendum to employees and directors of the Company and its Subsidiaries. Awards granted pursuant to the UK Addendum are granted pursuant to an </w:t>
      </w:r>
      <w:r>
        <w:rPr>
          <w:rFonts w:ascii="Arial" w:cs="Arial" w:eastAsia="Arial" w:hAnsi="Arial"/>
          <w:sz w:val="18"/>
          <w:szCs w:val="18"/>
          <w:b w:val="1"/>
          <w:bCs w:val="1"/>
          <w:color w:val="auto"/>
        </w:rPr>
        <w:t>"employees' share scheme"</w:t>
      </w:r>
      <w:r>
        <w:rPr>
          <w:rFonts w:ascii="Arial" w:cs="Arial" w:eastAsia="Arial" w:hAnsi="Arial"/>
          <w:sz w:val="18"/>
          <w:szCs w:val="18"/>
          <w:color w:val="auto"/>
        </w:rPr>
        <w:t xml:space="preserve"> for the purposes of the Financial Services and Markets Act 2000.</w:t>
      </w:r>
    </w:p>
    <w:p>
      <w:pPr>
        <w:spacing w:after="0" w:line="71" w:lineRule="exact"/>
        <w:rPr>
          <w:rFonts w:ascii="Arial" w:cs="Arial" w:eastAsia="Arial" w:hAnsi="Arial"/>
          <w:sz w:val="18"/>
          <w:szCs w:val="18"/>
          <w:b w:val="1"/>
          <w:bCs w:val="1"/>
          <w:color w:val="auto"/>
        </w:rPr>
      </w:pPr>
    </w:p>
    <w:p>
      <w:pPr>
        <w:ind w:left="308" w:hanging="308"/>
        <w:spacing w:after="0"/>
        <w:tabs>
          <w:tab w:leader="none" w:pos="30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9" w:lineRule="exact"/>
        <w:rPr>
          <w:rFonts w:ascii="Arial" w:cs="Arial" w:eastAsia="Arial" w:hAnsi="Arial"/>
          <w:sz w:val="18"/>
          <w:szCs w:val="18"/>
          <w:b w:val="1"/>
          <w:bCs w:val="1"/>
          <w:color w:val="auto"/>
        </w:rPr>
      </w:pPr>
    </w:p>
    <w:p>
      <w:pPr>
        <w:ind w:left="328"/>
        <w:spacing w:after="0"/>
        <w:rPr>
          <w:rFonts w:ascii="Arial" w:cs="Arial" w:eastAsia="Arial" w:hAnsi="Arial"/>
          <w:sz w:val="18"/>
          <w:szCs w:val="18"/>
          <w:b w:val="1"/>
          <w:bCs w:val="1"/>
          <w:color w:val="auto"/>
        </w:rPr>
      </w:pPr>
      <w:r>
        <w:rPr>
          <w:rFonts w:ascii="Arial" w:cs="Arial" w:eastAsia="Arial" w:hAnsi="Arial"/>
          <w:sz w:val="18"/>
          <w:szCs w:val="18"/>
          <w:color w:val="auto"/>
        </w:rPr>
        <w:t>Definitions are as contained in Section 2 of the Plan, with the following additions, amendments or substitutions:</w:t>
      </w:r>
    </w:p>
    <w:p>
      <w:pPr>
        <w:spacing w:after="0" w:line="95" w:lineRule="exact"/>
        <w:rPr>
          <w:rFonts w:ascii="Arial" w:cs="Arial" w:eastAsia="Arial" w:hAnsi="Arial"/>
          <w:sz w:val="18"/>
          <w:szCs w:val="18"/>
          <w:b w:val="1"/>
          <w:bCs w:val="1"/>
          <w:color w:val="auto"/>
        </w:rPr>
      </w:pPr>
    </w:p>
    <w:p>
      <w:pPr>
        <w:ind w:left="648" w:hanging="324"/>
        <w:spacing w:after="0"/>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"Associate"</w:t>
      </w:r>
      <w:r>
        <w:rPr>
          <w:rFonts w:ascii="Arial" w:cs="Arial" w:eastAsia="Arial" w:hAnsi="Arial"/>
          <w:sz w:val="18"/>
          <w:szCs w:val="18"/>
          <w:color w:val="auto"/>
        </w:rPr>
        <w:t xml:space="preserve"> shall be deleted and the word "</w:t>
      </w:r>
      <w:r>
        <w:rPr>
          <w:rFonts w:ascii="Arial" w:cs="Arial" w:eastAsia="Arial" w:hAnsi="Arial"/>
          <w:sz w:val="18"/>
          <w:szCs w:val="18"/>
          <w:b w:val="1"/>
          <w:bCs w:val="1"/>
          <w:color w:val="auto"/>
        </w:rPr>
        <w:t>Employee</w:t>
      </w:r>
      <w:r>
        <w:rPr>
          <w:rFonts w:ascii="Arial" w:cs="Arial" w:eastAsia="Arial" w:hAnsi="Arial"/>
          <w:sz w:val="18"/>
          <w:szCs w:val="18"/>
          <w:color w:val="auto"/>
        </w:rPr>
        <w:t>" shall be substituted therefor throughout the Plan.</w:t>
      </w:r>
    </w:p>
    <w:p>
      <w:pPr>
        <w:spacing w:after="0" w:line="252" w:lineRule="exact"/>
        <w:rPr>
          <w:rFonts w:ascii="Arial" w:cs="Arial" w:eastAsia="Arial" w:hAnsi="Arial"/>
          <w:sz w:val="18"/>
          <w:szCs w:val="18"/>
          <w:color w:val="auto"/>
        </w:rPr>
      </w:pPr>
    </w:p>
    <w:p>
      <w:pPr>
        <w:ind w:left="648" w:right="640" w:hanging="324"/>
        <w:spacing w:after="0" w:line="287" w:lineRule="auto"/>
        <w:tabs>
          <w:tab w:leader="none" w:pos="63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"Control" </w:t>
      </w:r>
      <w:r>
        <w:rPr>
          <w:rFonts w:ascii="Arial" w:cs="Arial" w:eastAsia="Arial" w:hAnsi="Arial"/>
          <w:sz w:val="18"/>
          <w:szCs w:val="18"/>
          <w:color w:val="auto"/>
        </w:rPr>
        <w:t>(for the purposes of the definition of</w:t>
      </w:r>
      <w:r>
        <w:rPr>
          <w:rFonts w:ascii="Arial" w:cs="Arial" w:eastAsia="Arial" w:hAnsi="Arial"/>
          <w:sz w:val="18"/>
          <w:szCs w:val="18"/>
          <w:b w:val="1"/>
          <w:bCs w:val="1"/>
          <w:color w:val="auto"/>
        </w:rPr>
        <w:t xml:space="preserve"> "Subsidiary"</w:t>
      </w:r>
      <w:r>
        <w:rPr>
          <w:rFonts w:ascii="Arial" w:cs="Arial" w:eastAsia="Arial" w:hAnsi="Arial"/>
          <w:sz w:val="18"/>
          <w:szCs w:val="18"/>
          <w:color w:val="auto"/>
        </w:rPr>
        <w:t>, below) has the meaning contained in section 995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Act 2007.</w:t>
      </w:r>
    </w:p>
    <w:p>
      <w:pPr>
        <w:spacing w:after="0" w:line="180" w:lineRule="exact"/>
        <w:rPr>
          <w:rFonts w:ascii="Arial" w:cs="Arial" w:eastAsia="Arial" w:hAnsi="Arial"/>
          <w:sz w:val="18"/>
          <w:szCs w:val="18"/>
          <w:color w:val="auto"/>
        </w:rPr>
      </w:pPr>
    </w:p>
    <w:p>
      <w:pPr>
        <w:ind w:left="648" w:hanging="324"/>
        <w:spacing w:after="0"/>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employee or director of the Company or its Subsidiaries.</w:t>
      </w:r>
    </w:p>
    <w:p>
      <w:pPr>
        <w:spacing w:after="0" w:line="252" w:lineRule="exact"/>
        <w:rPr>
          <w:rFonts w:ascii="Arial" w:cs="Arial" w:eastAsia="Arial" w:hAnsi="Arial"/>
          <w:sz w:val="18"/>
          <w:szCs w:val="18"/>
          <w:color w:val="auto"/>
        </w:rPr>
      </w:pPr>
    </w:p>
    <w:p>
      <w:pPr>
        <w:ind w:left="648" w:hanging="324"/>
        <w:spacing w:after="0"/>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"HMRC" </w:t>
      </w:r>
      <w:r>
        <w:rPr>
          <w:rFonts w:ascii="Arial" w:cs="Arial" w:eastAsia="Arial" w:hAnsi="Arial"/>
          <w:sz w:val="18"/>
          <w:szCs w:val="18"/>
          <w:color w:val="auto"/>
        </w:rPr>
        <w:t>means the UK HM Revenue &amp; Customs.</w:t>
      </w:r>
    </w:p>
    <w:p>
      <w:pPr>
        <w:spacing w:after="0" w:line="252" w:lineRule="exact"/>
        <w:rPr>
          <w:rFonts w:ascii="Arial" w:cs="Arial" w:eastAsia="Arial" w:hAnsi="Arial"/>
          <w:sz w:val="18"/>
          <w:szCs w:val="18"/>
          <w:color w:val="auto"/>
        </w:rPr>
      </w:pPr>
    </w:p>
    <w:p>
      <w:pPr>
        <w:ind w:left="648" w:hanging="324"/>
        <w:spacing w:after="0"/>
        <w:tabs>
          <w:tab w:leader="none" w:pos="64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"ITEPA" </w:t>
      </w:r>
      <w:r>
        <w:rPr>
          <w:rFonts w:ascii="Arial" w:cs="Arial" w:eastAsia="Arial" w:hAnsi="Arial"/>
          <w:sz w:val="18"/>
          <w:szCs w:val="18"/>
          <w:color w:val="auto"/>
        </w:rPr>
        <w:t>means the Income Tax (Earnings and Pensions) Act 2003.</w:t>
      </w:r>
    </w:p>
    <w:p>
      <w:pPr>
        <w:spacing w:after="0" w:line="252" w:lineRule="exact"/>
        <w:rPr>
          <w:rFonts w:ascii="Arial" w:cs="Arial" w:eastAsia="Arial" w:hAnsi="Arial"/>
          <w:sz w:val="18"/>
          <w:szCs w:val="18"/>
          <w:color w:val="auto"/>
        </w:rPr>
      </w:pPr>
    </w:p>
    <w:p>
      <w:pPr>
        <w:ind w:left="648" w:right="660" w:hanging="324"/>
        <w:spacing w:after="0" w:line="287" w:lineRule="auto"/>
        <w:tabs>
          <w:tab w:leader="none" w:pos="642"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"PAYE" </w:t>
      </w:r>
      <w:r>
        <w:rPr>
          <w:rFonts w:ascii="Arial" w:cs="Arial" w:eastAsia="Arial" w:hAnsi="Arial"/>
          <w:sz w:val="18"/>
          <w:szCs w:val="18"/>
          <w:color w:val="auto"/>
        </w:rPr>
        <w:t>means the UK Pay-As-You-Earn income tax withholding system governed by the Income Tax (PAYE)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2003.</w:t>
      </w:r>
    </w:p>
    <w:p>
      <w:pPr>
        <w:spacing w:after="0" w:line="180" w:lineRule="exact"/>
        <w:rPr>
          <w:rFonts w:ascii="Arial" w:cs="Arial" w:eastAsia="Arial" w:hAnsi="Arial"/>
          <w:sz w:val="18"/>
          <w:szCs w:val="18"/>
          <w:color w:val="auto"/>
        </w:rPr>
      </w:pPr>
    </w:p>
    <w:p>
      <w:pPr>
        <w:jc w:val="both"/>
        <w:ind w:left="648" w:right="660" w:hanging="324"/>
        <w:spacing w:after="0" w:line="259" w:lineRule="auto"/>
        <w:tabs>
          <w:tab w:leader="none" w:pos="63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means service as an Employee, subject to such further limitations as may be set forth in the applicable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or Restricted Share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The Company determines which leaves count toward Service, and when Service terminates for all purposes under the Plan.</w:t>
      </w:r>
    </w:p>
    <w:p>
      <w:pPr>
        <w:spacing w:after="0" w:line="206" w:lineRule="exact"/>
        <w:rPr>
          <w:rFonts w:ascii="Arial" w:cs="Arial" w:eastAsia="Arial" w:hAnsi="Arial"/>
          <w:sz w:val="18"/>
          <w:szCs w:val="18"/>
          <w:color w:val="auto"/>
        </w:rPr>
      </w:pPr>
    </w:p>
    <w:p>
      <w:pPr>
        <w:ind w:left="648" w:right="660" w:hanging="324"/>
        <w:spacing w:after="0" w:line="263" w:lineRule="auto"/>
        <w:tabs>
          <w:tab w:leader="none" w:pos="638"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definition of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be restated in its entirety as follows: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mean a company (wherever incorporated) which for the time being is under the Control of the Company.</w:t>
      </w:r>
    </w:p>
    <w:p>
      <w:pPr>
        <w:ind w:left="308" w:hanging="308"/>
        <w:spacing w:after="0"/>
        <w:tabs>
          <w:tab w:leader="none" w:pos="30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Terms</w:t>
      </w:r>
    </w:p>
    <w:p>
      <w:pPr>
        <w:spacing w:after="0" w:line="117" w:lineRule="exact"/>
        <w:rPr>
          <w:rFonts w:ascii="Arial" w:cs="Arial" w:eastAsia="Arial" w:hAnsi="Arial"/>
          <w:sz w:val="18"/>
          <w:szCs w:val="18"/>
          <w:b w:val="1"/>
          <w:bCs w:val="1"/>
          <w:color w:val="auto"/>
        </w:rPr>
      </w:pPr>
    </w:p>
    <w:p>
      <w:pPr>
        <w:jc w:val="both"/>
        <w:ind w:left="328"/>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Awards granted pursuant to the UK Addendum shall be governed by the terms of the Plan, subject to any such amendments set out below and as are necessary to give effect to Section 1 of the UK Addendum, and by the terms of the individual Award Agreement entered into between the Company and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8"/>
          </w:cols>
          <w:pgMar w:left="572" w:top="1440" w:right="239" w:bottom="1440" w:gutter="0" w:footer="0" w:header="0"/>
        </w:sectPr>
      </w:pPr>
    </w:p>
    <w:bookmarkStart w:id="65" w:name="page66"/>
    <w:bookmarkEnd w:id="65"/>
    <w:p>
      <w:pPr>
        <w:ind w:left="308" w:hanging="308"/>
        <w:spacing w:after="0"/>
        <w:tabs>
          <w:tab w:leader="none" w:pos="30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39" w:lineRule="exact"/>
        <w:rPr>
          <w:rFonts w:ascii="Arial" w:cs="Arial" w:eastAsia="Arial" w:hAnsi="Arial"/>
          <w:sz w:val="18"/>
          <w:szCs w:val="18"/>
          <w:b w:val="1"/>
          <w:bCs w:val="1"/>
          <w:color w:val="auto"/>
        </w:rPr>
      </w:pPr>
    </w:p>
    <w:p>
      <w:pPr>
        <w:ind w:left="328"/>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For the purpose of granting awards pursuant to the Plan to UK Employees only, the Plan shall be amended by the substitution of the word "Employee" for the word "Associate" throughout.</w:t>
      </w:r>
    </w:p>
    <w:p>
      <w:pPr>
        <w:spacing w:after="0" w:line="66" w:lineRule="exact"/>
        <w:rPr>
          <w:rFonts w:ascii="Arial" w:cs="Arial" w:eastAsia="Arial" w:hAnsi="Arial"/>
          <w:sz w:val="18"/>
          <w:szCs w:val="18"/>
          <w:b w:val="1"/>
          <w:bCs w:val="1"/>
          <w:color w:val="auto"/>
        </w:rPr>
      </w:pPr>
    </w:p>
    <w:p>
      <w:pPr>
        <w:ind w:left="308" w:hanging="308"/>
        <w:spacing w:after="0"/>
        <w:tabs>
          <w:tab w:leader="none" w:pos="30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Non-transferability of Awards</w:t>
      </w:r>
    </w:p>
    <w:p>
      <w:pPr>
        <w:spacing w:after="0" w:line="139" w:lineRule="exact"/>
        <w:rPr>
          <w:rFonts w:ascii="Arial" w:cs="Arial" w:eastAsia="Arial" w:hAnsi="Arial"/>
          <w:sz w:val="18"/>
          <w:szCs w:val="18"/>
          <w:b w:val="1"/>
          <w:bCs w:val="1"/>
          <w:color w:val="auto"/>
        </w:rPr>
      </w:pPr>
    </w:p>
    <w:p>
      <w:pPr>
        <w:ind w:left="328"/>
        <w:spacing w:after="0"/>
        <w:rPr>
          <w:rFonts w:ascii="Arial" w:cs="Arial" w:eastAsia="Arial" w:hAnsi="Arial"/>
          <w:sz w:val="18"/>
          <w:szCs w:val="18"/>
          <w:b w:val="1"/>
          <w:bCs w:val="1"/>
          <w:color w:val="auto"/>
        </w:rPr>
      </w:pPr>
      <w:r>
        <w:rPr>
          <w:rFonts w:ascii="Arial" w:cs="Arial" w:eastAsia="Arial" w:hAnsi="Arial"/>
          <w:sz w:val="18"/>
          <w:szCs w:val="18"/>
          <w:color w:val="auto"/>
        </w:rPr>
        <w:t>An Award granted pursuant to the UK Addendum may not be transferred other than by the laws of intestacy on death of the Participant.</w:t>
      </w:r>
    </w:p>
    <w:p>
      <w:pPr>
        <w:spacing w:after="0" w:line="95" w:lineRule="exact"/>
        <w:rPr>
          <w:rFonts w:ascii="Arial" w:cs="Arial" w:eastAsia="Arial" w:hAnsi="Arial"/>
          <w:sz w:val="18"/>
          <w:szCs w:val="18"/>
          <w:b w:val="1"/>
          <w:bCs w:val="1"/>
          <w:color w:val="auto"/>
        </w:rPr>
      </w:pPr>
    </w:p>
    <w:p>
      <w:pPr>
        <w:ind w:left="308" w:hanging="308"/>
        <w:spacing w:after="0"/>
        <w:tabs>
          <w:tab w:leader="none" w:pos="30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obligations</w:t>
      </w:r>
    </w:p>
    <w:p>
      <w:pPr>
        <w:spacing w:after="0" w:line="139" w:lineRule="exact"/>
        <w:rPr>
          <w:sz w:val="20"/>
          <w:szCs w:val="20"/>
          <w:color w:val="auto"/>
        </w:rPr>
      </w:pPr>
    </w:p>
    <w:p>
      <w:pPr>
        <w:jc w:val="both"/>
        <w:ind w:left="328" w:hanging="323"/>
        <w:spacing w:after="0" w:line="254" w:lineRule="auto"/>
        <w:rPr>
          <w:sz w:val="20"/>
          <w:szCs w:val="20"/>
          <w:color w:val="auto"/>
        </w:rPr>
      </w:pPr>
      <w:r>
        <w:rPr>
          <w:rFonts w:ascii="Arial" w:cs="Arial" w:eastAsia="Arial" w:hAnsi="Arial"/>
          <w:sz w:val="18"/>
          <w:szCs w:val="18"/>
          <w:color w:val="auto"/>
        </w:rPr>
        <w:t xml:space="preserve">6.1 The Participant shall be accountable for any income tax and, subject to the following provisions, national insurance liability which is </w:t>
      </w:r>
      <w:r>
        <w:rPr>
          <w:rFonts w:ascii="Arial" w:cs="Arial" w:eastAsia="Arial" w:hAnsi="Arial"/>
          <w:sz w:val="18"/>
          <w:szCs w:val="18"/>
          <w:b w:val="1"/>
          <w:bCs w:val="1"/>
          <w:color w:val="auto"/>
        </w:rPr>
        <w:t xml:space="preserve">chargeable </w:t>
      </w:r>
      <w:r>
        <w:rPr>
          <w:rFonts w:ascii="Arial" w:cs="Arial" w:eastAsia="Arial" w:hAnsi="Arial"/>
          <w:sz w:val="18"/>
          <w:szCs w:val="18"/>
          <w:color w:val="auto"/>
        </w:rPr>
        <w:t>on any assessable income deriving from the exercise of, or other dealing in, the Award. In respect of such assessable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income the Participant shall indemnify the Company and (at the direction of the Company) any Subsidiary which is or may be treated as the employer of the Participant in respect of the following (together, the </w:t>
      </w:r>
      <w:r>
        <w:rPr>
          <w:rFonts w:ascii="Arial" w:cs="Arial" w:eastAsia="Arial" w:hAnsi="Arial"/>
          <w:sz w:val="18"/>
          <w:szCs w:val="18"/>
          <w:b w:val="1"/>
          <w:bCs w:val="1"/>
          <w:color w:val="auto"/>
        </w:rPr>
        <w:t>"Tax Liabilities"</w:t>
      </w:r>
      <w:r>
        <w:rPr>
          <w:rFonts w:ascii="Arial" w:cs="Arial" w:eastAsia="Arial" w:hAnsi="Arial"/>
          <w:sz w:val="18"/>
          <w:szCs w:val="18"/>
          <w:color w:val="auto"/>
        </w:rPr>
        <w:t>):</w:t>
      </w:r>
    </w:p>
    <w:p>
      <w:pPr>
        <w:spacing w:after="0" w:line="96" w:lineRule="exact"/>
        <w:rPr>
          <w:sz w:val="20"/>
          <w:szCs w:val="20"/>
          <w:color w:val="auto"/>
        </w:rPr>
      </w:pPr>
    </w:p>
    <w:p>
      <w:pPr>
        <w:ind w:left="968" w:right="660" w:hanging="644"/>
        <w:spacing w:after="0" w:line="262" w:lineRule="auto"/>
        <w:tabs>
          <w:tab w:leader="none" w:pos="60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income tax liability which falls to be paid to HMRC by the Company (or the relevant employing Subsidiary) under the PAYE system as it applies to income tax under ITEPA and the PAYE regulations referred to in it; and</w:t>
      </w:r>
    </w:p>
    <w:p>
      <w:pPr>
        <w:spacing w:after="0" w:line="88" w:lineRule="exact"/>
        <w:rPr>
          <w:rFonts w:ascii="Arial" w:cs="Arial" w:eastAsia="Arial" w:hAnsi="Arial"/>
          <w:sz w:val="18"/>
          <w:szCs w:val="18"/>
          <w:color w:val="auto"/>
        </w:rPr>
      </w:pPr>
    </w:p>
    <w:p>
      <w:pPr>
        <w:ind w:left="968" w:right="640" w:hanging="644"/>
        <w:spacing w:after="0" w:line="256" w:lineRule="auto"/>
        <w:tabs>
          <w:tab w:leader="none" w:pos="61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national insurance liability which falls to be paid to HMRC by the Company (or the relevant employing Subsidiary) under the PAYE system as it applies for national insurance purposes under the Social Security Contributions and Benefits Act 1992 and regulations referred to in it, such national insurance liability being the aggregate of:</w:t>
      </w:r>
    </w:p>
    <w:p>
      <w:pPr>
        <w:spacing w:after="0" w:line="93" w:lineRule="exact"/>
        <w:rPr>
          <w:rFonts w:ascii="Arial" w:cs="Arial" w:eastAsia="Arial" w:hAnsi="Arial"/>
          <w:sz w:val="18"/>
          <w:szCs w:val="18"/>
          <w:color w:val="auto"/>
        </w:rPr>
      </w:pPr>
    </w:p>
    <w:p>
      <w:pPr>
        <w:ind w:left="1188" w:hanging="215"/>
        <w:spacing w:after="0"/>
        <w:tabs>
          <w:tab w:leader="none" w:pos="118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the Employee's primary Class 1 national insurance contributions; and</w:t>
      </w:r>
    </w:p>
    <w:p>
      <w:pPr>
        <w:spacing w:after="0" w:line="117" w:lineRule="exact"/>
        <w:rPr>
          <w:rFonts w:ascii="Arial" w:cs="Arial" w:eastAsia="Arial" w:hAnsi="Arial"/>
          <w:sz w:val="18"/>
          <w:szCs w:val="18"/>
          <w:color w:val="auto"/>
        </w:rPr>
      </w:pPr>
    </w:p>
    <w:p>
      <w:pPr>
        <w:ind w:left="1228" w:hanging="255"/>
        <w:spacing w:after="0"/>
        <w:tabs>
          <w:tab w:leader="none" w:pos="12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the employer's secondary Class 1 national insurance contributions.</w:t>
      </w:r>
    </w:p>
    <w:p>
      <w:pPr>
        <w:spacing w:after="0" w:line="117" w:lineRule="exact"/>
        <w:rPr>
          <w:sz w:val="20"/>
          <w:szCs w:val="20"/>
          <w:color w:val="auto"/>
        </w:rPr>
      </w:pPr>
    </w:p>
    <w:p>
      <w:pPr>
        <w:ind w:left="328" w:hanging="323"/>
        <w:spacing w:after="0" w:line="262" w:lineRule="auto"/>
        <w:rPr>
          <w:sz w:val="20"/>
          <w:szCs w:val="20"/>
          <w:color w:val="auto"/>
        </w:rPr>
      </w:pPr>
      <w:r>
        <w:rPr>
          <w:rFonts w:ascii="Arial" w:cs="Arial" w:eastAsia="Arial" w:hAnsi="Arial"/>
          <w:sz w:val="18"/>
          <w:szCs w:val="18"/>
          <w:color w:val="auto"/>
        </w:rPr>
        <w:t>6.2 Pursuant to the indemnity referred to in clause 6.1, the Participant shall make such arrangements as the Company requires to meet the cost of the Tax Liabilities, including at the direction of the Company any of the following:</w:t>
      </w:r>
    </w:p>
    <w:p>
      <w:pPr>
        <w:spacing w:after="0" w:line="88" w:lineRule="exact"/>
        <w:rPr>
          <w:sz w:val="20"/>
          <w:szCs w:val="20"/>
          <w:color w:val="auto"/>
        </w:rPr>
      </w:pPr>
    </w:p>
    <w:p>
      <w:pPr>
        <w:ind w:left="968" w:right="660" w:hanging="644"/>
        <w:spacing w:after="0" w:line="256" w:lineRule="auto"/>
        <w:tabs>
          <w:tab w:leader="none" w:pos="5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making a cash payment of an appropriate amount to the relevant company whether by cheque, banker's draft or deduction from salary in time to enable the company to remit such amount to HMRC before the 14th day following the end of the month in which the event giving rise to the Tax Liabilities occurred; or</w:t>
      </w:r>
    </w:p>
    <w:p>
      <w:pPr>
        <w:spacing w:after="0" w:line="93" w:lineRule="exact"/>
        <w:rPr>
          <w:rFonts w:ascii="Arial" w:cs="Arial" w:eastAsia="Arial" w:hAnsi="Arial"/>
          <w:sz w:val="18"/>
          <w:szCs w:val="18"/>
          <w:color w:val="auto"/>
        </w:rPr>
      </w:pPr>
    </w:p>
    <w:p>
      <w:pPr>
        <w:ind w:left="968" w:right="640" w:hanging="644"/>
        <w:spacing w:after="0" w:line="254"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appointing the Company as agent and/or attorney for the sale of sufficient Shares acquired pursuant to the exercise of, or other dealing in, the Award to cover the Tax Liabilities and authorising the payment to the relevant company of the appropriate amount (including all reasonable fees, commissions and expenses incurred by the relevant company in relation to such sale) out of the net proceeds of sale of the Shares;</w:t>
      </w:r>
    </w:p>
    <w:p>
      <w:pPr>
        <w:spacing w:after="0" w:line="96" w:lineRule="exact"/>
        <w:rPr>
          <w:rFonts w:ascii="Arial" w:cs="Arial" w:eastAsia="Arial" w:hAnsi="Arial"/>
          <w:sz w:val="18"/>
          <w:szCs w:val="18"/>
          <w:color w:val="auto"/>
        </w:rPr>
      </w:pPr>
    </w:p>
    <w:p>
      <w:pPr>
        <w:ind w:left="968" w:right="660" w:hanging="644"/>
        <w:spacing w:after="0" w:line="262" w:lineRule="auto"/>
        <w:tabs>
          <w:tab w:leader="none" w:pos="6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entering into an election whereby the employer's liability for secondary Class 1 national insurance contributions is transferred to the Participant on terms set out in the election and approved by HMRC.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8"/>
          </w:cols>
          <w:pgMar w:left="572" w:top="1386" w:right="239" w:bottom="1440" w:gutter="0" w:footer="0" w:header="0"/>
        </w:sectPr>
      </w:pPr>
    </w:p>
    <w:bookmarkStart w:id="66" w:name="page67"/>
    <w:bookmarkEnd w:id="66"/>
    <w:p>
      <w:pPr>
        <w:spacing w:after="0" w:line="55" w:lineRule="exact"/>
        <w:rPr>
          <w:sz w:val="20"/>
          <w:szCs w:val="20"/>
          <w:color w:val="auto"/>
        </w:rPr>
      </w:pPr>
    </w:p>
    <w:p>
      <w:pPr>
        <w:ind w:left="540" w:hanging="208"/>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Section 431 Election</w:t>
      </w:r>
    </w:p>
    <w:p>
      <w:pPr>
        <w:spacing w:after="0" w:line="13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Where the Shares to be acquired on the exercise of, or other dealing in, the Award are considered to be "restricted securities" for the purposes of the UK tax legislation (such determination to be at the sole discretion of the Company), it is a condition of exercise or acquisition of the Shares that the Participant if so directed by the Company enter into a joint election with the Company or, if different, the relevant Subsidiary employing the Participant pursuant to section 431 ITEPA electing that the market value of the Shares to be acquired on the exercise of, or other dealing in, the Award be calculated as if the Shares were not </w:t>
      </w:r>
      <w:r>
        <w:rPr>
          <w:rFonts w:ascii="Arial" w:cs="Arial" w:eastAsia="Arial" w:hAnsi="Arial"/>
          <w:sz w:val="18"/>
          <w:szCs w:val="18"/>
          <w:b w:val="1"/>
          <w:bCs w:val="1"/>
          <w:color w:val="auto"/>
        </w:rPr>
        <w:t>"restricted securities"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Adopted by the Compensation Committee 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Howe, certify that:</w:t>
      </w: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LiveRamp Holding, Inc.;</w:t>
      </w:r>
    </w:p>
    <w:p>
      <w:pPr>
        <w:spacing w:after="0" w:line="198" w:lineRule="exact"/>
        <w:rPr>
          <w:rFonts w:ascii="Arial" w:cs="Arial" w:eastAsia="Arial" w:hAnsi="Arial"/>
          <w:sz w:val="18"/>
          <w:szCs w:val="18"/>
          <w:color w:val="auto"/>
        </w:rPr>
      </w:pPr>
    </w:p>
    <w:p>
      <w:pPr>
        <w:ind w:left="660" w:right="140" w:hanging="4"/>
        <w:spacing w:after="0" w:line="264" w:lineRule="auto"/>
        <w:tabs>
          <w:tab w:leader="none" w:pos="1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500" w:hanging="4"/>
        <w:spacing w:after="0" w:line="342" w:lineRule="auto"/>
        <w:tabs>
          <w:tab w:leader="none" w:pos="13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660" w:right="20" w:hanging="4"/>
        <w:spacing w:after="0" w:line="264" w:lineRule="auto"/>
        <w:tabs>
          <w:tab w:leader="none" w:pos="13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300" w:right="300" w:firstLine="5"/>
        <w:spacing w:after="0" w:line="286" w:lineRule="auto"/>
        <w:tabs>
          <w:tab w:leader="none" w:pos="1938"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300" w:right="440" w:firstLine="5"/>
        <w:spacing w:after="0" w:line="264" w:lineRule="auto"/>
        <w:tabs>
          <w:tab w:leader="none" w:pos="19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60" w:firstLine="5"/>
        <w:spacing w:after="0" w:line="342" w:lineRule="auto"/>
        <w:tabs>
          <w:tab w:leader="none" w:pos="1938"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00" w:right="140" w:firstLine="5"/>
        <w:spacing w:after="0" w:line="264" w:lineRule="auto"/>
        <w:tabs>
          <w:tab w:leader="none" w:pos="19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center"/>
        <w:ind w:left="660" w:right="140" w:hanging="4"/>
        <w:spacing w:after="0" w:line="342" w:lineRule="auto"/>
        <w:tabs>
          <w:tab w:leader="none" w:pos="13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right="40" w:firstLine="5"/>
        <w:spacing w:after="0" w:line="308" w:lineRule="auto"/>
        <w:tabs>
          <w:tab w:leader="none" w:pos="193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300" w:right="320" w:firstLine="5"/>
        <w:spacing w:after="0" w:line="277" w:lineRule="auto"/>
        <w:tabs>
          <w:tab w:leader="none" w:pos="19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00" w:val="left"/>
          <w:tab w:leader="none" w:pos="6240" w:val="left"/>
        </w:tabs>
        <w:rPr>
          <w:sz w:val="20"/>
          <w:szCs w:val="20"/>
          <w:color w:val="auto"/>
        </w:rPr>
      </w:pPr>
      <w:r>
        <w:rPr>
          <w:rFonts w:ascii="Arial" w:cs="Arial" w:eastAsia="Arial" w:hAnsi="Arial"/>
          <w:sz w:val="18"/>
          <w:szCs w:val="18"/>
          <w:color w:val="auto"/>
        </w:rPr>
        <w:t>Dated: August 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40640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Scott E. Howe</w:t>
      </w:r>
    </w:p>
    <w:p>
      <w:pPr>
        <w:spacing w:after="0" w:line="3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Warren C. Jenson, certify that:</w:t>
      </w:r>
    </w:p>
    <w:p>
      <w:pPr>
        <w:spacing w:after="0" w:line="200" w:lineRule="exact"/>
        <w:rPr>
          <w:sz w:val="20"/>
          <w:szCs w:val="20"/>
          <w:color w:val="auto"/>
        </w:rPr>
      </w:pPr>
    </w:p>
    <w:p>
      <w:pPr>
        <w:spacing w:after="0" w:line="20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LiveRamp Holdings, Inc.;</w:t>
      </w:r>
    </w:p>
    <w:p>
      <w:pPr>
        <w:spacing w:after="0" w:line="198" w:lineRule="exact"/>
        <w:rPr>
          <w:rFonts w:ascii="Arial" w:cs="Arial" w:eastAsia="Arial" w:hAnsi="Arial"/>
          <w:sz w:val="18"/>
          <w:szCs w:val="18"/>
          <w:color w:val="auto"/>
        </w:rPr>
      </w:pPr>
    </w:p>
    <w:p>
      <w:pPr>
        <w:ind w:left="660" w:right="140" w:hanging="4"/>
        <w:spacing w:after="0" w:line="264" w:lineRule="auto"/>
        <w:tabs>
          <w:tab w:leader="none" w:pos="1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500" w:hanging="4"/>
        <w:spacing w:after="0" w:line="342" w:lineRule="auto"/>
        <w:tabs>
          <w:tab w:leader="none" w:pos="13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660" w:right="20" w:hanging="4"/>
        <w:spacing w:after="0" w:line="264" w:lineRule="auto"/>
        <w:tabs>
          <w:tab w:leader="none" w:pos="1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300" w:right="300" w:firstLine="5"/>
        <w:spacing w:after="0" w:line="286" w:lineRule="auto"/>
        <w:tabs>
          <w:tab w:leader="none" w:pos="1938" w:val="left"/>
        </w:tabs>
        <w:numPr>
          <w:ilvl w:val="1"/>
          <w:numId w:val="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300" w:right="440" w:firstLine="5"/>
        <w:spacing w:after="0" w:line="264" w:lineRule="auto"/>
        <w:tabs>
          <w:tab w:leader="none" w:pos="19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60" w:firstLine="5"/>
        <w:spacing w:after="0" w:line="342" w:lineRule="auto"/>
        <w:tabs>
          <w:tab w:leader="none" w:pos="1938"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jc w:val="both"/>
        <w:ind w:left="1300" w:right="140" w:firstLine="5"/>
        <w:spacing w:after="0" w:line="264" w:lineRule="auto"/>
        <w:tabs>
          <w:tab w:leader="none" w:pos="19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center"/>
        <w:ind w:left="660" w:right="140" w:hanging="4"/>
        <w:spacing w:after="0" w:line="342" w:lineRule="auto"/>
        <w:tabs>
          <w:tab w:leader="none" w:pos="13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right="40" w:firstLine="5"/>
        <w:spacing w:after="0" w:line="308" w:lineRule="auto"/>
        <w:tabs>
          <w:tab w:leader="none" w:pos="1938"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7"/>
          <w:szCs w:val="17"/>
          <w:color w:val="auto"/>
        </w:rPr>
      </w:pPr>
    </w:p>
    <w:p>
      <w:pPr>
        <w:ind w:left="1300" w:right="320" w:firstLine="5"/>
        <w:spacing w:after="0" w:line="277" w:lineRule="auto"/>
        <w:tabs>
          <w:tab w:leader="none" w:pos="19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Dated: August 5, 2019</w:t>
            </w:r>
          </w:p>
        </w:tc>
        <w:tc>
          <w:tcPr>
            <w:tcW w:w="260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Warren C. Jenson</w:t>
            </w:r>
          </w:p>
        </w:tc>
      </w:tr>
      <w:tr>
        <w:trPr>
          <w:trHeight w:val="222"/>
        </w:trPr>
        <w:tc>
          <w:tcPr>
            <w:tcW w:w="3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(Signature)</w:t>
            </w:r>
          </w:p>
        </w:tc>
      </w:tr>
      <w:tr>
        <w:trPr>
          <w:trHeight w:val="230"/>
        </w:trPr>
        <w:tc>
          <w:tcPr>
            <w:tcW w:w="3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Warren C. Jenson</w:t>
            </w:r>
          </w:p>
        </w:tc>
      </w:tr>
      <w:tr>
        <w:trPr>
          <w:trHeight w:val="229"/>
        </w:trPr>
        <w:tc>
          <w:tcPr>
            <w:tcW w:w="3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President, Chief Financial Officer and Executive Managing Director</w:t>
            </w:r>
          </w:p>
        </w:tc>
      </w:tr>
      <w:tr>
        <w:trPr>
          <w:trHeight w:val="230"/>
        </w:trPr>
        <w:tc>
          <w:tcPr>
            <w:tcW w:w="3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of International</w:t>
            </w:r>
          </w:p>
        </w:tc>
      </w:tr>
    </w:tbl>
    <w:p>
      <w:pPr>
        <w:sectPr>
          <w:pgSz w:w="11900" w:h="16838" w:orient="portrait"/>
          <w:cols w:equalWidth="0" w:num="1">
            <w:col w:w="11420"/>
          </w:cols>
          <w:pgMar w:left="240" w:top="9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June 30, 2019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440" w:hanging="4"/>
        <w:spacing w:after="0" w:line="277" w:lineRule="auto"/>
        <w:tabs>
          <w:tab w:leader="none" w:pos="13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6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Scott E. Howe</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August 5, 2019</w:t>
      </w:r>
    </w:p>
    <w:p>
      <w:pPr>
        <w:sectPr>
          <w:pgSz w:w="11900" w:h="16838" w:orient="portrait"/>
          <w:cols w:equalWidth="0" w:num="1">
            <w:col w:w="11420"/>
          </w:cols>
          <w:pgMar w:left="240" w:top="9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accompanying Quarterly Report on Form 10-Q of LiveRamp Holdings, Inc. (the “Company”) for the period ending June 30, 2019 as filed with the Securities and Exchange Commission on the date hereof (the “Report”), I, Warren C. Jenson, Chief Financial Officer &amp; Executive Managing Director of International of the Company, certify, pursuant to 18 U.S.C. § 1350, as adopted pursuant to § 906 of the Sarbanes-Oxley Act of 2002, to my knowledge, that:</w:t>
      </w:r>
    </w:p>
    <w:p>
      <w:pPr>
        <w:spacing w:after="0" w:line="214"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440" w:hanging="4"/>
        <w:spacing w:after="0" w:line="277" w:lineRule="auto"/>
        <w:tabs>
          <w:tab w:leader="none" w:pos="13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Warren C.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14605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Warren C. Jenson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Chief Financial Officer and Executive Managing</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Director of International</w:t>
      </w:r>
    </w:p>
    <w:p>
      <w:pPr>
        <w:spacing w:after="0" w:line="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5, 2019</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3"/>
    </w:lvl>
  </w:abstractNum>
  <w:abstractNum w:abstractNumId="3">
    <w:nsid w:val="2463B9EA"/>
    <w:multiLevelType w:val="hybridMultilevel"/>
    <w:lvl w:ilvl="0">
      <w:lvlJc w:val="left"/>
      <w:lvlText w:val="%1."/>
      <w:numFmt w:val="decimal"/>
      <w:start w:val="4"/>
    </w:lvl>
  </w:abstractNum>
  <w:abstractNum w:abstractNumId="4">
    <w:nsid w:val="5E884ADC"/>
    <w:multiLevelType w:val="hybridMultilevel"/>
    <w:lvl w:ilvl="0">
      <w:lvlJc w:val="left"/>
      <w:lvlText w:val="%1."/>
      <w:numFmt w:val="decimal"/>
      <w:start w:val="5"/>
    </w:lvl>
  </w:abstractNum>
  <w:abstractNum w:abstractNumId="5">
    <w:nsid w:val="51EAD36B"/>
    <w:multiLevelType w:val="hybridMultilevel"/>
    <w:lvl w:ilvl="0">
      <w:lvlJc w:val="left"/>
      <w:lvlText w:val="%1."/>
      <w:numFmt w:val="decimal"/>
      <w:start w:val="7"/>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lvl w:ilvl="1">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decimal"/>
      <w:start w:val="101"/>
    </w:lvl>
  </w:abstractNum>
  <w:abstractNum w:abstractNumId="17">
    <w:nsid w:val="7A6D8D3C"/>
    <w:multiLevelType w:val="hybridMultilevel"/>
    <w:lvl w:ilvl="0">
      <w:lvlJc w:val="left"/>
      <w:lvlText w:val="%1."/>
      <w:numFmt w:val="decimal"/>
      <w:start w:val="1"/>
    </w:lvl>
    <w:lvl w:ilvl="1">
      <w:lvlJc w:val="left"/>
      <w:lvlText w:val="(%2)"/>
      <w:numFmt w:val="lowerLetter"/>
      <w:start w:val="1"/>
    </w:lvl>
  </w:abstractNum>
  <w:abstractNum w:abstractNumId="18">
    <w:nsid w:val="4B588F54"/>
    <w:multiLevelType w:val="hybridMultilevel"/>
    <w:lvl w:ilvl="0">
      <w:lvlJc w:val="left"/>
      <w:lvlText w:val="(%1)"/>
      <w:numFmt w:val="lowerLetter"/>
      <w:start w:val="3"/>
    </w:lvl>
  </w:abstractNum>
  <w:abstractNum w:abstractNumId="19">
    <w:nsid w:val="542289EC"/>
    <w:multiLevelType w:val="hybridMultilevel"/>
    <w:lvl w:ilvl="0">
      <w:lvlJc w:val="left"/>
      <w:lvlText w:val="(%1)"/>
      <w:numFmt w:val="lowerLetter"/>
      <w:start w:val="9"/>
    </w:lvl>
  </w:abstractNum>
  <w:abstractNum w:abstractNumId="20">
    <w:nsid w:val="6DE91B18"/>
    <w:multiLevelType w:val="hybridMultilevel"/>
    <w:lvl w:ilvl="0">
      <w:lvlJc w:val="left"/>
      <w:lvlText w:val="(%1)"/>
      <w:numFmt w:val="lowerLetter"/>
      <w:start w:val="20"/>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3"/>
    </w:lvl>
  </w:abstractNum>
  <w:abstractNum w:abstractNumId="23">
    <w:nsid w:val="32FFF902"/>
    <w:multiLevelType w:val="hybridMultilevel"/>
    <w:lvl w:ilvl="0">
      <w:lvlJc w:val="left"/>
      <w:lvlText w:val="(%1)"/>
      <w:numFmt w:val="lowerLetter"/>
      <w:start w:val="25"/>
    </w:lvl>
  </w:abstractNum>
  <w:abstractNum w:abstractNumId="24">
    <w:nsid w:val="684A481A"/>
    <w:multiLevelType w:val="hybridMultilevel"/>
    <w:lvl w:ilvl="0">
      <w:lvlJc w:val="left"/>
      <w:lvlText w:val="(%1)"/>
      <w:numFmt w:val="lowerLetter"/>
      <w:start w:val="27"/>
    </w:lvl>
  </w:abstractNum>
  <w:abstractNum w:abstractNumId="25">
    <w:nsid w:val="579478FE"/>
    <w:multiLevelType w:val="hybridMultilevel"/>
    <w:lvl w:ilvl="0">
      <w:lvlJc w:val="left"/>
      <w:lvlText w:val="%1"/>
      <w:numFmt w:val="decimal"/>
      <w:start w:val="1"/>
    </w:lvl>
    <w:lvl w:ilvl="1">
      <w:lvlJc w:val="left"/>
      <w:lvlText w:val="(%2)"/>
      <w:numFmt w:val="lowerLetter"/>
      <w:start w:val="30"/>
    </w:lvl>
    <w:lvl w:ilvl="2">
      <w:lvlJc w:val="left"/>
      <w:lvlText w:val="%3"/>
      <w:numFmt w:val="lowerLetter"/>
      <w:start w:val="1"/>
    </w:lvl>
  </w:abstractNum>
  <w:abstractNum w:abstractNumId="26">
    <w:nsid w:val="749ABB4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7">
    <w:nsid w:val="3DC240FB"/>
    <w:multiLevelType w:val="hybridMultilevel"/>
    <w:lvl w:ilvl="0">
      <w:lvlJc w:val="left"/>
      <w:lvlText w:val="(%1)"/>
      <w:numFmt w:val="lowerLetter"/>
      <w:start w:val="4"/>
    </w:lvl>
  </w:abstractNum>
  <w:abstractNum w:abstractNumId="28">
    <w:nsid w:val="1BA026FA"/>
    <w:multiLevelType w:val="hybridMultilevel"/>
    <w:lvl w:ilvl="0">
      <w:lvlJc w:val="left"/>
      <w:lvlText w:val="%1."/>
      <w:numFmt w:val="decimal"/>
      <w:start w:val="4"/>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decimal"/>
      <w:start w:val="5"/>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2"/>
    </w:lvl>
    <w:lvl w:ilvl="1">
      <w:lvlJc w:val="left"/>
      <w:lvlText w:val="(%2)"/>
      <w:numFmt w:val="lowerRoman"/>
      <w:start w:val="1"/>
    </w:lvl>
  </w:abstractNum>
  <w:abstractNum w:abstractNumId="33">
    <w:nsid w:val="520EEDD1"/>
    <w:multiLevelType w:val="hybridMultilevel"/>
    <w:lvl w:ilvl="0">
      <w:lvlJc w:val="left"/>
      <w:lvlText w:val="(%1)"/>
      <w:numFmt w:val="lowerLetter"/>
      <w:start w:val="4"/>
    </w:lvl>
  </w:abstractNum>
  <w:abstractNum w:abstractNumId="34">
    <w:nsid w:val="374A3FE6"/>
    <w:multiLevelType w:val="hybridMultilevel"/>
    <w:lvl w:ilvl="0">
      <w:lvlJc w:val="left"/>
      <w:lvlText w:val="(%1)"/>
      <w:numFmt w:val="lowerLetter"/>
      <w:start w:val="5"/>
    </w:lvl>
    <w:lvl w:ilvl="1">
      <w:lvlJc w:val="left"/>
      <w:lvlText w:val="(%2)"/>
      <w:numFmt w:val="lowerRoman"/>
      <w:start w:val="1"/>
    </w:lvl>
  </w:abstractNum>
  <w:abstractNum w:abstractNumId="35">
    <w:nsid w:val="4F4EF005"/>
    <w:multiLevelType w:val="hybridMultilevel"/>
    <w:lvl w:ilvl="0">
      <w:lvlJc w:val="left"/>
      <w:lvlText w:val="(%1)"/>
      <w:numFmt w:val="lowerLetter"/>
      <w:start w:val="6"/>
    </w:lvl>
  </w:abstractNum>
  <w:abstractNum w:abstractNumId="36">
    <w:nsid w:val="23F9C1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649BB77C"/>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8">
    <w:nsid w:val="275AC7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3938657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0">
    <w:nsid w:val="1CF10FD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1">
    <w:nsid w:val="180115BE"/>
    <w:multiLevelType w:val="hybridMultilevel"/>
    <w:lvl w:ilvl="0">
      <w:lvlJc w:val="left"/>
      <w:lvlText w:val="(%1)"/>
      <w:numFmt w:val="lowerRoman"/>
      <w:start w:val="2"/>
    </w:lvl>
  </w:abstractNum>
  <w:abstractNum w:abstractNumId="42">
    <w:nsid w:val="235BA861"/>
    <w:multiLevelType w:val="hybridMultilevel"/>
    <w:lvl w:ilvl="0">
      <w:lvlJc w:val="left"/>
      <w:lvlText w:val="%1"/>
      <w:numFmt w:val="lowerLetter"/>
      <w:start w:val="1"/>
    </w:lvl>
    <w:lvl w:ilvl="1">
      <w:lvlJc w:val="left"/>
      <w:lvlText w:val="(%2)"/>
      <w:numFmt w:val="lowerRoman"/>
      <w:start w:val="9"/>
    </w:lvl>
  </w:abstractNum>
  <w:abstractNum w:abstractNumId="43">
    <w:nsid w:val="47398C89"/>
    <w:multiLevelType w:val="hybridMultilevel"/>
    <w:lvl w:ilvl="0">
      <w:lvlJc w:val="left"/>
      <w:lvlText w:val="(%1)"/>
      <w:numFmt w:val="lowerLetter"/>
      <w:start w:val="3"/>
    </w:lvl>
    <w:lvl w:ilvl="1">
      <w:lvlJc w:val="left"/>
      <w:lvlText w:val="(%2)"/>
      <w:numFmt w:val="lowerRoman"/>
      <w:start w:val="1"/>
    </w:lvl>
  </w:abstractNum>
  <w:abstractNum w:abstractNumId="44">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15B5AF5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6">
    <w:nsid w:val="741226BB"/>
    <w:multiLevelType w:val="hybridMultilevel"/>
    <w:lvl w:ilvl="0">
      <w:lvlJc w:val="left"/>
      <w:lvlText w:val="%1"/>
      <w:numFmt w:val="decimal"/>
      <w:start w:val="1"/>
    </w:lvl>
    <w:lvl w:ilvl="1">
      <w:lvlJc w:val="left"/>
      <w:lvlText w:val="(%2)"/>
      <w:numFmt w:val="lowerLetter"/>
      <w:start w:val="3"/>
    </w:lvl>
  </w:abstractNum>
  <w:abstractNum w:abstractNumId="47">
    <w:nsid w:val="D34B6A8"/>
    <w:multiLevelType w:val="hybridMultilevel"/>
    <w:lvl w:ilvl="0">
      <w:lvlJc w:val="left"/>
      <w:lvlText w:val="%1."/>
      <w:numFmt w:val="decimal"/>
      <w:start w:val="10"/>
    </w:lvl>
    <w:lvl w:ilvl="1">
      <w:lvlJc w:val="left"/>
      <w:lvlText w:val="%2"/>
      <w:numFmt w:val="lowerLetter"/>
      <w:start w:val="1"/>
    </w:lvl>
  </w:abstractNum>
  <w:abstractNum w:abstractNumId="48">
    <w:nsid w:val="10233C99"/>
    <w:multiLevelType w:val="hybridMultilevel"/>
    <w:lvl w:ilvl="0">
      <w:lvlJc w:val="left"/>
      <w:lvlText w:val="%1"/>
      <w:numFmt w:val="upperLetter"/>
      <w:start w:val="1"/>
    </w:lvl>
    <w:lvl w:ilvl="1">
      <w:lvlJc w:val="left"/>
      <w:lvlText w:val="%2."/>
      <w:numFmt w:val="decimal"/>
      <w:start w:val="11"/>
    </w:lvl>
  </w:abstractNum>
  <w:abstractNum w:abstractNumId="49">
    <w:nsid w:val="3F6AB60F"/>
    <w:multiLevelType w:val="hybridMultilevel"/>
    <w:lvl w:ilvl="0">
      <w:lvlJc w:val="left"/>
      <w:lvlText w:val="(%1)"/>
      <w:numFmt w:val="upperLetter"/>
      <w:start w:val="5"/>
    </w:lvl>
    <w:lvl w:ilvl="1">
      <w:lvlJc w:val="left"/>
      <w:lvlText w:val="%2"/>
      <w:numFmt w:val="decimal"/>
      <w:start w:val="1"/>
    </w:lvl>
  </w:abstractNum>
  <w:abstractNum w:abstractNumId="50">
    <w:nsid w:val="61574095"/>
    <w:multiLevelType w:val="hybridMultilevel"/>
    <w:lvl w:ilvl="0">
      <w:lvlJc w:val="left"/>
      <w:lvlText w:val="%1."/>
      <w:numFmt w:val="decimal"/>
      <w:start w:val="12"/>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decimal"/>
      <w:start w:val="1"/>
    </w:lvl>
    <w:lvl w:ilvl="1">
      <w:lvlJc w:val="left"/>
      <w:lvlText w:val="(%2)"/>
      <w:numFmt w:val="lowerLetter"/>
      <w:start w:val="4"/>
    </w:lvl>
  </w:abstractNum>
  <w:abstractNum w:abstractNumId="53">
    <w:nsid w:val="579BE4F1"/>
    <w:multiLevelType w:val="hybridMultilevel"/>
    <w:lvl w:ilvl="0">
      <w:lvlJc w:val="left"/>
      <w:lvlText w:val="%1."/>
      <w:numFmt w:val="decimal"/>
      <w:start w:val="14"/>
    </w:lvl>
    <w:lvl w:ilvl="1">
      <w:lvlJc w:val="left"/>
      <w:lvlText w:val="(%2)"/>
      <w:numFmt w:val="lowerLetter"/>
      <w:start w:val="1"/>
    </w:lvl>
  </w:abstractNum>
  <w:abstractNum w:abstractNumId="54">
    <w:nsid w:val="310C50B3"/>
    <w:multiLevelType w:val="hybridMultilevel"/>
    <w:lvl w:ilvl="0">
      <w:lvlJc w:val="left"/>
      <w:lvlText w:val="%1"/>
      <w:numFmt w:val="decimal"/>
      <w:start w:val="1"/>
    </w:lvl>
    <w:lvl w:ilvl="1">
      <w:lvlJc w:val="left"/>
      <w:lvlText w:val="(%2)"/>
      <w:numFmt w:val="lowerLetter"/>
      <w:start w:val="35"/>
    </w:lvl>
  </w:abstractNum>
  <w:abstractNum w:abstractNumId="55">
    <w:nsid w:val="5FF87E05"/>
    <w:multiLevelType w:val="hybridMultilevel"/>
    <w:lvl w:ilvl="0">
      <w:lvlJc w:val="left"/>
      <w:lvlText w:val="%1"/>
      <w:numFmt w:val="decimal"/>
      <w:start w:val="1"/>
    </w:lvl>
    <w:lvl w:ilvl="1">
      <w:lvlJc w:val="left"/>
      <w:lvlText w:val="(%2)"/>
      <w:numFmt w:val="lowerLetter"/>
      <w:start w:val="2"/>
    </w:lvl>
  </w:abstractNum>
  <w:abstractNum w:abstractNumId="56">
    <w:nsid w:val="2F305DEF"/>
    <w:multiLevelType w:val="hybridMultilevel"/>
    <w:lvl w:ilvl="0">
      <w:lvlJc w:val="left"/>
      <w:lvlText w:val="%1"/>
      <w:numFmt w:val="decimal"/>
      <w:start w:val="1"/>
    </w:lvl>
    <w:lvl w:ilvl="1">
      <w:lvlJc w:val="left"/>
      <w:lvlText w:val="(%2)"/>
      <w:numFmt w:val="lowerLetter"/>
      <w:start w:val="5"/>
    </w:lvl>
  </w:abstractNum>
  <w:abstractNum w:abstractNumId="57">
    <w:nsid w:val="25A70BF7"/>
    <w:multiLevelType w:val="hybridMultilevel"/>
    <w:lvl w:ilvl="0">
      <w:lvlJc w:val="left"/>
      <w:lvlText w:val="%1."/>
      <w:numFmt w:val="decimal"/>
      <w:start w:val="15"/>
    </w:lvl>
    <w:lvl w:ilvl="1">
      <w:lvlJc w:val="left"/>
      <w:lvlText w:val="(%2)"/>
      <w:numFmt w:val="low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35"/>
    </w:lvl>
  </w:abstractNum>
  <w:abstractNum w:abstractNumId="59">
    <w:nsid w:val="4AD084E9"/>
    <w:multiLevelType w:val="hybridMultilevel"/>
    <w:lvl w:ilvl="0">
      <w:lvlJc w:val="left"/>
      <w:lvlText w:val="%1"/>
      <w:numFmt w:val="decimal"/>
      <w:start w:val="1"/>
    </w:lvl>
    <w:lvl w:ilvl="1">
      <w:lvlJc w:val="left"/>
      <w:lvlText w:val="(%2)"/>
      <w:numFmt w:val="lowerLetter"/>
      <w:start w:val="2"/>
    </w:lvl>
  </w:abstractNum>
  <w:abstractNum w:abstractNumId="60">
    <w:nsid w:val="1F48EAA1"/>
    <w:multiLevelType w:val="hybridMultilevel"/>
    <w:lvl w:ilvl="0">
      <w:lvlJc w:val="left"/>
      <w:lvlText w:val="%1"/>
      <w:numFmt w:val="decimal"/>
      <w:start w:val="1"/>
    </w:lvl>
    <w:lvl w:ilvl="1">
      <w:lvlJc w:val="left"/>
      <w:lvlText w:val="(%2)"/>
      <w:numFmt w:val="lowerLetter"/>
      <w:start w:val="4"/>
    </w:lvl>
  </w:abstractNum>
  <w:abstractNum w:abstractNumId="61">
    <w:nsid w:val="1381823A"/>
    <w:multiLevelType w:val="hybridMultilevel"/>
    <w:lvl w:ilvl="0">
      <w:lvlJc w:val="left"/>
      <w:lvlText w:val="%1."/>
      <w:numFmt w:val="decimal"/>
      <w:start w:val="16"/>
    </w:lvl>
    <w:lvl w:ilvl="1">
      <w:lvlJc w:val="left"/>
      <w:lvlText w:val="(%2)"/>
      <w:numFmt w:val="lowerLetter"/>
      <w:start w:val="1"/>
    </w:lvl>
  </w:abstractNum>
  <w:abstractNum w:abstractNumId="62">
    <w:nsid w:val="5DB70AE5"/>
    <w:multiLevelType w:val="hybridMultilevel"/>
    <w:lvl w:ilvl="0">
      <w:lvlJc w:val="left"/>
      <w:lvlText w:val="(%1)"/>
      <w:numFmt w:val="lowerLetter"/>
      <w:start w:val="3"/>
    </w:lvl>
  </w:abstractNum>
  <w:abstractNum w:abstractNumId="63">
    <w:nsid w:val="100F8FCA"/>
    <w:multiLevelType w:val="hybridMultilevel"/>
    <w:lvl w:ilvl="0">
      <w:lvlJc w:val="left"/>
      <w:lvlText w:val="(%1)"/>
      <w:numFmt w:val="lowerLetter"/>
      <w:start w:val="10"/>
    </w:lvl>
  </w:abstractNum>
  <w:abstractNum w:abstractNumId="64">
    <w:nsid w:val="6590700B"/>
    <w:multiLevelType w:val="hybridMultilevel"/>
    <w:lvl w:ilvl="0">
      <w:lvlJc w:val="left"/>
      <w:lvlText w:val="%1."/>
      <w:numFmt w:val="decimal"/>
      <w:start w:val="1"/>
    </w:lvl>
    <w:lvl w:ilvl="1">
      <w:lvlJc w:val="left"/>
      <w:lvlText w:val="(%2)"/>
      <w:numFmt w:val="lowerLetter"/>
      <w:start w:val="1"/>
    </w:lvl>
  </w:abstractNum>
  <w:abstractNum w:abstractNumId="65">
    <w:nsid w:val="15014ACB"/>
    <w:multiLevelType w:val="hybridMultilevel"/>
    <w:lvl w:ilvl="0">
      <w:lvlJc w:val="left"/>
      <w:lvlText w:val="%1."/>
      <w:numFmt w:val="decimal"/>
      <w:start w:val="4"/>
    </w:lvl>
  </w:abstractNum>
  <w:abstractNum w:abstractNumId="66">
    <w:nsid w:val="5F5E7FD0"/>
    <w:multiLevelType w:val="hybridMultilevel"/>
    <w:lvl w:ilvl="0">
      <w:lvlJc w:val="left"/>
      <w:lvlText w:val="(%1)"/>
      <w:numFmt w:val="lowerLetter"/>
      <w:start w:val="1"/>
    </w:lvl>
    <w:lvl w:ilvl="1">
      <w:lvlJc w:val="left"/>
      <w:lvlText w:val="(%2)"/>
      <w:numFmt w:val="lowerRoman"/>
      <w:start w:val="1"/>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decimal"/>
      <w:start w:val="7"/>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2019-11-30T10:32:23Z</dcterms:created>
  <dcterms:modified xsi:type="dcterms:W3CDTF">2019-11-30T10:32:23Z</dcterms:modified>
</cp:coreProperties>
</file>