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_doc.xml.htm"/>
      <w:bookmarkStart w:id="1" w:name="ksprimary_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Sharma Vihan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LIVERAMP HOLDINGS,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225 BUSH STREET, 17TH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FRANCISCO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94104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LiveRamp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RAMP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REVENUE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8"/>
        <w:gridCol w:w="900"/>
        <w:gridCol w:w="771"/>
        <w:gridCol w:w="598"/>
        <w:gridCol w:w="345"/>
        <w:gridCol w:w="878"/>
        <w:gridCol w:w="446"/>
        <w:gridCol w:w="749"/>
        <w:gridCol w:w="1147"/>
        <w:gridCol w:w="986"/>
        <w:gridCol w:w="91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6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$.10 PAR VALUE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1,602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37.58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194,816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6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$.10 PAR VALUE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1,815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37.58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193,001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shares were withheld by the Issuer to satisfy the reporting person's tax obligations that arose on August 22, 2026, when restricted stock units belonging to the reporting person vested.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BY: JERRY C. JONES, ATTORNEY-IN-FACT FOR: VIHAN SHARMA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04883" TargetMode="External"/><Relationship Id="rId5" Type="http://schemas.openxmlformats.org/officeDocument/2006/relationships/hyperlink" Target="http://www.sec.gov/cgi-bin/browse-edgar?action=getcompany&amp;CIK=000073326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618</Words>
  <Characters>3355</Characters>
  <CharactersWithSpaces>3897</CharactersWithSpaces>
  <Paragraphs>104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