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gif" ContentType="image/gif"/>
  <Override PartName="/word/media/image3.jpeg" ContentType="image/jpeg"/>
  <Override PartName="/word/media/image24.jpeg" ContentType="image/jpeg"/>
  <Override PartName="/word/media/image9.jpeg" ContentType="image/jpeg"/>
  <Override PartName="/word/media/image13.jpeg" ContentType="image/jpeg"/>
  <Override PartName="/word/media/image8.jpeg" ContentType="image/jpeg"/>
  <Override PartName="/word/media/image10.jpeg" ContentType="image/jpeg"/>
  <Override PartName="/word/media/image7.jpeg" ContentType="image/jpeg"/>
  <Override PartName="/word/media/image6.jpeg" ContentType="image/jpeg"/>
  <Override PartName="/word/media/image27.jpeg" ContentType="image/jpeg"/>
  <Override PartName="/word/media/image11.gif" ContentType="image/gif"/>
  <Override PartName="/word/media/image5.jpeg" ContentType="image/jpeg"/>
  <Override PartName="/word/media/image2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4.jpeg" ContentType="image/jpeg"/>
  <Override PartName="/word/media/image2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4528-1_prem14a.htm"/>
        <w:bookmarkStart w:id="1" w:name="kstm2645281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393"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UNITED STATES</w:t>
        <w:br/>
        <w:t>SECURITIES AND EXCHANGE COMMISSION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Proxy Statement Pursuant to Section 14(a) of the</w:t>
        <w:br/>
        <w:t>Securities Exchange Act of 1934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Soliciting Material under §240.14a-12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LiveRamp Holdings, Inc. </w:t>
      </w:r>
    </w:p>
    <w:p>
      <w:pPr>
        <w:pStyle w:val="TextBody"/>
        <w:bidi w:val="0"/>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(Name of Registrant as Specified In Its Charter)</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20" w:after="283"/>
        <w:jc w:val="center"/>
        <w:rPr>
          <w:caps w:val="false"/>
          <w:smallCaps w:val="false"/>
          <w:color w:val="000000"/>
        </w:rPr>
      </w:pPr>
      <w:r>
        <w:rPr>
          <w:caps w:val="false"/>
          <w:smallCaps w:val="false"/>
          <w:color w:val="000000"/>
        </w:rPr>
        <w:t>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(Name of Person(s) Filing Proxy Statement, if other than the Registrant)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computed on table in exhibit required by Item 25(b) per Exchange Act Rules 14a-6(i)(1) and 0-11.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680" w:right="0" w:hanging="0"/>
        <w:jc w:val="center"/>
        <w:rPr>
          <w:rFonts w:ascii="Arial;Helvetica;sans-serif" w:hAnsi="Arial;Helvetica;sans-serif"/>
          <w:b/>
          <w:i w:val="false"/>
          <w:caps w:val="false"/>
          <w:smallCaps w:val="false"/>
          <w:color w:val="EB0028"/>
          <w:sz w:val="20"/>
        </w:rPr>
      </w:pPr>
      <w:r>
        <w:rPr>
          <w:rFonts w:ascii="Arial;Helvetica;sans-serif" w:hAnsi="Arial;Helvetica;sans-serif"/>
          <w:b/>
          <w:i w:val="false"/>
          <w:caps w:val="false"/>
          <w:smallCaps w:val="false"/>
          <w:color w:val="EB0028"/>
          <w:sz w:val="20"/>
        </w:rPr>
        <w:t>PRELIMINARY PROXY STATEMENT SUBJECT TO COMPLETION, DATED JUNE 24, 2026</w:t>
      </w:r>
      <w:r>
        <w:rPr>
          <w:rFonts w:ascii="Arial;Helvetica;sans-serif" w:hAnsi="Arial;Helvetica;sans-serif"/>
          <w:b/>
          <w:i w:val="false"/>
          <w:caps w:val="false"/>
          <w:smallCaps w:val="false"/>
          <w:color w:val="000000"/>
          <w:spacing w:val="4"/>
          <w:sz w:val="20"/>
        </w:rPr>
        <w:t xml:space="preserve">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1276350" cy="2286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276350" cy="2286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72"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br/>
        <w:t>225 Bush Street, Seventeenth Floor</w:t>
        <w:br/>
        <w:t>San Francisco, California 94104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 2026​</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THE STOCKHOLDERS OF LIVERAMP HOLDINGS,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16, 2026, LiveRamp Holdings, Inc., a Delaware corporation (“LiveRamp” or the “Company”), entered into an Agreement and Plan of Merger (as it may be amended or supplemented from time to time, the “Merger Agreement”) by and among LiveRamp, MMS USA Holdings, Inc., a Delaware corporation (“Parent”), Covey Merger Sub, Inc., a Delaware corporation and a wholly owned direct Subsidiary of Parent (“Merger Sub”), and, solely for the purposes of Section 10.14 of the Merger Agreement, Publicis Groupe S.A., a French société anonyme (“Publicis”), pursuant to which LiveRamp will be acquired by Parent. A summary of the Merger Agreement is included in the proxy statement accompanying this letter under the section entitled “</w:t>
      </w:r>
      <w:r>
        <w:rPr>
          <w:rFonts w:ascii="Arial;Helvetica;sans-serif" w:hAnsi="Arial;Helvetica;sans-serif"/>
          <w:b w:val="false"/>
          <w:i/>
          <w:caps w:val="false"/>
          <w:smallCaps w:val="false"/>
          <w:color w:val="000000"/>
          <w:sz w:val="20"/>
        </w:rPr>
        <w:t>The Merger Agreement</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acquisition will be completed by merging Merger Sub, with and into LiveRamp (the “Merger”) with LiveRamp surviving the merger to become a wholly owned direct subsidiary of Parent (the “Surviving Company”). If the Merger is completed, each share of Company common stock, par value $0.10 per share (“Common Stock”), issued and outstanding immediately prior to the effective time of the Merger (the “Effective Time”) (other than any (i) Common Stock owned by stockholders that have properly perfected their rights of appraisal within the meaning of Section 262 of the Delaware General Corporation Law (the “DGCL”), (ii) Common Stock owned or held in treasury by LiveRamp, Parent or Merger Sub and (iii) Common Stock owned by any direct or indirect wholly owned subsidiary of Parent (other than Merger Sub) or of the Company) will be converted into the right to receive $38.50 in cash, without interest.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of directors of LiveRamp (the “Board”) unanimously (i) determined that the terms of the Merger Agreement and the transactions contemplated thereby, including the Merger (the “Transactions”), are fair to, and in the best interests of, the Company and its stockholders, (ii) determined that it is in the best interests of the Company and its stockholders and declared it advisable to enter into the Merger Agreement, (iii) approved the execution and delivery of the Merger Agreement by the Company, the performance by the Company of its covenants and agreements contained therein and the consummation of the Merger and the other transactions contemplated by the Merger Agreement upon the terms and subject to the conditions contained therein, and (iv) resolved to recommend that the stockholders of the Company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hold a special meeting of stockholders in lieu of an annual meeting (the “Special Meeting”) on [      ], 2026 at [      ] (Pacific Time) (unless the Special Meeting is adjourned or postponed), via the internet at www.virtualshareholdermeeting.com/RAMP2026. Please note you will not be able to attend the Special Meeting physically in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At the Special Meeting, LiveRamp stockholders will be asked to consider and vote on (1) the proposal to adopt the Merger Agreement (the “Merger Agreement Proposal”), (2) the proposal to adjourn the Special Meeting, and any adjourned session of the Special Meeting, if necessary or appropriate, to solicit additional proxies if there are insufficient votes to adopt the Merger Agreement Proposal, (3) the proposal to elect as directors the three nominees named in the attached proxy statement for a three-year term expiring in 2029, (4) the proposal to approve an increase in the number of shares available for issuance under the Company’s Amended and Restated 2005 Equity Compensation Plan (the “2005 Plan”), (5) the proposal to approve, on an advisory (non-binding) basis, the compensation of our named executive officers, (6) the proposal to ratify the selection of KPMG LLP as the Company’s independent registered public accountant for fiscal year 2027, (7) the proposal to approve, on an advisory (non-binding) basis, the compensation that may be paid or become payable to LiveRamp’s named executive officers that is based on or otherwise relates to the Merger and (8) any other business that may properly come before the Special Meeting or any postponement or adjournment thereof. </w:t>
      </w:r>
      <w:r>
        <w:rPr>
          <w:rFonts w:ascii="Arial;Helvetica;sans-serif" w:hAnsi="Arial;Helvetica;sans-serif"/>
          <w:b/>
          <w:i w:val="false"/>
          <w:caps w:val="false"/>
          <w:smallCaps w:val="false"/>
          <w:color w:val="000000"/>
          <w:sz w:val="20"/>
        </w:rPr>
        <w:t>The Board recommends that LiveRamp stockholders vote “FOR” each of the proposals to be considered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Your vote is very important, regardless of the number of shares of Common Stock that you own. Because LiveRamp stockholders cannot take any action at the Special Meeting unless a majority of the shares of Common Stock outstanding and entitled to vote thereat is represented, it is important that you attend the Special Meeting virtually or are represented by proxy at the Special Meeting. </w:t>
      </w:r>
      <w:r>
        <w:rPr>
          <w:rFonts w:ascii="Arial;Helvetica;sans-serif" w:hAnsi="Arial;Helvetica;sans-serif"/>
          <w:b w:val="false"/>
          <w:i w:val="false"/>
          <w:caps w:val="false"/>
          <w:smallCaps w:val="false"/>
          <w:color w:val="000000"/>
          <w:sz w:val="20"/>
        </w:rPr>
        <w:t xml:space="preserve">The Merger cannot be completed unless the Merger Agreement Proposal is approved by the affirmative vote of the holders of at least sixty-six and two-thirds percent (66 2/3%) of the outstanding shares of Common Stock entitled to vote thereon. Whether or not you plan to attend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874"/>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Special Meeting virtually, please complete, date, sign and return, as promptly as possible, the enclosed proxy card in the accompanying postage-prepaid reply envelope, or submit your proxy by telephone or the internet. If your shares of Common Stock are held in “street name” by your bank, broker or other nominee, your bank, broker or other nominee will be unable to vote your shares of Common Stock without instructions from you. You should instruct your bank, broker or other nominee to vote your shares of Common Stock in accordance with the procedures provided by your bank, broker or other nominee. </w:t>
      </w:r>
      <w:r>
        <w:rPr>
          <w:rFonts w:ascii="Arial;Helvetica;sans-serif" w:hAnsi="Arial;Helvetica;sans-serif"/>
          <w:b/>
          <w:i w:val="false"/>
          <w:caps w:val="false"/>
          <w:smallCaps w:val="false"/>
          <w:color w:val="000000"/>
          <w:sz w:val="20"/>
        </w:rPr>
        <w:t>If your shares of Common Stock are held in your name and you fail to return your proxy card, submit your proxy by telephone or via the internet or vote virtually at the Special Meeting, or if your shares of Common Stock are held in “street name” by your bank, broker or other nominee and you fail to instruct your bank, broker or other nominee to vote your shares of Common Stock, then this will have the same effect as a vote “AGAINST”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LiveRamp stockholders who do not vote in favor of the Merger Agreement Proposal, who duly demand appraisal in writing to LiveRamp prior to the Special Meeting and comply with all applicable requirements of Delaware law will be entitled to rights of appraisal to obtain the fair value of their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In addition, you may revoke your proxy by attending the Special Meeting and voting your shares of Common Stock via the virtual meeting website; however, attending the Special Meeting alone will not revoke your written, internet or telephone proxy, as the case may be, unless you specifically request revocation or vote your shares of Common Stock via the virtual meeting website during the Special Meeting. The accompanying proxy statement provides you with detailed information about the Special Meeting, the Merger Agreement and the Merger.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the accompanying proxy statement. We encourage you to read the entire proxy statement, and its annexes, including the Merger Agreement, carefully. You may also obtain additional information about LiveRamp from documents we have filed with the U.S. Securities and Exchange Commission (the “SEC”). We recommend that you review the section entitled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in our Annual Report on Form 10-K for the fiscal year ended March 31, 2026, which is incorporated by reference into the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have any questions or need assistance voting your shares of Common Stock, please contact our proxy solicitor, Innisfree M&amp;A Incorporated, at (877) 750-0625 (toll-free) or (212) 750-5833 (banks and brokers).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hope that you will participate in the Special Meeting because your vote is important. Thank you for your consideration of this matter and your confidence in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60" w:after="283"/>
        <w:ind w:left="10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8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Jerry C. Jones </w:t>
        <w:br/>
        <w:t>Executive Vice President, Chief Ethics and Legal Officer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NEITHER THE SEC NOR ANY STATE SECURITIES COMMISSION HAS APPROVED OR DISAPPROVED OF THE MERGER, PASSED UPON THE MERITS OR FAIRNESS OF THE MERGER AGREEMENT OR THE TRANSACTIONS CONTEMPLATED THEREBY, INCLUDING THE MERGER, OR PASSED UPON THE ADEQUACY OR ACCURACY OF THE INFORMATION CONTAINED IN THE ACCOMPANYING PROXY STATEMENT. ANY REPRESENTATION TO THE CONTRARY IS A CRIMINAL OFFENSE.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accompanying proxy statement is dated [      ], 2026, and, together with the enclosed form of proxy, is first being mailed to LiveRamp stockholders on or about [      ],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N</w:t>
      </w:r>
      <w:r>
        <w:rPr>
          <w:rFonts w:ascii="Arial;Helvetica;sans-serif" w:hAnsi="Arial;Helvetica;sans-serif"/>
          <w:b/>
          <w:i w:val="false"/>
          <w:caps w:val="false"/>
          <w:smallCaps w:val="false"/>
          <w:color w:val="000000"/>
          <w:sz w:val="40"/>
        </w:rPr>
        <w:t xml:space="preserve">OTICE OF </w:t>
      </w: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 xml:space="preserve">PECIAL </w:t>
      </w:r>
      <w:r>
        <w:rPr>
          <w:rFonts w:ascii="Arial;Helvetica;sans-serif" w:hAnsi="Arial;Helvetica;sans-serif"/>
          <w:b/>
          <w:i w:val="false"/>
          <w:caps w:val="false"/>
          <w:smallCaps w:val="false"/>
          <w:color w:val="000000"/>
          <w:sz w:val="40"/>
        </w:rPr>
        <w:t>M</w:t>
      </w:r>
      <w:r>
        <w:rPr>
          <w:rFonts w:ascii="Arial;Helvetica;sans-serif" w:hAnsi="Arial;Helvetica;sans-serif"/>
          <w:b/>
          <w:i w:val="false"/>
          <w:caps w:val="false"/>
          <w:smallCaps w:val="false"/>
          <w:color w:val="000000"/>
          <w:sz w:val="40"/>
        </w:rPr>
        <w:t xml:space="preserve">EETING OF </w:t>
      </w: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TOCKHOLDERS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361"/>
        <w:gridCol w:w="109"/>
        <w:gridCol w:w="109"/>
        <w:gridCol w:w="7667"/>
        <w:gridCol w:w="155"/>
      </w:tblGrid>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75260"/>
                      <wp:effectExtent l="0" t="0" r="0" b="0"/>
                      <wp:wrapNone/>
                      <wp:docPr id="11"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DATE &amp; TIME</w:t>
            </w:r>
            <w:r>
              <mc:AlternateContent>
                <mc:Choice Requires="wps">
                  <w:drawing>
                    <wp:anchor behindDoc="0" distT="0" distB="0" distL="0" distR="0" simplePos="0" locked="0" layoutInCell="1" allowOverlap="1" relativeHeight="53">
                      <wp:simplePos x="0" y="0"/>
                      <wp:positionH relativeFrom="page">
                        <wp:posOffset>-12700</wp:posOffset>
                      </wp:positionH>
                      <wp:positionV relativeFrom="line">
                        <wp:posOffset>635</wp:posOffset>
                      </wp:positionV>
                      <wp:extent cx="864235" cy="175260"/>
                      <wp:effectExtent l="0" t="0" r="0" b="0"/>
                      <wp:wrapNone/>
                      <wp:docPr id="12" name="Frame10"/>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13"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14"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left"/>
              <w:rPr/>
            </w:pPr>
            <w:r>
              <w:rPr/>
              <w:t xml:space="preserve">[      ], 2026 at [      ] (Pacific Time) </w:t>
            </w:r>
            <w:r>
              <mc:AlternateContent>
                <mc:Choice Requires="wps">
                  <w:drawing>
                    <wp:anchor behindDoc="0" distT="0" distB="0" distL="0" distR="0" simplePos="0" locked="0" layoutInCell="1" allowOverlap="1" relativeHeight="56">
                      <wp:simplePos x="0" y="0"/>
                      <wp:positionH relativeFrom="page">
                        <wp:posOffset>-12700</wp:posOffset>
                      </wp:positionH>
                      <wp:positionV relativeFrom="line">
                        <wp:posOffset>635</wp:posOffset>
                      </wp:positionV>
                      <wp:extent cx="4868545" cy="175260"/>
                      <wp:effectExtent l="0" t="0" r="0" b="0"/>
                      <wp:wrapNone/>
                      <wp:docPr id="15" name="Frame13"/>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8425" cy="175260"/>
                      <wp:effectExtent l="0" t="0" r="0" b="0"/>
                      <wp:wrapNone/>
                      <wp:docPr id="16" name="Frame1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8740" cy="175260"/>
                      <wp:effectExtent l="0" t="0" r="0" b="0"/>
                      <wp:wrapNone/>
                      <wp:docPr id="17" name="Frame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PLACE</w:t>
            </w:r>
            <w:r>
              <mc:AlternateContent>
                <mc:Choice Requires="wps">
                  <w:drawing>
                    <wp:anchor behindDoc="0" distT="0" distB="0" distL="0" distR="0" simplePos="0" locked="0" layoutInCell="1" allowOverlap="1" relativeHeight="59">
                      <wp:simplePos x="0" y="0"/>
                      <wp:positionH relativeFrom="page">
                        <wp:posOffset>-12700</wp:posOffset>
                      </wp:positionH>
                      <wp:positionV relativeFrom="line">
                        <wp:posOffset>635</wp:posOffset>
                      </wp:positionV>
                      <wp:extent cx="864235" cy="175260"/>
                      <wp:effectExtent l="0" t="0" r="0" b="0"/>
                      <wp:wrapNone/>
                      <wp:docPr id="18" name="Frame16"/>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19"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20"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The special meeting of stockholders in lieu of our annual meeting (the “Special Meeting”) of LiveRamp Holdings, Inc. (“LiveRamp”) will be held virtually via the internet at www.virtualshareholdermeeting.com/RAMP2026. You will not be able to attend the Special Meeting in person. </w:t>
            </w:r>
            <w:r>
              <mc:AlternateContent>
                <mc:Choice Requires="wps">
                  <w:drawing>
                    <wp:anchor behindDoc="0" distT="0" distB="0" distL="0" distR="0" simplePos="0" locked="0" layoutInCell="1" allowOverlap="1" relativeHeight="62">
                      <wp:simplePos x="0" y="0"/>
                      <wp:positionH relativeFrom="page">
                        <wp:posOffset>-12700</wp:posOffset>
                      </wp:positionH>
                      <wp:positionV relativeFrom="line">
                        <wp:posOffset>635</wp:posOffset>
                      </wp:positionV>
                      <wp:extent cx="4868545" cy="175260"/>
                      <wp:effectExtent l="0" t="0" r="0" b="0"/>
                      <wp:wrapNone/>
                      <wp:docPr id="21" name="Frame19"/>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8425" cy="175260"/>
                      <wp:effectExtent l="0" t="0" r="0" b="0"/>
                      <wp:wrapNone/>
                      <wp:docPr id="22" name="Frame2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8740" cy="175260"/>
                      <wp:effectExtent l="0" t="0" r="0" b="0"/>
                      <wp:wrapNone/>
                      <wp:docPr id="23" name="Frame2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ITEMS OF BUSINESS</w:t>
            </w:r>
            <w:r>
              <mc:AlternateContent>
                <mc:Choice Requires="wps">
                  <w:drawing>
                    <wp:anchor behindDoc="0" distT="0" distB="0" distL="0" distR="0" simplePos="0" locked="0" layoutInCell="1" allowOverlap="1" relativeHeight="65">
                      <wp:simplePos x="0" y="0"/>
                      <wp:positionH relativeFrom="page">
                        <wp:posOffset>-12700</wp:posOffset>
                      </wp:positionH>
                      <wp:positionV relativeFrom="line">
                        <wp:posOffset>635</wp:posOffset>
                      </wp:positionV>
                      <wp:extent cx="864235" cy="175260"/>
                      <wp:effectExtent l="0" t="0" r="0" b="0"/>
                      <wp:wrapNone/>
                      <wp:docPr id="24" name="Frame22"/>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25"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lineRule="atLeast" w:line="230" w:before="0" w:after="0"/>
              <w:ind w:left="400" w:right="0" w:hanging="0"/>
              <w:jc w:val="both"/>
              <w:rPr/>
            </w:pPr>
            <w:r>
              <w:rPr/>
              <w:t xml:space="preserve">To consider and vote on a proposal to adopt the Agreement and Plan of Merger (as it may be amended or supplemented from time to time, the “Merger Agreement”), dated May 16, 2026, by and among LiveRamp, MMS USA Holdings, Inc. (“Parent”), Covey Merger Sub, Inc., a wholly owned direct subsidiary of Parent (“Merger Sub”), and solely for the purposes of Section 10.14 of the Merger Agreement, Publicis Groupe S.A. (“Publicis”), a copy of which is included as </w:t>
            </w:r>
            <w:r>
              <w:rPr>
                <w:b/>
              </w:rPr>
              <w:t>Annex A</w:t>
            </w:r>
            <w:r>
              <w:rPr/>
              <w:t xml:space="preserve"> to the proxy statement of which this notice forms a part, and pursuant to which Merger Sub will be merged with and into LiveRamp, with LiveRamp surviving the Merger as a wholly owned direct subsidiary of Parent (the “Merger”, and such proposal the “Merger Agreement Proposal”);</w:t>
            </w:r>
            <w:r>
              <mc:AlternateContent>
                <mc:Choice Requires="wps">
                  <w:drawing>
                    <wp:anchor behindDoc="0" distT="0" distB="0" distL="127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8">
                      <wp:simplePos x="0" y="0"/>
                      <wp:positionH relativeFrom="page">
                        <wp:posOffset>-12700</wp:posOffset>
                      </wp:positionH>
                      <wp:positionV relativeFrom="line">
                        <wp:posOffset>635</wp:posOffset>
                      </wp:positionV>
                      <wp:extent cx="4868545" cy="175260"/>
                      <wp:effectExtent l="0" t="0" r="0" b="0"/>
                      <wp:wrapNone/>
                      <wp:docPr id="28" name="Frame25"/>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the proposal to adjourn the Special Meeting, and any adjourned session of the Special Meeting, if necessary or appropriate, to solicit additional proxies if there are insufficient votes to adopt the Merger Agreement Proposal (the “Adjournment Proposal”);</w:t>
            </w:r>
            <w:r>
              <mc:AlternateContent>
                <mc:Choice Requires="wps">
                  <w:drawing>
                    <wp:anchor behindDoc="0" distT="95250" distB="0" distL="127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elect as directors the three nominees named in the attached proxy statement for a three-year term expiring in 2029 (the “Director Election Proposal”);</w:t>
            </w:r>
            <w:r>
              <mc:AlternateContent>
                <mc:Choice Requires="wps">
                  <w:drawing>
                    <wp:anchor behindDoc="0" distT="95250" distB="0" distL="127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an increase in the number of shares available for issuance under LiveRamp’s Amended and Restated 2005 Equity Compensation Plan (the “2005 Plan”) (the “Share Increase Proposal”);</w:t>
            </w:r>
            <w:r>
              <mc:AlternateContent>
                <mc:Choice Requires="wps">
                  <w:drawing>
                    <wp:anchor behindDoc="0" distT="95250" distB="0" distL="127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on an advisory (non-binding) basis, the compensation of our named executive officers (the “Say-On-Pay Proposal”);</w:t>
            </w:r>
            <w:r>
              <mc:AlternateContent>
                <mc:Choice Requires="wps">
                  <w:drawing>
                    <wp:anchor behindDoc="0" distT="95250" distB="0" distL="127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ratify the selection of KPMG LLP as the Company’s independent registered public accountant for fiscal year 2027 (the “Auditor Ratification Proposal”);</w:t>
            </w:r>
            <w:r>
              <mc:AlternateContent>
                <mc:Choice Requires="wps">
                  <w:drawing>
                    <wp:anchor behindDoc="0" distT="9525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consider and vote on a proposal to approve, on an advisory (non-binding) basis, the compensation that may be paid or become payable to LiveRamp’s named executive officers that is based on or otherwise relates to the Merger (the “Merger Compensation Proposal”); and</w:t>
            </w:r>
            <w:r>
              <mc:AlternateContent>
                <mc:Choice Requires="wps">
                  <w:drawing>
                    <wp:anchor behindDoc="0" distT="9525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25"/>
              <w:ind w:left="400" w:right="0" w:hanging="0"/>
              <w:jc w:val="both"/>
              <w:rPr/>
            </w:pPr>
            <w:r>
              <w:rPr/>
              <w:t xml:space="preserve">To transact any other business that may properly come before the Special Meeting or any postponement or adjournment thereof. </w:t>
            </w:r>
            <w:r>
              <mc:AlternateContent>
                <mc:Choice Requires="wps">
                  <w:drawing>
                    <wp:anchor behindDoc="0" distT="95250" distB="15875"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1.25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8425" cy="175260"/>
                      <wp:effectExtent l="0" t="0" r="0" b="0"/>
                      <wp:wrapNone/>
                      <wp:docPr id="36" name="Frame3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8740" cy="175260"/>
                      <wp:effectExtent l="0" t="0" r="0" b="0"/>
                      <wp:wrapNone/>
                      <wp:docPr id="37" name="Frame3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RECORD DATE</w:t>
            </w:r>
            <w:r>
              <mc:AlternateContent>
                <mc:Choice Requires="wps">
                  <w:drawing>
                    <wp:anchor behindDoc="0" distT="0" distB="0" distL="0" distR="0" simplePos="0" locked="0" layoutInCell="1" allowOverlap="1" relativeHeight="79">
                      <wp:simplePos x="0" y="0"/>
                      <wp:positionH relativeFrom="page">
                        <wp:posOffset>-12700</wp:posOffset>
                      </wp:positionH>
                      <wp:positionV relativeFrom="line">
                        <wp:posOffset>635</wp:posOffset>
                      </wp:positionV>
                      <wp:extent cx="864235" cy="175260"/>
                      <wp:effectExtent l="0" t="0" r="0" b="0"/>
                      <wp:wrapNone/>
                      <wp:docPr id="38" name="Frame36"/>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3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40"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Holders of the Company’s common stock of record at the close of business on [  ], 2026 (the “Record Date”) are entitled to vote during the Special Meeting or any postponement or adjournment thereof. </w:t>
            </w:r>
            <w:r>
              <mc:AlternateContent>
                <mc:Choice Requires="wps">
                  <w:drawing>
                    <wp:anchor behindDoc="0" distT="0" distB="0" distL="0" distR="0" simplePos="0" locked="0" layoutInCell="1" allowOverlap="1" relativeHeight="82">
                      <wp:simplePos x="0" y="0"/>
                      <wp:positionH relativeFrom="page">
                        <wp:posOffset>-12700</wp:posOffset>
                      </wp:positionH>
                      <wp:positionV relativeFrom="line">
                        <wp:posOffset>635</wp:posOffset>
                      </wp:positionV>
                      <wp:extent cx="4868545" cy="175260"/>
                      <wp:effectExtent l="0" t="0" r="0" b="0"/>
                      <wp:wrapNone/>
                      <wp:docPr id="41" name="Frame39"/>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8425" cy="175260"/>
                      <wp:effectExtent l="0" t="0" r="0" b="0"/>
                      <wp:wrapNone/>
                      <wp:docPr id="42" name="Frame4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8740" cy="175260"/>
                      <wp:effectExtent l="0" t="0" r="0" b="0"/>
                      <wp:wrapNone/>
                      <wp:docPr id="43" name="Frame4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VOTING BY PROXY</w:t>
            </w:r>
            <w:r>
              <mc:AlternateContent>
                <mc:Choice Requires="wps">
                  <w:drawing>
                    <wp:anchor behindDoc="0" distT="0" distB="0" distL="0" distR="0" simplePos="0" locked="0" layoutInCell="1" allowOverlap="1" relativeHeight="85">
                      <wp:simplePos x="0" y="0"/>
                      <wp:positionH relativeFrom="page">
                        <wp:posOffset>-12700</wp:posOffset>
                      </wp:positionH>
                      <wp:positionV relativeFrom="line">
                        <wp:posOffset>635</wp:posOffset>
                      </wp:positionV>
                      <wp:extent cx="864235" cy="175260"/>
                      <wp:effectExtent l="0" t="0" r="0" b="0"/>
                      <wp:wrapNone/>
                      <wp:docPr id="44" name="Frame42"/>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45"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46"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The board of directors (the “Board”) of LiveRamp is soliciting your proxy to assure that a quorum is present and that your shares of our common stock, par value $0.10 per share (“Common Stock”), are represented and voted at the Special Meeting. For information on submitting your proxy over the internet, by telephone or by mailing back the enclosed proxy card (no extra postage is needed for the provided envelope if mailed in the United States), please see the attached proxy statement and enclosed proxy card. If you later decide to vote at the Special Meeting, information on revoking your proxy prior to the Special Meeting is also provided. </w:t>
            </w:r>
            <w:r>
              <mc:AlternateContent>
                <mc:Choice Requires="wps">
                  <w:drawing>
                    <wp:anchor behindDoc="0" distT="0" distB="0" distL="0" distR="0" simplePos="0" locked="0" layoutInCell="1" allowOverlap="1" relativeHeight="88">
                      <wp:simplePos x="0" y="0"/>
                      <wp:positionH relativeFrom="page">
                        <wp:posOffset>-12700</wp:posOffset>
                      </wp:positionH>
                      <wp:positionV relativeFrom="line">
                        <wp:posOffset>635</wp:posOffset>
                      </wp:positionV>
                      <wp:extent cx="4868545" cy="175260"/>
                      <wp:effectExtent l="0" t="0" r="0" b="0"/>
                      <wp:wrapNone/>
                      <wp:docPr id="47" name="Frame45"/>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8425" cy="175260"/>
                      <wp:effectExtent l="0" t="0" r="0" b="0"/>
                      <wp:wrapNone/>
                      <wp:docPr id="48" name="Frame4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2716"/>
        <w:gridCol w:w="109"/>
        <w:gridCol w:w="109"/>
        <w:gridCol w:w="6313"/>
        <w:gridCol w:w="154"/>
      </w:tblGrid>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8740" cy="175260"/>
                      <wp:effectExtent l="0" t="0" r="0" b="0"/>
                      <wp:wrapNone/>
                      <wp:docPr id="49" name="Frame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716" w:type="dxa"/>
            <w:tcBorders/>
            <w:vAlign w:val="center"/>
          </w:tcPr>
          <w:p>
            <w:pPr>
              <w:pStyle w:val="TableContents"/>
              <w:bidi w:val="0"/>
              <w:spacing w:before="0" w:after="0"/>
              <w:jc w:val="center"/>
              <w:rPr>
                <w:b/>
              </w:rPr>
            </w:pPr>
            <w:r>
              <w:rPr>
                <w:b/>
              </w:rPr>
              <w:t xml:space="preserve">VOTING DURING </w:t>
              <w:br/>
              <w:t>THE MEETING</w:t>
            </w:r>
            <w:r>
              <mc:AlternateContent>
                <mc:Choice Requires="wps">
                  <w:drawing>
                    <wp:anchor behindDoc="0" distT="0" distB="0" distL="0" distR="0" simplePos="0" locked="0" layoutInCell="1" allowOverlap="1" relativeHeight="91">
                      <wp:simplePos x="0" y="0"/>
                      <wp:positionH relativeFrom="page">
                        <wp:posOffset>-12700</wp:posOffset>
                      </wp:positionH>
                      <wp:positionV relativeFrom="line">
                        <wp:posOffset>635</wp:posOffset>
                      </wp:positionV>
                      <wp:extent cx="1724660" cy="175260"/>
                      <wp:effectExtent l="0" t="0" r="0" b="0"/>
                      <wp:wrapNone/>
                      <wp:docPr id="50" name="Frame4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51"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52"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6313" w:type="dxa"/>
            <w:tcBorders/>
            <w:vAlign w:val="center"/>
          </w:tcPr>
          <w:p>
            <w:pPr>
              <w:pStyle w:val="TableContents"/>
              <w:bidi w:val="0"/>
              <w:spacing w:before="0" w:after="0"/>
              <w:jc w:val="both"/>
              <w:rPr/>
            </w:pPr>
            <w:r>
              <w:rPr/>
              <w:t>If you are a stockholder of record and wish to attend the Special Meeting and vote via the internet, you will be able to attend and vote via the internet at www.virtualshareholdermeeting.com/RAMP2026, where you may submit your questions during the Special Meeting.</w:t>
            </w:r>
            <w:r>
              <mc:AlternateContent>
                <mc:Choice Requires="wps">
                  <w:drawing>
                    <wp:anchor behindDoc="0" distT="0" distB="0" distL="0" distR="0" simplePos="0" locked="0" layoutInCell="1" allowOverlap="1" relativeHeight="94">
                      <wp:simplePos x="0" y="0"/>
                      <wp:positionH relativeFrom="page">
                        <wp:posOffset>-12700</wp:posOffset>
                      </wp:positionH>
                      <wp:positionV relativeFrom="line">
                        <wp:posOffset>635</wp:posOffset>
                      </wp:positionV>
                      <wp:extent cx="4008755" cy="175260"/>
                      <wp:effectExtent l="0" t="0" r="0" b="0"/>
                      <wp:wrapNone/>
                      <wp:docPr id="53" name="Frame51"/>
                      <a:graphic xmlns:a="http://schemas.openxmlformats.org/drawingml/2006/main">
                        <a:graphicData uri="http://schemas.microsoft.com/office/word/2010/wordprocessingShape">
                          <wps:wsp>
                            <wps:cNvSpPr txBox="1"/>
                            <wps:spPr>
                              <a:xfrm>
                                <a:off x="0" y="0"/>
                                <a:ext cx="400875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6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120" w:after="283"/>
              <w:jc w:val="both"/>
              <w:rPr/>
            </w:pPr>
            <w:r>
              <w:rPr/>
              <w:t xml:space="preserve">If your shares of Common Stock are held by a broker, bank or other nominee, you must instruct the broker, bank or other nominee how to vote your shares of Common Stock or obtain a proxy, executed in your favor, from that record holder giving you the right to vote your shares of Common Stock at the Special Meeting. </w:t>
            </w:r>
          </w:p>
        </w:tc>
        <w:tc>
          <w:tcPr>
            <w:tcW w:w="15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7790" cy="175260"/>
                      <wp:effectExtent l="0" t="0" r="0" b="0"/>
                      <wp:wrapNone/>
                      <wp:docPr id="54" name="Frame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bottom w:val="single" w:sz="2" w:space="0" w:color="00BC6F"/>
            </w:tcBorders>
            <w:tcMar>
              <w:bottom w:w="28" w:type="dxa"/>
            </w:tcMar>
            <w:vAlign w:val="center"/>
          </w:tcPr>
          <w:p>
            <w:pPr>
              <w:pStyle w:val="TableContents"/>
              <w:bidi w:val="0"/>
              <w:spacing w:before="0" w:after="283"/>
              <w:jc w:val="left"/>
              <w:rPr/>
            </w:pPr>
            <w:r>
              <w:rPr/>
              <w:t>​</w:t>
            </w:r>
          </w:p>
        </w:tc>
        <w:tc>
          <w:tcPr>
            <w:tcW w:w="2716" w:type="dxa"/>
            <w:tcBorders>
              <w:bottom w:val="single" w:sz="2" w:space="0" w:color="00BC6F"/>
            </w:tcBorders>
            <w:tcMar>
              <w:bottom w:w="28" w:type="dxa"/>
            </w:tcMar>
            <w:vAlign w:val="center"/>
          </w:tcPr>
          <w:p>
            <w:pPr>
              <w:pStyle w:val="TableContents"/>
              <w:bidi w:val="0"/>
              <w:spacing w:before="0" w:after="0"/>
              <w:jc w:val="center"/>
              <w:rPr>
                <w:b/>
              </w:rPr>
            </w:pPr>
            <w:r>
              <w:rPr>
                <w:b/>
              </w:rPr>
              <w:t>RECOMMENDATIONS</w:t>
            </w:r>
          </w:p>
        </w:tc>
        <w:tc>
          <w:tcPr>
            <w:tcW w:w="109" w:type="dxa"/>
            <w:tcBorders>
              <w:bottom w:val="single" w:sz="2" w:space="0" w:color="00BC6F"/>
            </w:tcBorders>
            <w:tcMar>
              <w:bottom w:w="28" w:type="dxa"/>
            </w:tcMar>
            <w:vAlign w:val="center"/>
          </w:tcPr>
          <w:p>
            <w:pPr>
              <w:pStyle w:val="TableContents"/>
              <w:bidi w:val="0"/>
              <w:spacing w:before="0" w:after="283"/>
              <w:jc w:val="left"/>
              <w:rPr/>
            </w:pPr>
            <w:r>
              <w:rPr/>
              <w:t>​</w:t>
            </w:r>
          </w:p>
        </w:tc>
        <w:tc>
          <w:tcPr>
            <w:tcW w:w="109" w:type="dxa"/>
            <w:tcBorders>
              <w:bottom w:val="single" w:sz="2" w:space="0" w:color="00BC6F"/>
            </w:tcBorders>
            <w:tcMar>
              <w:bottom w:w="28" w:type="dxa"/>
            </w:tcMar>
            <w:vAlign w:val="center"/>
          </w:tcPr>
          <w:p>
            <w:pPr>
              <w:pStyle w:val="TableContents"/>
              <w:bidi w:val="0"/>
              <w:spacing w:before="0" w:after="283"/>
              <w:jc w:val="left"/>
              <w:rPr/>
            </w:pPr>
            <w:r>
              <w:rPr/>
              <w:t>​</w:t>
            </w:r>
          </w:p>
        </w:tc>
        <w:tc>
          <w:tcPr>
            <w:tcW w:w="6313" w:type="dxa"/>
            <w:tcBorders>
              <w:bottom w:val="single" w:sz="2" w:space="0" w:color="00BC6F"/>
            </w:tcBorders>
            <w:tcMar>
              <w:bottom w:w="130" w:type="dxa"/>
            </w:tcMar>
            <w:vAlign w:val="center"/>
          </w:tcPr>
          <w:p>
            <w:pPr>
              <w:pStyle w:val="TableContents"/>
              <w:bidi w:val="0"/>
              <w:spacing w:before="0" w:after="0"/>
              <w:jc w:val="left"/>
              <w:rPr/>
            </w:pPr>
            <w:r>
              <w:rPr/>
              <w:t xml:space="preserve">The Board recommends that you vote: </w:t>
            </w:r>
          </w:p>
          <w:p>
            <w:pPr>
              <w:pStyle w:val="TableContents"/>
              <w:bidi w:val="0"/>
              <w:spacing w:lineRule="atLeast" w:line="200" w:before="150" w:after="0"/>
              <w:ind w:left="400" w:right="0" w:hanging="0"/>
              <w:jc w:val="left"/>
              <w:rPr/>
            </w:pPr>
            <w:r>
              <w:rPr/>
              <w:t>“</w:t>
            </w:r>
            <w:r>
              <w:rPr>
                <w:b/>
              </w:rPr>
              <w:t>FOR</w:t>
            </w:r>
            <w:r>
              <w:rPr/>
              <w:t>” the Merger Agreement Proposal;</w:t>
            </w:r>
            <w:r>
              <mc:AlternateContent>
                <mc:Choice Requires="wps">
                  <w:drawing>
                    <wp:anchor behindDoc="0" distT="95250" distB="0" distL="127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Adjournment Proposal, if necessary;</w:t>
            </w:r>
            <w:r>
              <mc:AlternateContent>
                <mc:Choice Requires="wps">
                  <w:drawing>
                    <wp:anchor behindDoc="0" distT="95250" distB="0" distL="127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each director nominee included in the Director Election Proposal;</w:t>
            </w:r>
            <w:r>
              <mc:AlternateContent>
                <mc:Choice Requires="wps">
                  <w:drawing>
                    <wp:anchor behindDoc="0" distT="95250" distB="0" distL="127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Share Increase Proposal;</w:t>
            </w:r>
            <w:r>
              <mc:AlternateContent>
                <mc:Choice Requires="wps">
                  <w:drawing>
                    <wp:anchor behindDoc="0" distT="95250" distB="0" distL="127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Say-On-Pay Proposal;</w:t>
            </w:r>
            <w:r>
              <mc:AlternateContent>
                <mc:Choice Requires="wps">
                  <w:drawing>
                    <wp:anchor behindDoc="0" distT="95250" distB="0" distL="127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Auditor Ratification Proposal; and</w:t>
            </w:r>
            <w:r>
              <mc:AlternateContent>
                <mc:Choice Requires="wps">
                  <w:drawing>
                    <wp:anchor behindDoc="0" distT="95250" distB="0" distL="127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30"/>
              <w:ind w:left="400" w:right="0" w:hanging="0"/>
              <w:jc w:val="left"/>
              <w:rPr/>
            </w:pPr>
            <w:r>
              <w:rPr/>
              <w:t>“</w:t>
            </w:r>
            <w:r>
              <w:rPr>
                <w:b/>
              </w:rPr>
              <w:t>FOR</w:t>
            </w:r>
            <w:r>
              <w:rPr/>
              <w:t>” the Merger Compensation Proposal.</w:t>
            </w:r>
            <w:r>
              <mc:AlternateContent>
                <mc:Choice Requires="wps">
                  <w:drawing>
                    <wp:anchor behindDoc="0" distT="95250" distB="19050" distL="127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1.5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0BC6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96"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VOTE IS VERY IMPORTANT. WHETHER OR NOT YOU PLAN TO ATTEND THE SPECIAL MEETING VIA THE MEETING WEBSITE, PLEASE VOTE OVER THE INTERNET OR BY CALLING THE TELEPHONE NUMBER USING THE INSTRUCTIONS ON YOUR PROXY CARD OR COMPLETE, DATE, SIGN AND RETURN YOUR PROXY CARD AS PROMPTLY AS POSSIBLE. IF YOU ATTEND THE SPECIAL MEETING AND WISH TO VOTE YOUR SHARES OF COMMON STOCK PERSONALLY VIA THE MEETING WEBSITE, YOUR VOTE AT THE SPECIAL MEETING WILL REVOKE ANY PROXY PREVIOUSLY SUBMITTED BY YOU.</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proxy may be revoked at any time before the vote at the Special Meeting, or any adjournment or postponement thereof, by following the procedures outlined in the accompanying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proxy statement of which this notice forms a part provides a detailed description of the Merger Agreement, the Merger and the other transactions contemplated by the Merger Agreement.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shares of Common Stock, please contact LiveRamp’s proxy solicitor:</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2095500" cy="52387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4"/>
                    <a:stretch>
                      <a:fillRect/>
                    </a:stretch>
                  </pic:blipFill>
                  <pic:spPr bwMode="auto">
                    <a:xfrm>
                      <a:off x="0" y="0"/>
                      <a:ext cx="2095500"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92"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Innisfree M&amp;A Incorporated </w:t>
        <w:br/>
        <w:t>500 Fifth Avenue, 21</w:t>
      </w:r>
      <w:r>
        <w:rPr>
          <w:rFonts w:ascii="Arial;Helvetica;sans-serif" w:hAnsi="Arial;Helvetica;sans-serif"/>
          <w:b w:val="false"/>
          <w:i w:val="false"/>
          <w:caps w:val="false"/>
          <w:smallCaps w:val="false"/>
          <w:color w:val="000000"/>
          <w:sz w:val="15"/>
        </w:rPr>
        <w:t>st</w:t>
      </w:r>
      <w:r>
        <w:rPr>
          <w:rFonts w:ascii="Arial;Helvetica;sans-serif" w:hAnsi="Arial;Helvetica;sans-serif"/>
          <w:b w:val="false"/>
          <w:i w:val="false"/>
          <w:caps w:val="false"/>
          <w:smallCaps w:val="false"/>
          <w:color w:val="000000"/>
          <w:sz w:val="20"/>
        </w:rPr>
        <w:t xml:space="preserve"> floor </w:t>
        <w:br/>
        <w:t>New York, New York 10110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Stockholders may call toll-free: (877) 750-0625 </w:t>
        <w:br/>
        <w:t>Banks and brokers may call collect: (212) 750-5833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6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By order of the Board of Directors</w:t>
      </w:r>
      <w:r>
        <w:rPr>
          <w:rFonts w:ascii="Arial;Helvetica;sans-serif" w:hAnsi="Arial;Helvetica;sans-serif"/>
          <w:b/>
          <w:i w:val="false"/>
          <w:caps w:val="false"/>
          <w:smallCaps w:val="false"/>
          <w:color w:val="000000"/>
          <w:spacing w:val="4"/>
          <w:sz w:val="20"/>
        </w:rPr>
        <w:t xml:space="preserve"> </w:t>
      </w:r>
    </w:p>
    <w:p>
      <w:pPr>
        <w:pStyle w:val="TextBody"/>
        <w:bidi w:val="0"/>
        <w:spacing w:before="36" w:after="283"/>
        <w:ind w:left="66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5"/>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72" w:after="283"/>
        <w:ind w:left="66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Jerry C. Jones</w:t>
        <w:br/>
        <w:t xml:space="preserve">Executive Vice President, Chief Ethics and Legal Officer and Secretary </w:t>
      </w:r>
    </w:p>
    <w:p>
      <w:pPr>
        <w:pStyle w:val="TextBody"/>
        <w:bidi w:val="0"/>
        <w:spacing w:lineRule="atLeast" w:line="240" w:before="12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 2026</w:t>
      </w:r>
      <w:r>
        <w:rPr>
          <w:rFonts w:ascii="Arial;Helvetica;sans-serif" w:hAnsi="Arial;Helvetica;sans-serif"/>
          <w:b w:val="false"/>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10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 xml:space="preserve">ABLE OF </w:t>
      </w:r>
      <w:r>
        <w:rPr>
          <w:rFonts w:ascii="Arial;Helvetica;sans-serif" w:hAnsi="Arial;Helvetica;sans-serif"/>
          <w:b/>
          <w:i w:val="false"/>
          <w:caps w:val="false"/>
          <w:smallCaps w:val="false"/>
          <w:color w:val="000000"/>
          <w:sz w:val="40"/>
        </w:rPr>
        <w:t>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8070" w:type="dxa"/>
        <w:jc w:val="left"/>
        <w:tblInd w:w="680" w:type="dxa"/>
        <w:tblLayout w:type="fixed"/>
        <w:tblCellMar>
          <w:top w:w="0" w:type="dxa"/>
          <w:left w:w="0" w:type="dxa"/>
          <w:bottom w:w="0" w:type="dxa"/>
          <w:right w:w="0" w:type="dxa"/>
        </w:tblCellMar>
      </w:tblPr>
      <w:tblGrid>
        <w:gridCol w:w="124"/>
        <w:gridCol w:w="684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SUM">
              <w:r>
                <w:rPr>
                  <w:rStyle w:val="InternetLink"/>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UM">
              <w:r>
                <w:rPr>
                  <w:rStyle w:val="InternetLink"/>
                </w:rPr>
                <w:t xml:space="preserve">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283"/>
              <w:jc w:val="left"/>
              <w:rPr/>
            </w:pPr>
            <w:hyperlink w:anchor="tQAAA">
              <w:r>
                <w:rPr>
                  <w:rStyle w:val="InternetLink"/>
                </w:rPr>
                <w:t xml:space="preserve">Questions And Answers About The Special Meeting And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AAA">
              <w:r>
                <w:rPr>
                  <w:rStyle w:val="InternetLink"/>
                </w:rPr>
                <w:t xml:space="preserve">11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CSRF">
              <w:r>
                <w:rPr>
                  <w:rStyle w:val="InternetLink"/>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SRF">
              <w:r>
                <w:rPr>
                  <w:rStyle w:val="InternetLink"/>
                </w:rPr>
                <w:t xml:space="preserve">21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283"/>
              <w:jc w:val="left"/>
              <w:rPr/>
            </w:pPr>
            <w:hyperlink w:anchor="tPTTM">
              <w:r>
                <w:rPr>
                  <w:rStyle w:val="InternetLink"/>
                </w:rPr>
                <w:t xml:space="preserve">Parties to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TTM">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LIV">
              <w:r>
                <w:rPr>
                  <w:rStyle w:val="InternetLink"/>
                </w:rPr>
                <w:t xml:space="preserve">LiveRamp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LIV">
              <w:r>
                <w:rPr>
                  <w:rStyle w:val="InternetLink"/>
                </w:rPr>
                <w:t xml:space="preserve">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UB">
              <w:r>
                <w:rPr>
                  <w:rStyle w:val="InternetLink"/>
                </w:rPr>
                <w:t xml:space="preserve">Publicis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UB">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PAR">
              <w:r>
                <w:rPr>
                  <w:rStyle w:val="InternetLink"/>
                </w:rPr>
                <w:t xml:space="preserve">Parent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PAR">
              <w:r>
                <w:rPr>
                  <w:rStyle w:val="InternetLink"/>
                </w:rPr>
                <w:t xml:space="preserve">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MESU">
              <w:r>
                <w:rPr>
                  <w:rStyle w:val="InternetLink"/>
                </w:rPr>
                <w:t xml:space="preserve">Merger Sub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ESU">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TSM">
              <w:r>
                <w:rPr>
                  <w:rStyle w:val="InternetLink"/>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SM">
              <w:r>
                <w:rPr>
                  <w:rStyle w:val="InternetLink"/>
                </w:rPr>
                <w:t xml:space="preserve">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DTAP">
              <w:r>
                <w:rPr>
                  <w:rStyle w:val="InternetLink"/>
                </w:rPr>
                <w:t xml:space="preserve">Date, Time and Place of the Special Meeting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DTAP">
              <w:r>
                <w:rPr>
                  <w:rStyle w:val="InternetLink"/>
                </w:rPr>
                <w:t xml:space="preserve">23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POTS">
              <w:r>
                <w:rPr>
                  <w:rStyle w:val="InternetLink"/>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POTS">
              <w:r>
                <w:rPr>
                  <w:rStyle w:val="InternetLink"/>
                </w:rPr>
                <w:t xml:space="preserve">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ROTB">
              <w:r>
                <w:rPr>
                  <w:rStyle w:val="InternetLink"/>
                </w:rPr>
                <w:t xml:space="preserve">Recommendation of the Board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OTB">
              <w:r>
                <w:rPr>
                  <w:rStyle w:val="InternetLink"/>
                </w:rPr>
                <w:t xml:space="preserve">23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DSE">
              <w:r>
                <w:rPr>
                  <w:rStyle w:val="InternetLink"/>
                </w:rPr>
                <w:t xml:space="preserve">Record Date; Stockholders Entitled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DSE">
              <w:r>
                <w:rPr>
                  <w:rStyle w:val="InternetLink"/>
                </w:rPr>
                <w:t xml:space="preserve">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QUO">
              <w:r>
                <w:rPr>
                  <w:rStyle w:val="InternetLink"/>
                </w:rPr>
                <w:t xml:space="preserve">Quorum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UO">
              <w:r>
                <w:rPr>
                  <w:rStyle w:val="InternetLink"/>
                </w:rPr>
                <w:t xml:space="preserve">24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EVO">
              <w:r>
                <w:rPr>
                  <w:rStyle w:val="InternetLink"/>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EVO">
              <w:r>
                <w:rPr>
                  <w:rStyle w:val="InternetLink"/>
                </w:rPr>
                <w:t xml:space="preserve">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AABN">
              <w:r>
                <w:rPr>
                  <w:rStyle w:val="InternetLink"/>
                </w:rPr>
                <w:t xml:space="preserve">Abstentions and Broker Non-Votes; Failure to Vote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AABN">
              <w:r>
                <w:rPr>
                  <w:rStyle w:val="InternetLink"/>
                </w:rPr>
                <w:t xml:space="preserve">25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VATS">
              <w:r>
                <w:rPr>
                  <w:rStyle w:val="InternetLink"/>
                </w:rPr>
                <w:t xml:space="preserve">Voting at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VATS">
              <w:r>
                <w:rPr>
                  <w:rStyle w:val="InternetLink"/>
                </w:rPr>
                <w:t xml:space="preserve">25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AR1">
              <w:r>
                <w:rPr>
                  <w:rStyle w:val="InternetLink"/>
                </w:rPr>
                <w:t xml:space="preserve">Proxies and Revocation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AR1">
              <w:r>
                <w:rPr>
                  <w:rStyle w:val="InternetLink"/>
                </w:rPr>
                <w:t xml:space="preserve">27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SOP">
              <w:r>
                <w:rPr>
                  <w:rStyle w:val="InternetLink"/>
                </w:rPr>
                <w:t xml:space="preserve">Solicitation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OP">
              <w:r>
                <w:rPr>
                  <w:rStyle w:val="InternetLink"/>
                </w:rPr>
                <w:t xml:space="preserve">27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ROSW">
              <w:r>
                <w:rPr>
                  <w:rStyle w:val="InternetLink"/>
                </w:rPr>
                <w:t xml:space="preserve">Rights of Stockholders Who Seek Appraisal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OSW">
              <w:r>
                <w:rPr>
                  <w:rStyle w:val="InternetLink"/>
                </w:rPr>
                <w:t xml:space="preserve">28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ADJ">
              <w:r>
                <w:rPr>
                  <w:rStyle w:val="InternetLink"/>
                </w:rPr>
                <w:t xml:space="preserve">Adjournment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DJ">
              <w:r>
                <w:rPr>
                  <w:rStyle w:val="InternetLink"/>
                </w:rPr>
                <w:t xml:space="preserve">28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OTMA">
              <w:r>
                <w:rPr>
                  <w:rStyle w:val="InternetLink"/>
                </w:rPr>
                <w:t xml:space="preserve">Other Matters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OTMA">
              <w:r>
                <w:rPr>
                  <w:rStyle w:val="InternetLink"/>
                </w:rPr>
                <w:t xml:space="preserve">28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HOSM">
              <w:r>
                <w:rPr>
                  <w:rStyle w:val="InternetLink"/>
                </w:rPr>
                <w:t xml:space="preserve">Householding of Special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HOSM">
              <w:r>
                <w:rPr>
                  <w:rStyle w:val="InternetLink"/>
                </w:rPr>
                <w:t xml:space="preserve">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VORE">
              <w:r>
                <w:rPr>
                  <w:rStyle w:val="InternetLink"/>
                </w:rPr>
                <w:t xml:space="preserve">Voting Results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VORE">
              <w:r>
                <w:rPr>
                  <w:rStyle w:val="InternetLink"/>
                </w:rPr>
                <w:t xml:space="preserve">29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SOC">
              <w:r>
                <w:rPr>
                  <w:rStyle w:val="InternetLink"/>
                </w:rPr>
                <w:t xml:space="preserve">Exchanging Shares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SOC">
              <w:r>
                <w:rPr>
                  <w:rStyle w:val="InternetLink"/>
                </w:rPr>
                <w:t xml:space="preserve">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QAAI">
              <w:r>
                <w:rPr>
                  <w:rStyle w:val="InternetLink"/>
                </w:rPr>
                <w:t xml:space="preserve">Questions and Additional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AAI">
              <w:r>
                <w:rPr>
                  <w:rStyle w:val="InternetLink"/>
                </w:rPr>
                <w:t xml:space="preserve">29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TMAP">
              <w:r>
                <w:rPr>
                  <w:rStyle w:val="InternetLink"/>
                </w:rPr>
                <w:t xml:space="preserve">The Merger Agreement (Proposal 1)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MAP">
              <w:r>
                <w:rPr>
                  <w:rStyle w:val="InternetLink"/>
                </w:rPr>
                <w:t xml:space="preserve">30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TTM1">
              <w:r>
                <w:rPr>
                  <w:rStyle w:val="InternetLink"/>
                </w:rPr>
                <w:t xml:space="preserve">Parties to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TTM1">
              <w:r>
                <w:rPr>
                  <w:rStyle w:val="InternetLink"/>
                </w:rPr>
                <w:t xml:space="preserve">30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OTM">
              <w:r>
                <w:rPr>
                  <w:rStyle w:val="InternetLink"/>
                </w:rPr>
                <w:t xml:space="preserve">Effects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TM">
              <w:r>
                <w:rPr>
                  <w:rStyle w:val="InternetLink"/>
                </w:rPr>
                <w:t xml:space="preserve">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MCFC">
              <w:r>
                <w:rPr>
                  <w:rStyle w:val="InternetLink"/>
                </w:rPr>
                <w:t xml:space="preserve">Merger Consideration for Common Stock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CFC">
              <w:r>
                <w:rPr>
                  <w:rStyle w:val="InternetLink"/>
                </w:rPr>
                <w:t xml:space="preserve">31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OLI">
              <w:r>
                <w:rPr>
                  <w:rStyle w:val="InternetLink"/>
                </w:rPr>
                <w:t xml:space="preserve">Effects on LiveRamp if the Merger Is Not Completed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LI">
              <w:r>
                <w:rPr>
                  <w:rStyle w:val="InternetLink"/>
                </w:rPr>
                <w:t xml:space="preserve">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BOTM">
              <w:r>
                <w:rPr>
                  <w:rStyle w:val="InternetLink"/>
                </w:rPr>
                <w:t xml:space="preserve">Background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BOTM">
              <w:r>
                <w:rPr>
                  <w:rStyle w:val="InternetLink"/>
                </w:rPr>
                <w:t xml:space="preserve">32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OTB1">
              <w:r>
                <w:rPr>
                  <w:rStyle w:val="InternetLink"/>
                </w:rPr>
                <w:t xml:space="preserve">Recommendation of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OTB1">
              <w:r>
                <w:rPr>
                  <w:rStyle w:val="InternetLink"/>
                </w:rPr>
                <w:t xml:space="preserve">39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OOEG">
              <w:r>
                <w:rPr>
                  <w:rStyle w:val="InternetLink"/>
                </w:rPr>
                <w:t xml:space="preserve">Opinion of Evercore Group L.L.C.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OOEG">
              <w:r>
                <w:rPr>
                  <w:rStyle w:val="InternetLink"/>
                </w:rPr>
                <w:t xml:space="preserve">43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tbl>
      <w:tblPr>
        <w:tblW w:w="8160" w:type="dxa"/>
        <w:jc w:val="left"/>
        <w:tblInd w:w="680" w:type="dxa"/>
        <w:tblLayout w:type="fixed"/>
        <w:tblCellMar>
          <w:top w:w="0" w:type="dxa"/>
          <w:left w:w="0" w:type="dxa"/>
          <w:bottom w:w="0" w:type="dxa"/>
          <w:right w:w="0" w:type="dxa"/>
        </w:tblCellMar>
      </w:tblPr>
      <w:tblGrid>
        <w:gridCol w:w="124"/>
        <w:gridCol w:w="693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CUFI">
              <w:r>
                <w:rPr>
                  <w:rStyle w:val="InternetLink"/>
                </w:rPr>
                <w:t xml:space="preserve">Certain Unaudited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UFI">
              <w:r>
                <w:rPr>
                  <w:rStyle w:val="InternetLink"/>
                </w:rPr>
                <w:t xml:space="preserve">50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IOLD">
              <w:r>
                <w:rPr>
                  <w:rStyle w:val="InternetLink"/>
                </w:rPr>
                <w:t xml:space="preserve">Interests of LiveRamp’s Directors and Executive Officers in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IOLD">
              <w:r>
                <w:rPr>
                  <w:rStyle w:val="InternetLink"/>
                </w:rPr>
                <w:t xml:space="preserve">53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FOTM">
              <w:r>
                <w:rPr>
                  <w:rStyle w:val="InternetLink"/>
                </w:rPr>
                <w:t xml:space="preserve">Financing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FOTM">
              <w:r>
                <w:rPr>
                  <w:rStyle w:val="InternetLink"/>
                </w:rPr>
                <w:t xml:space="preserve">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AET">
              <w:r>
                <w:rPr>
                  <w:rStyle w:val="InternetLink"/>
                </w:rPr>
                <w:t xml:space="preserve">Closing and Effective Time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AET">
              <w:r>
                <w:rPr>
                  <w:rStyle w:val="InternetLink"/>
                </w:rPr>
                <w:t xml:space="preserve">60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AAC">
              <w:r>
                <w:rPr>
                  <w:rStyle w:val="InternetLink"/>
                </w:rPr>
                <w:t xml:space="preserve">Regulatory Approvals and Clearances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AAC">
              <w:r>
                <w:rPr>
                  <w:rStyle w:val="InternetLink"/>
                </w:rPr>
                <w:t xml:space="preserve">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MUFI">
              <w:r>
                <w:rPr>
                  <w:rStyle w:val="InternetLink"/>
                </w:rPr>
                <w:t xml:space="preserve">Material U.S. Federal Income Tax Consequences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UFI">
              <w:r>
                <w:rPr>
                  <w:rStyle w:val="InternetLink"/>
                </w:rPr>
                <w:t xml:space="preserve">61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DADO">
              <w:r>
                <w:rPr>
                  <w:rStyle w:val="InternetLink"/>
                </w:rPr>
                <w:t xml:space="preserve">Delisting and Deregistration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ADO">
              <w:r>
                <w:rPr>
                  <w:rStyle w:val="InternetLink"/>
                </w:rPr>
                <w:t xml:space="preserve">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VRTA">
              <w:r>
                <w:rPr>
                  <w:rStyle w:val="InternetLink"/>
                </w:rPr>
                <w:t xml:space="preserve">Vote Required to Approve the Merger Agreement Proposal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VRTA">
              <w:r>
                <w:rPr>
                  <w:rStyle w:val="InternetLink"/>
                </w:rPr>
                <w:t xml:space="preserve">62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OTBO">
              <w:r>
                <w:rPr>
                  <w:rStyle w:val="InternetLink"/>
                </w:rPr>
                <w:t>Recommendation of the Board</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OTBO">
              <w:r>
                <w:rPr>
                  <w:rStyle w:val="InternetLink"/>
                </w:rPr>
                <w:t>62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283"/>
              <w:jc w:val="left"/>
              <w:rPr/>
            </w:pPr>
            <w:hyperlink w:anchor="tTMA">
              <w:r>
                <w:rPr>
                  <w:rStyle w:val="InternetLink"/>
                </w:rPr>
                <w:t xml:space="preserve">The Merger Agreement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MA">
              <w:r>
                <w:rPr>
                  <w:rStyle w:val="InternetLink"/>
                </w:rPr>
                <w:t xml:space="preserve">63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ENRT">
              <w:r>
                <w:rPr>
                  <w:rStyle w:val="InternetLink"/>
                </w:rPr>
                <w:t xml:space="preserve">Explanatory Note Regarding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NRT">
              <w:r>
                <w:rPr>
                  <w:rStyle w:val="InternetLink"/>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SOTM">
              <w:r>
                <w:rPr>
                  <w:rStyle w:val="InternetLink"/>
                </w:rPr>
                <w:t xml:space="preserve">Structure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SOTM">
              <w:r>
                <w:rPr>
                  <w:rStyle w:val="InternetLink"/>
                </w:rPr>
                <w:t xml:space="preserve">63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CAET1">
              <w:r>
                <w:rPr>
                  <w:rStyle w:val="InternetLink"/>
                </w:rPr>
                <w:t xml:space="preserve">Closing and Effective Time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AET1">
              <w:r>
                <w:rPr>
                  <w:rStyle w:val="InternetLink"/>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OIB">
              <w:r>
                <w:rPr>
                  <w:rStyle w:val="InternetLink"/>
                </w:rPr>
                <w:t xml:space="preserve">Certificate of Incorporation; Bylaws; Directors and Officers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OIB">
              <w:r>
                <w:rPr>
                  <w:rStyle w:val="InternetLink"/>
                </w:rPr>
                <w:t xml:space="preserve">64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TOCS">
              <w:r>
                <w:rPr>
                  <w:rStyle w:val="InternetLink"/>
                </w:rPr>
                <w:t xml:space="preserve">Treatment of Common Stock and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OCS">
              <w:r>
                <w:rPr>
                  <w:rStyle w:val="InternetLink"/>
                </w:rPr>
                <w:t xml:space="preserve">64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SAPP">
              <w:r>
                <w:rPr>
                  <w:rStyle w:val="InternetLink"/>
                </w:rPr>
                <w:t xml:space="preserve">Surrendering and Payment Procedures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SAPP">
              <w:r>
                <w:rPr>
                  <w:rStyle w:val="InternetLink"/>
                </w:rPr>
                <w:t xml:space="preserve">65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WIT">
              <w:r>
                <w:rPr>
                  <w:rStyle w:val="InternetLink"/>
                </w:rPr>
                <w:t xml:space="preserve">Withholding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WIT">
              <w:r>
                <w:rPr>
                  <w:rStyle w:val="InternetLink"/>
                </w:rPr>
                <w:t xml:space="preserve">66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LRAW">
              <w:r>
                <w:rPr>
                  <w:rStyle w:val="InternetLink"/>
                </w:rPr>
                <w:t xml:space="preserve">LiveRamp Representations and Warranties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LRAW">
              <w:r>
                <w:rPr>
                  <w:rStyle w:val="InternetLink"/>
                </w:rPr>
                <w:t xml:space="preserve">66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DOMA">
              <w:r>
                <w:rPr>
                  <w:rStyle w:val="InternetLink"/>
                </w:rPr>
                <w:t xml:space="preserve">Definition of  “Material Adverse Effect”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MA">
              <w:r>
                <w:rPr>
                  <w:rStyle w:val="InternetLink"/>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OBP">
              <w:r>
                <w:rPr>
                  <w:rStyle w:val="InternetLink"/>
                </w:rPr>
                <w:t xml:space="preserve">Conduct of Business Pending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OBP">
              <w:r>
                <w:rPr>
                  <w:rStyle w:val="InternetLink"/>
                </w:rPr>
                <w:t xml:space="preserve">69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NSCI">
              <w:r>
                <w:rPr>
                  <w:rStyle w:val="InternetLink"/>
                </w:rPr>
                <w:t xml:space="preserve">No Solicitation; Change in Board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SCI">
              <w:r>
                <w:rPr>
                  <w:rStyle w:val="InternetLink"/>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TSM1">
              <w:r>
                <w:rPr>
                  <w:rStyle w:val="InternetLink"/>
                </w:rPr>
                <w:t xml:space="preserve">The Special Meeting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SM1">
              <w:r>
                <w:rPr>
                  <w:rStyle w:val="InternetLink"/>
                </w:rPr>
                <w:t xml:space="preserve">75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FAE">
              <w:r>
                <w:rPr>
                  <w:rStyle w:val="InternetLink"/>
                </w:rPr>
                <w:t xml:space="preserve">Regulatory Filings and Efforts to Consummate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FAE">
              <w:r>
                <w:rPr>
                  <w:rStyle w:val="InternetLink"/>
                </w:rPr>
                <w:t xml:space="preserve">76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DAOI">
              <w:r>
                <w:rPr>
                  <w:rStyle w:val="InternetLink"/>
                </w:rPr>
                <w:t xml:space="preserve">Directors’ and Officers’ Indemnification and Insurance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DAOI">
              <w:r>
                <w:rPr>
                  <w:rStyle w:val="InternetLink"/>
                </w:rPr>
                <w:t xml:space="preserve">78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EMMA">
              <w:r>
                <w:rPr>
                  <w:rStyle w:val="InternetLink"/>
                </w:rPr>
                <w:t xml:space="preserve">Employee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MMA">
              <w:r>
                <w:rPr>
                  <w:rStyle w:val="InternetLink"/>
                </w:rPr>
                <w:t xml:space="preserve">79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TRLI">
              <w:r>
                <w:rPr>
                  <w:rStyle w:val="InternetLink"/>
                </w:rPr>
                <w:t xml:space="preserve">Transaction Litigation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RLI">
              <w:r>
                <w:rPr>
                  <w:rStyle w:val="InternetLink"/>
                </w:rPr>
                <w:t xml:space="preserve">80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OTCO">
              <w:r>
                <w:rPr>
                  <w:rStyle w:val="InternetLink"/>
                </w:rPr>
                <w:t xml:space="preserve">Other Covenants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TCO">
              <w:r>
                <w:rPr>
                  <w:rStyle w:val="InternetLink"/>
                </w:rPr>
                <w:t xml:space="preserve">80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TTC">
              <w:r>
                <w:rPr>
                  <w:rStyle w:val="InternetLink"/>
                </w:rPr>
                <w:t xml:space="preserve">Conditions to the Completion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TTC">
              <w:r>
                <w:rPr>
                  <w:rStyle w:val="InternetLink"/>
                </w:rPr>
                <w:t xml:space="preserve">80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TOTM">
              <w:r>
                <w:rPr>
                  <w:rStyle w:val="InternetLink"/>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OTM">
              <w:r>
                <w:rPr>
                  <w:rStyle w:val="InternetLink"/>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EOT">
              <w:r>
                <w:rPr>
                  <w:rStyle w:val="InternetLink"/>
                </w:rPr>
                <w:t xml:space="preserve">Effect of Termination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EOT">
              <w:r>
                <w:rPr>
                  <w:rStyle w:val="InternetLink"/>
                </w:rPr>
                <w:t xml:space="preserve">82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SPPE">
              <w:r>
                <w:rPr>
                  <w:rStyle w:val="InternetLink"/>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PPE">
              <w:r>
                <w:rPr>
                  <w:rStyle w:val="InternetLink"/>
                </w:rPr>
                <w:t xml:space="preserve">83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EXP">
              <w:r>
                <w:rPr>
                  <w:rStyle w:val="InternetLink"/>
                </w:rPr>
                <w:t xml:space="preserve">Expenses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EXP">
              <w:r>
                <w:rPr>
                  <w:rStyle w:val="InternetLink"/>
                </w:rPr>
                <w:t xml:space="preserve">83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AME">
              <w:r>
                <w:rPr>
                  <w:rStyle w:val="InternetLink"/>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ME">
              <w:r>
                <w:rPr>
                  <w:rStyle w:val="InternetLink"/>
                </w:rPr>
                <w:t xml:space="preserve">84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GLJ">
              <w:r>
                <w:rPr>
                  <w:rStyle w:val="InternetLink"/>
                </w:rPr>
                <w:t xml:space="preserve">Governing Law; Jurisdiction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GLJ">
              <w:r>
                <w:rPr>
                  <w:rStyle w:val="InternetLink"/>
                </w:rPr>
                <w:t xml:space="preserve">84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hyperlink w:anchor="tAOTS">
              <w:r>
                <w:rPr>
                  <w:rStyle w:val="InternetLink"/>
                </w:rPr>
                <w:t xml:space="preserve">Adjournment(s) of the Special Meeting (Proposal 2)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OTS">
              <w:r>
                <w:rPr>
                  <w:rStyle w:val="InternetLink"/>
                </w:rPr>
                <w:t xml:space="preserve">85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REOFTB">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EOFTB">
              <w:r>
                <w:rPr>
                  <w:rStyle w:val="InternetLink"/>
                </w:rPr>
                <w:t>85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hyperlink w:anchor="tEODP">
              <w:r>
                <w:rPr>
                  <w:rStyle w:val="InternetLink"/>
                </w:rPr>
                <w:t xml:space="preserve">Election of Directors (Proposal 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DP">
              <w:r>
                <w:rPr>
                  <w:rStyle w:val="InternetLink"/>
                </w:rPr>
                <w:t xml:space="preserve">86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NOCODI">
              <w:r>
                <w:rPr>
                  <w:rStyle w:val="InternetLink"/>
                </w:rPr>
                <w:t>Nominees and Continuing Directors</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NOCODI">
              <w:r>
                <w:rPr>
                  <w:rStyle w:val="InternetLink"/>
                </w:rPr>
                <w:t>87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tbl>
      <w:tblPr>
        <w:tblW w:w="2523" w:type="dxa"/>
        <w:jc w:val="left"/>
        <w:tblInd w:w="680" w:type="dxa"/>
        <w:tblLayout w:type="fixed"/>
        <w:tblCellMar>
          <w:top w:w="0" w:type="dxa"/>
          <w:left w:w="0" w:type="dxa"/>
          <w:bottom w:w="0" w:type="dxa"/>
          <w:right w:w="0" w:type="dxa"/>
        </w:tblCellMar>
      </w:tblPr>
      <w:tblGrid>
        <w:gridCol w:w="124"/>
        <w:gridCol w:w="180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right"/>
              <w:rPr/>
            </w:pPr>
            <w:r>
              <w:rPr/>
              <w:t>Table of Contents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8180"/>
        <w:gridCol w:w="109"/>
        <w:gridCol w:w="109"/>
        <w:gridCol w:w="109"/>
        <w:gridCol w:w="109"/>
        <w:gridCol w:w="521"/>
        <w:gridCol w:w="109"/>
        <w:gridCol w:w="155"/>
      </w:tblGrid>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OCODIEX">
              <w:r>
                <w:rPr>
                  <w:rStyle w:val="InternetLink"/>
                </w:rPr>
                <w:t>Nominees for Director with Terms Expiring in 2026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OCODIEX">
              <w:r>
                <w:rPr>
                  <w:rStyle w:val="InternetLink"/>
                </w:rPr>
                <w:t>87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DITEG">
              <w:r>
                <w:rPr>
                  <w:rStyle w:val="InternetLink"/>
                </w:rPr>
                <w:t>Directors with Terms Expiring in 2027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DITEG">
              <w:r>
                <w:rPr>
                  <w:rStyle w:val="InternetLink"/>
                </w:rPr>
                <w:t>88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DIWITE">
              <w:r>
                <w:rPr>
                  <w:rStyle w:val="InternetLink"/>
                </w:rPr>
                <w:t>Directors with Terms Expiring in 2028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DIWITE">
              <w:r>
                <w:rPr>
                  <w:rStyle w:val="InternetLink"/>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OFBO">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OFBO">
              <w:r>
                <w:rPr>
                  <w:rStyle w:val="InternetLink"/>
                </w:rPr>
                <w:t>90</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COGO">
              <w:r>
                <w:rPr>
                  <w:rStyle w:val="InternetLink"/>
                </w:rPr>
                <w:t>Corporate Governance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COGO">
              <w:r>
                <w:rPr>
                  <w:rStyle w:val="InternetLink"/>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DIINDE">
              <w:r>
                <w:rPr>
                  <w:rStyle w:val="InternetLink"/>
                </w:rPr>
                <w:t>Director Independence</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DIINDE">
              <w:r>
                <w:rPr>
                  <w:rStyle w:val="InternetLink"/>
                </w:rPr>
                <w:t>91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BOLEST">
              <w:r>
                <w:rPr>
                  <w:rStyle w:val="InternetLink"/>
                </w:rPr>
                <w:t>Board Leadership Structure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BOLEST">
              <w:r>
                <w:rPr>
                  <w:rStyle w:val="InternetLink"/>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BOLEST1">
              <w:r>
                <w:rPr>
                  <w:rStyle w:val="InternetLink"/>
                </w:rPr>
                <w:t>Board and Stockholder Meetings</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BOLEST1">
              <w:r>
                <w:rPr>
                  <w:rStyle w:val="InternetLink"/>
                </w:rPr>
                <w:t>92</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BOLEST2">
              <w:r>
                <w:rPr>
                  <w:rStyle w:val="InternetLink"/>
                </w:rPr>
                <w:t>Committees of the Board of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BOLEST2">
              <w:r>
                <w:rPr>
                  <w:rStyle w:val="InternetLink"/>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1">
              <w:r>
                <w:rPr>
                  <w:rStyle w:val="InternetLink"/>
                </w:rPr>
                <w:t>Responsibility for Risk Management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1">
              <w:r>
                <w:rPr>
                  <w:rStyle w:val="InternetLink"/>
                </w:rPr>
                <w:t>95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pple2">
              <w:r>
                <w:rPr>
                  <w:rStyle w:val="InternetLink"/>
                </w:rPr>
                <w:t>Insider Stock Trading Policy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pple2">
              <w:r>
                <w:rPr>
                  <w:rStyle w:val="InternetLink"/>
                </w:rPr>
                <w:t>95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3">
              <w:r>
                <w:rPr>
                  <w:rStyle w:val="InternetLink"/>
                </w:rPr>
                <w:t>Hedging Policy</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3">
              <w:r>
                <w:rPr>
                  <w:rStyle w:val="InternetLink"/>
                </w:rPr>
                <w:t>95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pple4">
              <w:r>
                <w:rPr>
                  <w:rStyle w:val="InternetLink"/>
                </w:rPr>
                <w:t>Communication with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pple4">
              <w:r>
                <w:rPr>
                  <w:rStyle w:val="InternetLink"/>
                </w:rPr>
                <w:t>96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5">
              <w:r>
                <w:rPr>
                  <w:rStyle w:val="InternetLink"/>
                </w:rPr>
                <w:t>Environmental, Social and Governance Responsibility</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5">
              <w:r>
                <w:rPr>
                  <w:rStyle w:val="InternetLink"/>
                </w:rPr>
                <w:t>96</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240"/>
              <w:jc w:val="left"/>
              <w:rPr/>
            </w:pPr>
            <w:hyperlink w:anchor="tAOTI">
              <w:r>
                <w:rPr>
                  <w:rStyle w:val="InternetLink"/>
                </w:rPr>
                <w:t xml:space="preserve">Approval of the Increase in the Number of Shares Available for Issuance Under the 2005 </w:t>
                <w:br/>
                <w:t xml:space="preserve">Plan (Proposal 4)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OTI">
              <w:r>
                <w:rPr>
                  <w:rStyle w:val="InternetLink"/>
                </w:rPr>
                <w:t xml:space="preserve">97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PROVJG2">
              <w:r>
                <w:rPr>
                  <w:rStyle w:val="InternetLink"/>
                </w:rPr>
                <w:t xml:space="preserve">Proposal Overview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PROVJG2">
              <w:r>
                <w:rPr>
                  <w:rStyle w:val="InternetLink"/>
                </w:rPr>
                <w:t xml:space="preserve">97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RTVJG2">
              <w:r>
                <w:rPr>
                  <w:rStyle w:val="InternetLink"/>
                </w:rPr>
                <w:t xml:space="preserve">Reasons to Vote “For” the Share Increase 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TVJG2">
              <w:r>
                <w:rPr>
                  <w:rStyle w:val="InternetLink"/>
                </w:rPr>
                <w:t xml:space="preserve">97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ECPIJG2">
              <w:r>
                <w:rPr>
                  <w:rStyle w:val="InternetLink"/>
                </w:rPr>
                <w:t xml:space="preserve">Equity Compensation Plan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ECPIJG2">
              <w:r>
                <w:rPr>
                  <w:rStyle w:val="InternetLink"/>
                </w:rPr>
                <w:t xml:space="preserve">99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UUPJG2">
              <w:r>
                <w:rPr>
                  <w:rStyle w:val="InternetLink"/>
                </w:rPr>
                <w:t xml:space="preserve">Updated Number of Outstanding Awards Under the 2005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UUPJG2">
              <w:r>
                <w:rPr>
                  <w:rStyle w:val="InternetLink"/>
                </w:rPr>
                <w:t xml:space="preserve">99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PMDJG2">
              <w:r>
                <w:rPr>
                  <w:rStyle w:val="InternetLink"/>
                </w:rPr>
                <w:t xml:space="preserve">Plan Metric Details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PMDJG2">
              <w:r>
                <w:rPr>
                  <w:rStyle w:val="InternetLink"/>
                </w:rPr>
                <w:t xml:space="preserve">100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PBJG2">
              <w:r>
                <w:rPr>
                  <w:rStyle w:val="InternetLink"/>
                </w:rPr>
                <w:t>New Plan Benefits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PBJG2">
              <w:r>
                <w:rPr>
                  <w:rStyle w:val="InternetLink"/>
                </w:rPr>
                <w:t>101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ECSHJG2">
              <w:r>
                <w:rPr>
                  <w:rStyle w:val="InternetLink"/>
                </w:rPr>
                <w:t xml:space="preserve">Equity Compensation Plan Not Approved by Security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ECSHJG2">
              <w:r>
                <w:rPr>
                  <w:rStyle w:val="InternetLink"/>
                </w:rPr>
                <w:t xml:space="preserve">101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PSSJG2">
              <w:r>
                <w:rPr>
                  <w:rStyle w:val="InternetLink"/>
                </w:rPr>
                <w:t xml:space="preserve">2005 Plan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PSSJG2">
              <w:r>
                <w:rPr>
                  <w:rStyle w:val="InternetLink"/>
                </w:rPr>
                <w:t xml:space="preserve">102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VRDJG2">
              <w:r>
                <w:rPr>
                  <w:rStyle w:val="InternetLink"/>
                </w:rPr>
                <w:t xml:space="preserve">Vote Required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VRDJG2">
              <w:r>
                <w:rPr>
                  <w:rStyle w:val="InternetLink"/>
                </w:rPr>
                <w:t xml:space="preserve">107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RTBJG2">
              <w:r>
                <w:rPr>
                  <w:rStyle w:val="InternetLink"/>
                </w:rPr>
                <w:t xml:space="preserve">Recommendation of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TBJG2">
              <w:r>
                <w:rPr>
                  <w:rStyle w:val="InternetLink"/>
                </w:rPr>
                <w:t xml:space="preserve">107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AVTA">
              <w:r>
                <w:rPr>
                  <w:rStyle w:val="InternetLink"/>
                </w:rPr>
                <w:t xml:space="preserve">Advisory Vote to Approve Named Executive Officer Compensation (Proposal 5)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VTA">
              <w:r>
                <w:rPr>
                  <w:rStyle w:val="InternetLink"/>
                </w:rPr>
                <w:t xml:space="preserve">108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PSOJP2">
              <w:r>
                <w:rPr>
                  <w:rStyle w:val="InternetLink"/>
                </w:rPr>
                <w:t>Proposal Overview</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PSOJP2">
              <w:r>
                <w:rPr>
                  <w:rStyle w:val="InternetLink"/>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CO">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CO">
              <w:r>
                <w:rPr>
                  <w:rStyle w:val="InternetLink"/>
                </w:rPr>
                <w:t>108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lineRule="atLeast" w:line="288" w:before="0" w:after="0"/>
              <w:ind w:left="240" w:right="0" w:hanging="240"/>
              <w:jc w:val="left"/>
              <w:rPr/>
            </w:pPr>
            <w:hyperlink w:anchor="tROTS">
              <w:r>
                <w:rPr>
                  <w:rStyle w:val="InternetLink"/>
                </w:rPr>
                <w:t xml:space="preserve">Ratification of the Selection of the Independent Registered Public Accountant (Proposal 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OTS">
              <w:r>
                <w:rPr>
                  <w:rStyle w:val="InternetLink"/>
                </w:rPr>
                <w:t xml:space="preserve">109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FBFS">
              <w:r>
                <w:rPr>
                  <w:rStyle w:val="InternetLink"/>
                </w:rPr>
                <w:t>Fees Billed for Services Rendered by Independent Auditor</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FBFS">
              <w:r>
                <w:rPr>
                  <w:rStyle w:val="InternetLink"/>
                </w:rPr>
                <w:t>109</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CPP">
              <w:r>
                <w:rPr>
                  <w:rStyle w:val="InternetLink"/>
                </w:rPr>
                <w:t>Audit/Finance Committee Pre-Approval Policy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CPP">
              <w:r>
                <w:rPr>
                  <w:rStyle w:val="InternetLink"/>
                </w:rPr>
                <w:t>109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CO1">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CO1">
              <w:r>
                <w:rPr>
                  <w:rStyle w:val="InternetLink"/>
                </w:rPr>
                <w:t>109</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ACR">
              <w:r>
                <w:rPr>
                  <w:rStyle w:val="InternetLink"/>
                </w:rPr>
                <w:t xml:space="preserve">Audit/Finance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CR">
              <w:r>
                <w:rPr>
                  <w:rStyle w:val="InternetLink"/>
                </w:rPr>
                <w:t xml:space="preserve">110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TACC">
              <w:r>
                <w:rPr>
                  <w:rStyle w:val="InternetLink"/>
                </w:rPr>
                <w:t xml:space="preserve">Talent and Compensation Committee Report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TACC">
              <w:r>
                <w:rPr>
                  <w:rStyle w:val="InternetLink"/>
                </w:rPr>
                <w:t xml:space="preserve">112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CCIA">
              <w:r>
                <w:rPr>
                  <w:rStyle w:val="InternetLink"/>
                </w:rPr>
                <w:t xml:space="preserve">112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CDAA">
              <w:r>
                <w:rPr>
                  <w:rStyle w:val="InternetLink"/>
                </w:rPr>
                <w:t xml:space="preserve">113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EO">
              <w:r>
                <w:rPr>
                  <w:rStyle w:val="InternetLink"/>
                </w:rPr>
                <w:t xml:space="preserve">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EO">
              <w:r>
                <w:rPr>
                  <w:rStyle w:val="InternetLink"/>
                </w:rPr>
                <w:t xml:space="preserve">113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4"/>
      <w:bookmarkEnd w:id="5"/>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8179"/>
        <w:gridCol w:w="109"/>
        <w:gridCol w:w="109"/>
        <w:gridCol w:w="109"/>
        <w:gridCol w:w="109"/>
        <w:gridCol w:w="522"/>
        <w:gridCol w:w="109"/>
        <w:gridCol w:w="155"/>
      </w:tblGrid>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9"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EXSU">
              <w:r>
                <w:rPr>
                  <w:rStyle w:val="InternetLink"/>
                </w:rPr>
                <w:t xml:space="preserve">Executive Summary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EXSU">
              <w:r>
                <w:rPr>
                  <w:rStyle w:val="InternetLink"/>
                </w:rPr>
                <w:t xml:space="preserve">114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PAP">
              <w:r>
                <w:rPr>
                  <w:rStyle w:val="InternetLink"/>
                </w:rPr>
                <w:t xml:space="preserve">Compensation Policies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PAP">
              <w:r>
                <w:rPr>
                  <w:rStyle w:val="InternetLink"/>
                </w:rPr>
                <w:t xml:space="preserve">119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HWMC">
              <w:r>
                <w:rPr>
                  <w:rStyle w:val="InternetLink"/>
                </w:rPr>
                <w:t xml:space="preserve">How We Make Compensation Decisions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HWMC">
              <w:r>
                <w:rPr>
                  <w:rStyle w:val="InternetLink"/>
                </w:rPr>
                <w:t xml:space="preserve">120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F2CD">
              <w:r>
                <w:rPr>
                  <w:rStyle w:val="InternetLink"/>
                </w:rPr>
                <w:t xml:space="preserve">Fiscal 2026 Compensation Decisions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F2CD">
              <w:r>
                <w:rPr>
                  <w:rStyle w:val="InternetLink"/>
                </w:rPr>
                <w:t xml:space="preserve">122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LETR">
              <w:r>
                <w:rPr>
                  <w:rStyle w:val="InternetLink"/>
                </w:rPr>
                <w:t xml:space="preserve">129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OCT">
              <w:r>
                <w:rPr>
                  <w:rStyle w:val="InternetLink"/>
                </w:rPr>
                <w:t xml:space="preserve">Other Compensation Topics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CT">
              <w:r>
                <w:rPr>
                  <w:rStyle w:val="InternetLink"/>
                </w:rPr>
                <w:t xml:space="preserve">130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COTA">
              <w:r>
                <w:rPr>
                  <w:rStyle w:val="InternetLink"/>
                </w:rPr>
                <w:t xml:space="preserve">Compensation Tables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COTA">
              <w:r>
                <w:rPr>
                  <w:rStyle w:val="InternetLink"/>
                </w:rPr>
                <w:t xml:space="preserve">135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SCT">
              <w:r>
                <w:rPr>
                  <w:rStyle w:val="InternetLink"/>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CT">
              <w:r>
                <w:rPr>
                  <w:rStyle w:val="InternetLink"/>
                </w:rPr>
                <w:t xml:space="preserve">135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GOPA">
              <w:r>
                <w:rPr>
                  <w:rStyle w:val="InternetLink"/>
                </w:rPr>
                <w:t xml:space="preserve">Grants of Plan-Based Awards for Fiscal 2026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GOPA">
              <w:r>
                <w:rPr>
                  <w:rStyle w:val="InternetLink"/>
                </w:rPr>
                <w:t xml:space="preserve">137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OEAA">
              <w:r>
                <w:rPr>
                  <w:rStyle w:val="InternetLink"/>
                </w:rPr>
                <w:t xml:space="preserve">Outstanding Equity Awards at 2026 Fiscal Year 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EAA">
              <w:r>
                <w:rPr>
                  <w:rStyle w:val="InternetLink"/>
                </w:rPr>
                <w:t xml:space="preserve">138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OEAS">
              <w:r>
                <w:rPr>
                  <w:rStyle w:val="InternetLink"/>
                </w:rPr>
                <w:t xml:space="preserve">Option Exercises and Stock Vested During Fiscal 2026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OEAS">
              <w:r>
                <w:rPr>
                  <w:rStyle w:val="InternetLink"/>
                </w:rPr>
                <w:t xml:space="preserve">140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NDCD">
              <w:r>
                <w:rPr>
                  <w:rStyle w:val="InternetLink"/>
                </w:rPr>
                <w:t xml:space="preserve">Nonqualified Deferred Compensation During Fiscal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NDCD">
              <w:r>
                <w:rPr>
                  <w:rStyle w:val="InternetLink"/>
                </w:rPr>
                <w:t xml:space="preserve">140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PPUT">
              <w:r>
                <w:rPr>
                  <w:rStyle w:val="InternetLink"/>
                </w:rPr>
                <w:t xml:space="preserve">Potential Payments Upon Termination or Change in Control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PPUT">
              <w:r>
                <w:rPr>
                  <w:rStyle w:val="InternetLink"/>
                </w:rPr>
                <w:t xml:space="preserve">141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PR">
              <w:r>
                <w:rPr>
                  <w:rStyle w:val="InternetLink"/>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PR">
              <w:r>
                <w:rPr>
                  <w:rStyle w:val="InternetLink"/>
                </w:rPr>
                <w:t xml:space="preserve">146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PVP">
              <w:r>
                <w:rPr>
                  <w:rStyle w:val="InternetLink"/>
                </w:rPr>
                <w:t xml:space="preserve">Pay Versus Performance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PVP">
              <w:r>
                <w:rPr>
                  <w:rStyle w:val="InternetLink"/>
                </w:rPr>
                <w:t xml:space="preserve">147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NDC">
              <w:r>
                <w:rPr>
                  <w:rStyle w:val="InternetLink"/>
                </w:rPr>
                <w:t xml:space="preserve">Non-Employee 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NDC">
              <w:r>
                <w:rPr>
                  <w:rStyle w:val="InternetLink"/>
                </w:rPr>
                <w:t xml:space="preserve">151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BODS">
              <w:r>
                <w:rPr>
                  <w:rStyle w:val="InternetLink"/>
                </w:rPr>
                <w:t xml:space="preserve">Board of Directors’ Stock Ownership Guidelines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BODS">
              <w:r>
                <w:rPr>
                  <w:rStyle w:val="InternetLink"/>
                </w:rPr>
                <w:t>151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AVON">
              <w:r>
                <w:rPr>
                  <w:rStyle w:val="InternetLink"/>
                </w:rPr>
                <w:t xml:space="preserve">Advisory Vote on Named Executive Officer Merger-Related Compensation (Proposal 7)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VON">
              <w:r>
                <w:rPr>
                  <w:rStyle w:val="InternetLink"/>
                </w:rPr>
                <w:t xml:space="preserve">152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MPAD">
              <w:r>
                <w:rPr>
                  <w:rStyle w:val="InternetLink"/>
                </w:rPr>
                <w:t xml:space="preserve">Market Price and Dividend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MPAD">
              <w:r>
                <w:rPr>
                  <w:rStyle w:val="InternetLink"/>
                </w:rPr>
                <w:t xml:space="preserve">153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MAIN">
              <w:r>
                <w:rPr>
                  <w:rStyle w:val="InternetLink"/>
                </w:rPr>
                <w:t xml:space="preserve">Market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MAIN">
              <w:r>
                <w:rPr>
                  <w:rStyle w:val="InternetLink"/>
                </w:rPr>
                <w:t xml:space="preserve">153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HOL">
              <w:r>
                <w:rPr>
                  <w:rStyle w:val="InternetLink"/>
                </w:rPr>
                <w:t xml:space="preserve">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HOL">
              <w:r>
                <w:rPr>
                  <w:rStyle w:val="InternetLink"/>
                </w:rPr>
                <w:t xml:space="preserve">153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DIV">
              <w:r>
                <w:rPr>
                  <w:rStyle w:val="InternetLink"/>
                </w:rPr>
                <w:t xml:space="preserve">Dividends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IV">
              <w:r>
                <w:rPr>
                  <w:rStyle w:val="InternetLink"/>
                </w:rPr>
                <w:t xml:space="preserve">153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SOOC">
              <w:r>
                <w:rPr>
                  <w:rStyle w:val="InternetLink"/>
                </w:rPr>
                <w:t xml:space="preserve">Security Ownership of Certain Beneficial Owners and Management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SOOC">
              <w:r>
                <w:rPr>
                  <w:rStyle w:val="InternetLink"/>
                </w:rPr>
                <w:t xml:space="preserve">154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MUFI1">
              <w:r>
                <w:rPr>
                  <w:rStyle w:val="InternetLink"/>
                </w:rPr>
                <w:t xml:space="preserve">Material 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MUFI1">
              <w:r>
                <w:rPr>
                  <w:rStyle w:val="InternetLink"/>
                </w:rPr>
                <w:t xml:space="preserve">156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COUHJG2">
              <w:r>
                <w:rPr>
                  <w:rStyle w:val="InternetLink"/>
                </w:rPr>
                <w:t xml:space="preserve">Consequences to U.S.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COUHJG2">
              <w:r>
                <w:rPr>
                  <w:rStyle w:val="InternetLink"/>
                </w:rPr>
                <w:t>157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ONUJG2">
              <w:r>
                <w:rPr>
                  <w:rStyle w:val="InternetLink"/>
                </w:rPr>
                <w:t xml:space="preserve">Consequences to Non-U.S. 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ONUJG2">
              <w:r>
                <w:rPr>
                  <w:rStyle w:val="InternetLink"/>
                </w:rPr>
                <w:t>157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IBWJG2">
              <w:r>
                <w:rPr>
                  <w:rStyle w:val="InternetLink"/>
                </w:rPr>
                <w:t xml:space="preserve">Information Reporting and Backup Withholding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IBWJG2">
              <w:r>
                <w:rPr>
                  <w:rStyle w:val="InternetLink"/>
                </w:rPr>
                <w:t>158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APRI">
              <w:r>
                <w:rPr>
                  <w:rStyle w:val="InternetLink"/>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PRI">
              <w:r>
                <w:rPr>
                  <w:rStyle w:val="InternetLink"/>
                </w:rPr>
                <w:t xml:space="preserve">159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RHJG2">
              <w:r>
                <w:rPr>
                  <w:rStyle w:val="InternetLink"/>
                </w:rPr>
                <w:t xml:space="preserve">Record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RHJG2">
              <w:r>
                <w:rPr>
                  <w:rStyle w:val="InternetLink"/>
                </w:rPr>
                <w:t>160</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BOJG2">
              <w:r>
                <w:rPr>
                  <w:rStyle w:val="InternetLink"/>
                </w:rPr>
                <w:t>Beneficial Owners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BOJG2">
              <w:r>
                <w:rPr>
                  <w:rStyle w:val="InternetLink"/>
                </w:rPr>
                <w:t>160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AACMJG2">
              <w:r>
                <w:rPr>
                  <w:rStyle w:val="InternetLink"/>
                </w:rPr>
                <w:t xml:space="preserve">Actions After Consummation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AACMJG2">
              <w:r>
                <w:rPr>
                  <w:rStyle w:val="InternetLink"/>
                </w:rPr>
                <w:t>161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DFVJG2">
              <w:r>
                <w:rPr>
                  <w:rStyle w:val="InternetLink"/>
                </w:rPr>
                <w:t>Determination of Fair Value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FVJG2">
              <w:r>
                <w:rPr>
                  <w:rStyle w:val="InternetLink"/>
                </w:rPr>
                <w:t>162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RPT">
              <w:r>
                <w:rPr>
                  <w:rStyle w:val="InternetLink"/>
                </w:rPr>
                <w:t xml:space="preserve">Related Party Transactions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RPT">
              <w:r>
                <w:rPr>
                  <w:rStyle w:val="InternetLink"/>
                </w:rPr>
                <w:t xml:space="preserve">164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HOPM">
              <w:r>
                <w:rPr>
                  <w:rStyle w:val="InternetLink"/>
                </w:rPr>
                <w:t xml:space="preserve">Householding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HOPM">
              <w:r>
                <w:rPr>
                  <w:rStyle w:val="InternetLink"/>
                </w:rPr>
                <w:t xml:space="preserve">164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STPR">
              <w:r>
                <w:rPr>
                  <w:rStyle w:val="InternetLink"/>
                </w:rPr>
                <w:t xml:space="preserve">Stockholder Proposals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STPR">
              <w:r>
                <w:rPr>
                  <w:rStyle w:val="InternetLink"/>
                </w:rPr>
                <w:t xml:space="preserve">165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DS1R">
              <w:r>
                <w:rPr>
                  <w:rStyle w:val="InternetLink"/>
                </w:rPr>
                <w:t xml:space="preserve">Delinquent Section 16(A) Reports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S1R">
              <w:r>
                <w:rPr>
                  <w:rStyle w:val="InternetLink"/>
                </w:rPr>
                <w:t xml:space="preserve">165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EOS">
              <w:r>
                <w:rPr>
                  <w:rStyle w:val="InternetLink"/>
                </w:rPr>
                <w:t xml:space="preserve">Expenses of Solicitation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EOS">
              <w:r>
                <w:rPr>
                  <w:rStyle w:val="InternetLink"/>
                </w:rPr>
                <w:t xml:space="preserve">165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5"/>
      <w:bookmarkEnd w:id="6"/>
      <w:r>
        <w:rPr>
          <w:rFonts w:ascii="calibri;arial;sans-serif" w:hAnsi="calibri;arial;sans-serif"/>
          <w:b w:val="false"/>
          <w:i w:val="false"/>
          <w:caps w:val="false"/>
          <w:smallCaps w:val="false"/>
          <w:color w:val="000000"/>
          <w:sz w:val="16"/>
        </w:rPr>
        <w:t>​</w:t>
      </w:r>
      <w:bookmarkStart w:id="7" w:name="TOC6"/>
      <w:bookmarkEnd w:id="7"/>
      <w:r>
        <w:rPr>
          <w:rFonts w:ascii="calibri;arial;sans-serif" w:hAnsi="calibri;arial;sans-serif"/>
          <w:b w:val="false"/>
          <w:i w:val="false"/>
          <w:caps w:val="false"/>
          <w:smallCaps w:val="false"/>
          <w:color w:val="000000"/>
          <w:sz w:val="16"/>
        </w:rPr>
        <w:t xml:space="preserve">​ </w:t>
      </w:r>
    </w:p>
    <w:tbl>
      <w:tblPr>
        <w:tblW w:w="2523" w:type="dxa"/>
        <w:jc w:val="left"/>
        <w:tblInd w:w="680" w:type="dxa"/>
        <w:tblLayout w:type="fixed"/>
        <w:tblCellMar>
          <w:top w:w="0" w:type="dxa"/>
          <w:left w:w="0" w:type="dxa"/>
          <w:bottom w:w="0" w:type="dxa"/>
          <w:right w:w="0" w:type="dxa"/>
        </w:tblCellMar>
      </w:tblPr>
      <w:tblGrid>
        <w:gridCol w:w="124"/>
        <w:gridCol w:w="180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right"/>
              <w:rPr/>
            </w:pPr>
            <w:r>
              <w:rPr/>
              <w:t>Table of Contents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5310" w:type="dxa"/>
        <w:jc w:val="left"/>
        <w:tblInd w:w="680" w:type="dxa"/>
        <w:tblLayout w:type="fixed"/>
        <w:tblCellMar>
          <w:top w:w="0" w:type="dxa"/>
          <w:left w:w="0" w:type="dxa"/>
          <w:bottom w:w="0" w:type="dxa"/>
          <w:right w:w="0" w:type="dxa"/>
        </w:tblCellMar>
      </w:tblPr>
      <w:tblGrid>
        <w:gridCol w:w="124"/>
        <w:gridCol w:w="3961"/>
        <w:gridCol w:w="109"/>
        <w:gridCol w:w="109"/>
        <w:gridCol w:w="109"/>
        <w:gridCol w:w="109"/>
        <w:gridCol w:w="526"/>
        <w:gridCol w:w="109"/>
        <w:gridCol w:w="154"/>
      </w:tblGrid>
      <w:tr>
        <w:trPr/>
        <w:tc>
          <w:tcPr>
            <w:tcW w:w="124"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before="0" w:after="283"/>
              <w:jc w:val="left"/>
              <w:rPr/>
            </w:pPr>
            <w:hyperlink w:anchor="tWYCF">
              <w:r>
                <w:rPr>
                  <w:rStyle w:val="InternetLink"/>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hyperlink w:anchor="tWYCF">
              <w:r>
                <w:rPr>
                  <w:rStyle w:val="InternetLink"/>
                </w:rPr>
                <w:t xml:space="preserve">166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3961" w:type="dxa"/>
            <w:tcBorders/>
            <w:shd w:fill="D1D3EE" w:val="clear"/>
            <w:vAlign w:val="center"/>
          </w:tcPr>
          <w:p>
            <w:pPr>
              <w:pStyle w:val="TableContents"/>
              <w:bidi w:val="0"/>
              <w:spacing w:before="0" w:after="283"/>
              <w:jc w:val="left"/>
              <w:rPr/>
            </w:pPr>
            <w:hyperlink w:anchor="tOTMA1">
              <w:r>
                <w:rPr>
                  <w:rStyle w:val="InternetLink"/>
                </w:rPr>
                <w:t xml:space="preserve">Other Matters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6" w:type="dxa"/>
            <w:tcBorders/>
            <w:shd w:fill="D1D3EE" w:val="clear"/>
            <w:vAlign w:val="center"/>
          </w:tcPr>
          <w:p>
            <w:pPr>
              <w:pStyle w:val="TableContents"/>
              <w:bidi w:val="0"/>
              <w:spacing w:before="0" w:after="283"/>
              <w:jc w:val="right"/>
              <w:rPr/>
            </w:pPr>
            <w:hyperlink w:anchor="tOTMA1">
              <w:r>
                <w:rPr>
                  <w:rStyle w:val="InternetLink"/>
                </w:rPr>
                <w:t>167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TextBody"/>
        <w:bidi w:val="0"/>
        <w:spacing w:lineRule="atLeast" w:line="320" w:before="48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Annex Index</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8286"/>
        <w:gridCol w:w="109"/>
        <w:gridCol w:w="109"/>
        <w:gridCol w:w="109"/>
        <w:gridCol w:w="109"/>
        <w:gridCol w:w="415"/>
        <w:gridCol w:w="109"/>
        <w:gridCol w:w="155"/>
      </w:tblGrid>
      <w:tr>
        <w:trPr/>
        <w:tc>
          <w:tcPr>
            <w:tcW w:w="124" w:type="dxa"/>
            <w:tcBorders/>
            <w:vAlign w:val="center"/>
          </w:tcPr>
          <w:p>
            <w:pPr>
              <w:pStyle w:val="TableContents"/>
              <w:bidi w:val="0"/>
              <w:spacing w:before="0" w:after="283"/>
              <w:jc w:val="left"/>
              <w:rPr/>
            </w:pPr>
            <w:r>
              <w:rPr/>
              <w:t>​</w:t>
            </w:r>
          </w:p>
        </w:tc>
        <w:tc>
          <w:tcPr>
            <w:tcW w:w="8286" w:type="dxa"/>
            <w:tcBorders/>
            <w:vAlign w:val="center"/>
          </w:tcPr>
          <w:p>
            <w:pPr>
              <w:pStyle w:val="TableContents"/>
              <w:bidi w:val="0"/>
              <w:spacing w:lineRule="atLeast" w:line="288" w:before="0" w:after="0"/>
              <w:ind w:left="1680" w:right="0" w:hanging="0"/>
              <w:jc w:val="left"/>
              <w:rPr/>
            </w:pPr>
            <w:hyperlink w:anchor="tANA">
              <w:r>
                <w:rPr>
                  <w:rStyle w:val="InternetLink"/>
                </w:rPr>
                <w:t xml:space="preserve">Agreement and Plan of Merger, dated as of May 16, 2026, by and among LiveRamp Holdings, Inc., MMS USA Holdings, Inc., Covey Merger Sub, Inc., and solely for the purposes of Section 10.14 thereto, Publicis Groupe S.A. </w:t>
              </w:r>
            </w:hyperlink>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1066800" cy="365760"/>
                      <wp:effectExtent l="0" t="0" r="0" b="0"/>
                      <wp:wrapSquare wrapText="right"/>
                      <wp:docPr id="64" name="Frame60"/>
                      <a:graphic xmlns:a="http://schemas.openxmlformats.org/drawingml/2006/main">
                        <a:graphicData uri="http://schemas.microsoft.com/office/word/2010/wordprocessingShape">
                          <wps:wsp>
                            <wps:cNvSpPr txBox="1"/>
                            <wps:spPr>
                              <a:xfrm>
                                <a:off x="0" y="0"/>
                                <a:ext cx="1066800" cy="365760"/>
                              </a:xfrm>
                              <a:prstGeom prst="rect"/>
                              <a:solidFill>
                                <a:srgbClr val="FFFFFF"/>
                              </a:solidFill>
                            </wps:spPr>
                            <wps:txbx>
                              <w:txbxContent>
                                <w:p>
                                  <w:pPr>
                                    <w:pStyle w:val="TextBody"/>
                                    <w:bidi w:val="0"/>
                                    <w:spacing w:lineRule="atLeast" w:line="288" w:before="0" w:after="283"/>
                                    <w:jc w:val="left"/>
                                    <w:rPr/>
                                  </w:pPr>
                                  <w:hyperlink w:anchor="tANA">
                                    <w:r>
                                      <w:rPr>
                                        <w:rStyle w:val="InternetLink"/>
                                      </w:rPr>
                                      <w:t>Annex A:</w:t>
                                      <w:br/>
                                    </w:r>
                                  </w:hyperlink>
                                </w:p>
                              </w:txbxContent>
                            </wps:txbx>
                            <wps:bodyPr anchor="t" lIns="0" tIns="0" rIns="0" bIns="0">
                              <a:noAutofit/>
                            </wps:bodyPr>
                          </wps:wsp>
                        </a:graphicData>
                      </a:graphic>
                    </wp:anchor>
                  </w:drawing>
                </mc:Choice>
                <mc:Fallback>
                  <w:pict>
                    <v:rect style="position:absolute;rotation:-0;width:84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hyperlink w:anchor="tANA">
                              <w:r>
                                <w:rPr>
                                  <w:rStyle w:val="InternetLink"/>
                                </w:rPr>
                                <w:t>Annex A:</w:t>
                                <w:br/>
                              </w:r>
                            </w:hyperlink>
                          </w:p>
                        </w:txbxContent>
                      </v:textbox>
                      <w10:wrap type="square" side="right"/>
                    </v:rect>
                  </w:pict>
                </mc:Fallback>
              </mc:AlternateContent>
            </w:r>
          </w:p>
          <w:p>
            <w:pPr>
              <w:pStyle w:val="TableContents"/>
              <w:bidi w:val="0"/>
              <w:spacing w:before="0" w:after="0"/>
              <w:ind w:left="0" w:right="0" w:hanging="0"/>
              <w:jc w:val="left"/>
              <w:rPr/>
            </w:pPr>
            <w:hyperlink w:anchor="tAN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5" w:type="dxa"/>
            <w:tcBorders/>
            <w:vAlign w:val="center"/>
          </w:tcPr>
          <w:p>
            <w:pPr>
              <w:pStyle w:val="TableContents"/>
              <w:bidi w:val="0"/>
              <w:spacing w:before="0" w:after="283"/>
              <w:jc w:val="right"/>
              <w:rPr/>
            </w:pPr>
            <w:hyperlink w:anchor="tANA">
              <w:r>
                <w:rPr>
                  <w:rStyle w:val="InternetLink"/>
                </w:rPr>
                <w:t xml:space="preserve">A-1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286" w:type="dxa"/>
            <w:tcBorders/>
            <w:shd w:fill="D1D3EE" w:val="clear"/>
            <w:vAlign w:val="center"/>
          </w:tcPr>
          <w:p>
            <w:pPr>
              <w:pStyle w:val="TableContents"/>
              <w:bidi w:val="0"/>
              <w:spacing w:lineRule="atLeast" w:line="240" w:before="0" w:after="0"/>
              <w:ind w:left="1680" w:right="0" w:hanging="0"/>
              <w:jc w:val="left"/>
              <w:rPr/>
            </w:pPr>
            <w:hyperlink w:anchor="tANB">
              <w:r>
                <w:rPr>
                  <w:rStyle w:val="InternetLink"/>
                </w:rPr>
                <w:t xml:space="preserve">Opinion of Evercore Group L.L.C., dated May 16, 2026 </w:t>
              </w:r>
            </w:hyperlink>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10668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B">
                                    <w:r>
                                      <w:rPr>
                                        <w:rStyle w:val="InternetLink"/>
                                      </w:rPr>
                                      <w:t>Annex B:</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B">
                              <w:r>
                                <w:rPr>
                                  <w:rStyle w:val="InternetLink"/>
                                </w:rPr>
                                <w:t>Annex B:</w:t>
                                <w:br/>
                              </w:r>
                            </w:hyperlink>
                          </w:p>
                        </w:txbxContent>
                      </v:textbox>
                      <w10:wrap type="square" side="right"/>
                    </v:rect>
                  </w:pict>
                </mc:Fallback>
              </mc:AlternateContent>
            </w:r>
          </w:p>
          <w:p>
            <w:pPr>
              <w:pStyle w:val="TableContents"/>
              <w:bidi w:val="0"/>
              <w:spacing w:before="0" w:after="0"/>
              <w:ind w:left="0" w:right="0" w:hanging="0"/>
              <w:jc w:val="left"/>
              <w:rPr/>
            </w:pPr>
            <w:hyperlink w:anchor="tANB">
              <w:r>
                <w:rPr>
                  <w:rStyle w:val="InternetLink"/>
                </w:rPr>
                <w: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15" w:type="dxa"/>
            <w:tcBorders/>
            <w:shd w:fill="D1D3EE" w:val="clear"/>
            <w:vAlign w:val="center"/>
          </w:tcPr>
          <w:p>
            <w:pPr>
              <w:pStyle w:val="TableContents"/>
              <w:bidi w:val="0"/>
              <w:spacing w:before="0" w:after="283"/>
              <w:jc w:val="right"/>
              <w:rPr/>
            </w:pPr>
            <w:hyperlink w:anchor="tANB">
              <w:r>
                <w:rPr>
                  <w:rStyle w:val="InternetLink"/>
                </w:rPr>
                <w:t xml:space="preserve">B-1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286" w:type="dxa"/>
            <w:tcBorders/>
            <w:vAlign w:val="center"/>
          </w:tcPr>
          <w:p>
            <w:pPr>
              <w:pStyle w:val="TableContents"/>
              <w:bidi w:val="0"/>
              <w:spacing w:lineRule="atLeast" w:line="240" w:before="0" w:after="0"/>
              <w:ind w:left="1680" w:right="0" w:hanging="0"/>
              <w:jc w:val="left"/>
              <w:rPr/>
            </w:pPr>
            <w:hyperlink w:anchor="tANC">
              <w:r>
                <w:rPr>
                  <w:rStyle w:val="InternetLink"/>
                </w:rPr>
                <w:t xml:space="preserve">Amended and Restated 2005 Equity Compensation Plan </w:t>
              </w:r>
            </w:hyperlink>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10668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C">
                                    <w:r>
                                      <w:rPr>
                                        <w:rStyle w:val="InternetLink"/>
                                      </w:rPr>
                                      <w:t>Annex C:</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C">
                              <w:r>
                                <w:rPr>
                                  <w:rStyle w:val="InternetLink"/>
                                </w:rPr>
                                <w:t>Annex C:</w:t>
                                <w:br/>
                              </w:r>
                            </w:hyperlink>
                          </w:p>
                        </w:txbxContent>
                      </v:textbox>
                      <w10:wrap type="square" side="right"/>
                    </v:rect>
                  </w:pict>
                </mc:Fallback>
              </mc:AlternateContent>
            </w:r>
          </w:p>
          <w:p>
            <w:pPr>
              <w:pStyle w:val="TableContents"/>
              <w:bidi w:val="0"/>
              <w:spacing w:before="0" w:after="0"/>
              <w:ind w:left="0" w:right="0" w:hanging="0"/>
              <w:jc w:val="left"/>
              <w:rPr/>
            </w:pPr>
            <w:hyperlink w:anchor="tAN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5" w:type="dxa"/>
            <w:tcBorders/>
            <w:vAlign w:val="center"/>
          </w:tcPr>
          <w:p>
            <w:pPr>
              <w:pStyle w:val="TableContents"/>
              <w:bidi w:val="0"/>
              <w:spacing w:before="0" w:after="283"/>
              <w:jc w:val="right"/>
              <w:rPr/>
            </w:pPr>
            <w:hyperlink w:anchor="tANC">
              <w:r>
                <w:rPr>
                  <w:rStyle w:val="InternetLink"/>
                </w:rPr>
                <w:t xml:space="preserve">C-1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286" w:type="dxa"/>
            <w:tcBorders/>
            <w:shd w:fill="D1D3EE" w:val="clear"/>
            <w:vAlign w:val="center"/>
          </w:tcPr>
          <w:p>
            <w:pPr>
              <w:pStyle w:val="TableContents"/>
              <w:bidi w:val="0"/>
              <w:spacing w:lineRule="atLeast" w:line="240" w:before="0" w:after="0"/>
              <w:ind w:left="1680" w:right="0" w:hanging="0"/>
              <w:jc w:val="left"/>
              <w:rPr/>
            </w:pPr>
            <w:hyperlink w:anchor="tAND">
              <w:r>
                <w:rPr>
                  <w:rStyle w:val="InternetLink"/>
                </w:rPr>
                <w:t xml:space="preserve">Preliminary Proxy Card </w:t>
              </w:r>
            </w:hyperlink>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10668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D">
                                    <w:r>
                                      <w:rPr>
                                        <w:rStyle w:val="InternetLink"/>
                                      </w:rPr>
                                      <w:t>Annex D:</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D">
                              <w:r>
                                <w:rPr>
                                  <w:rStyle w:val="InternetLink"/>
                                </w:rPr>
                                <w:t>Annex D:</w:t>
                                <w:br/>
                              </w:r>
                            </w:hyperlink>
                          </w:p>
                        </w:txbxContent>
                      </v:textbox>
                      <w10:wrap type="square" side="right"/>
                    </v:rect>
                  </w:pict>
                </mc:Fallback>
              </mc:AlternateContent>
            </w:r>
          </w:p>
          <w:p>
            <w:pPr>
              <w:pStyle w:val="TableContents"/>
              <w:bidi w:val="0"/>
              <w:spacing w:before="0" w:after="0"/>
              <w:ind w:left="0" w:right="0" w:hanging="0"/>
              <w:jc w:val="left"/>
              <w:rPr/>
            </w:pPr>
            <w:hyperlink w:anchor="tAND">
              <w:r>
                <w:rPr>
                  <w:rStyle w:val="InternetLink"/>
                </w:rPr>
                <w: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15" w:type="dxa"/>
            <w:tcBorders/>
            <w:shd w:fill="D1D3EE" w:val="clear"/>
            <w:vAlign w:val="center"/>
          </w:tcPr>
          <w:p>
            <w:pPr>
              <w:pStyle w:val="TableContents"/>
              <w:bidi w:val="0"/>
              <w:spacing w:before="0" w:after="283"/>
              <w:jc w:val="right"/>
              <w:rPr/>
            </w:pPr>
            <w:hyperlink w:anchor="tAND">
              <w:r>
                <w:rPr>
                  <w:rStyle w:val="InternetLink"/>
                </w:rPr>
                <w:t>D-1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UMMARY</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summary highlights information contained elsewhere in this proxy statement and may not contain all the information that is important to you with respect to the Merger. We urge you to read carefully the remainder of this proxy statement, including the attached annexes, and the other documents to which we have referred you. For additional information on LiveRamp included in documents incorporated by reference into this proxy statement, see the section entitled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 xml:space="preserve">” beginning on page [  ] of this proxy statement. We have included page references in this summary to direct you to a more complete description of the topics presented below.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Unless otherwise indicated or as the context otherwise requires, all references to “LiveRamp”, the “Company”, “we”, “us”, or “our” in this proxy statement refer to LiveRamp Holdings, Inc., a Delaware corporation; all references to “Parent” refer to MMS USA Holdings, Inc., a Delaware corporation and a wholly owned subsidiary of Publicis (as defined below); all references to “Publicis” refer to Publicis Groupe S.A., a French société anonyme; all references to “Merger Sub” refer to Covey Merger Sub, Inc., a Delaware corporation and a wholly owned direct subsidiary of Parent; all references to “Common Stock” refer to the common stock, par value $0.10 per share, of LiveRamp; all references to the “Board” refer to the board of directors of LiveRamp; all references to the “Merger” refer to the proposed merger of Merger Sub with and into LiveRamp, with LiveRamp surviving as a wholly owned direct subsidiary of Parent; all references to the “Merger Agreement” refer to the Agreement and Plan of Merger, dated as of May 16, 2026, as it may be amended or supplemented from time to time, by and among LiveRamp, Parent, Merger Sub, and solely for the purposes of Section 10.14 of the Merger Agreement, Publicis, a copy of which is included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LiveRamp, following the completion of the Merger, is sometimes referred to in this proxy statement as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Parties to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artificial intelligence (“AI”) 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the New York Stock Exchange (“NYSE”)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Publicis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Parent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Merger Sub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Merger Sub is a wholly owned direct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Date, Time and Place of the Special Meeting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[      ], 2026 beginning at [      ]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(the “virtual meeting website”). At the Special Meeting, stockholders who owned shares of Common Stock as of the Record Date will be able to attend and vote via the internet by logging in to the virtual meeting website. Whether or not you plan to attend the Special Meeting, we urge you to vote and submit your proxy in advance of the Special Meeting by one of the methods described in these proxy materials. You will not be able to attend the Special Meeting in-person.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Purpose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Special Meeting is being held in order to consider and vote on the following proposals: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Merger Agreement Proposal</w:t>
      </w:r>
      <w:r>
        <w:rPr>
          <w:rFonts w:ascii="Arial;Helvetica;sans-serif" w:hAnsi="Arial;Helvetica;sans-serif"/>
          <w:b w:val="false"/>
          <w:i w:val="false"/>
          <w:caps w:val="false"/>
          <w:smallCaps w:val="false"/>
          <w:color w:val="000000"/>
          <w:sz w:val="20"/>
        </w:rPr>
        <w:t> — to adopt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Adjournment Proposal</w:t>
      </w:r>
      <w:r>
        <w:rPr>
          <w:rFonts w:ascii="Arial;Helvetica;sans-serif" w:hAnsi="Arial;Helvetica;sans-serif"/>
          <w:b w:val="false"/>
          <w:i w:val="false"/>
          <w:caps w:val="false"/>
          <w:smallCaps w:val="false"/>
          <w:color w:val="000000"/>
          <w:sz w:val="20"/>
        </w:rPr>
        <w:t> — to approve the adjournment of the Special Meeting, and any adjourned session of the Special Meeting, if necessary or appropriate, to solicit additional proxies if there are insufficient votes to approve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Director Election Proposal</w:t>
      </w:r>
      <w:r>
        <w:rPr>
          <w:rFonts w:ascii="Arial;Helvetica;sans-serif" w:hAnsi="Arial;Helvetica;sans-serif"/>
          <w:b w:val="false"/>
          <w:i w:val="false"/>
          <w:caps w:val="false"/>
          <w:smallCaps w:val="false"/>
          <w:color w:val="000000"/>
          <w:sz w:val="20"/>
        </w:rPr>
        <w:t> — to elect as directors the three nominees named in the attached proxy statement for a three-year term expiring in 2029;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Share Increase Proposal</w:t>
      </w:r>
      <w:r>
        <w:rPr>
          <w:rFonts w:ascii="Arial;Helvetica;sans-serif" w:hAnsi="Arial;Helvetica;sans-serif"/>
          <w:b w:val="false"/>
          <w:i w:val="false"/>
          <w:caps w:val="false"/>
          <w:smallCaps w:val="false"/>
          <w:color w:val="000000"/>
          <w:sz w:val="20"/>
        </w:rPr>
        <w:t xml:space="preserve"> — to approve an increase in the number of shares available for issuance under the 2005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Say-On-Pay Proposal</w:t>
      </w:r>
      <w:r>
        <w:rPr>
          <w:rFonts w:ascii="Arial;Helvetica;sans-serif" w:hAnsi="Arial;Helvetica;sans-serif"/>
          <w:b w:val="false"/>
          <w:i w:val="false"/>
          <w:caps w:val="false"/>
          <w:smallCaps w:val="false"/>
          <w:color w:val="000000"/>
          <w:sz w:val="20"/>
        </w:rPr>
        <w:t> — to approve, on an advisory (non-binding) basis, the compensation of our named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Auditor Ratification Proposal</w:t>
      </w:r>
      <w:r>
        <w:rPr>
          <w:rFonts w:ascii="Arial;Helvetica;sans-serif" w:hAnsi="Arial;Helvetica;sans-serif"/>
          <w:b w:val="false"/>
          <w:i w:val="false"/>
          <w:caps w:val="false"/>
          <w:smallCaps w:val="false"/>
          <w:color w:val="000000"/>
          <w:sz w:val="20"/>
        </w:rPr>
        <w:t> — to ratify the selection of KPMG LLP as the Company’s independent registered public accountant for fiscal year 2027;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Merger Compensation Proposal</w:t>
      </w:r>
      <w:r>
        <w:rPr>
          <w:rFonts w:ascii="Arial;Helvetica;sans-serif" w:hAnsi="Arial;Helvetica;sans-serif"/>
          <w:b w:val="false"/>
          <w:i w:val="false"/>
          <w:caps w:val="false"/>
          <w:smallCaps w:val="false"/>
          <w:color w:val="000000"/>
          <w:sz w:val="20"/>
        </w:rPr>
        <w:t> — to approve, on an advisory (non-binding) basis, the compensation that may be paid or become payable to LiveRamp’s named executive officers that is based on or otherwise relates to the Merger;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Other Transactions</w:t>
      </w:r>
      <w:r>
        <w:rPr>
          <w:rFonts w:ascii="Arial;Helvetica;sans-serif" w:hAnsi="Arial;Helvetica;sans-serif"/>
          <w:b w:val="false"/>
          <w:i w:val="false"/>
          <w:caps w:val="false"/>
          <w:smallCaps w:val="false"/>
          <w:color w:val="000000"/>
          <w:sz w:val="20"/>
        </w:rPr>
        <w:t> — to transact any other business that may properly come before the Special Meeting or any postponement or adjournment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Record Date; Stockholders Entitled to Vote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Only holders of record of Common Stock at the close of business on [  ], 2026, the Record Date, will be entitled to notice of, and to vote at, the Special Meeting or any adjournments or postponements of the Special Meeting. At the close of business on the Record Date, [    ] shares of Common Stock were issued and outstanding. The holders of Common Stock will have one vote for each share of Common Stock they owned as of the close of business on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Quorum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of stockholders is necessary to hold a valid meeting. The presence virtually via the internet or by proxy of the holders of a majority of the Common Stock issued and outstanding as of the Record Date is required to establish a quorum at the Special Meeting. If a quorum is established, each holder of Common Stock shall be entitled to one vote on each of the matters presented at the Special Meeting for each share of Common Stock outstanding in his or her name on the Record Date. If a quorum is not present at any meeting of stockholders, the stockholders entitled to vote at such meeting, present virtually via the internet or represented by proxy, may adjourn the meeting from time to time (without notice other than announcement at the meeting) until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Required Vote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of each nominee included in the Director Election Proposal requires the majority of votes cast for each nominee. In an uncontested election, a nominee who does not receive a majority of the votes cast will not be elected, and the Board has established procedures under which any incumbent director who fails to receive a majority of the votes cast in his or her election will tender his or her resignation to the Board. The Board will act upon a tendered resignation within ninety (90) days of the date on which the election results were certified and will promptly make public disclosure of the results of its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Adjournment Proposal, the Share Increase Proposal, the Say-On-Pay Proposal, the Auditor Ratification Proposal and the Merger Compensation Proposal requires the affirmative vote of a majority of the votes cast on each proposal. Assuming a quorum, abstentions and broker non-votes will have no effect on the approval of each proposal, except for the Auditor Ratification Proposal to which broker non-votes are not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majority of votes cast means that the number of votes cast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a director nominee’s election or a proposal must exceed the number of votes cast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it.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[      ] shares of Common Stock (not including any shares of Common Stock deliverable upon exercise of or underlying any LiveRamp equity awards) representing approximately [  ]%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[      ] shares of Common Stock (or about [  ]% of the outstanding Common Stock) to be voted in favor of the Merger Agreement Proposal to approve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Proxies and Revocation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of record entitled to vote at the Special Meeting may vote at the Special Meeting, or by submitting a proxy to vote via the internet, by telephone or by mail using the enclosed postage-prepaid envelope. If you are a beneficial owner of shares of Common Stock, and your shares of Common Stock are held in “street name”, you should instruct your bank, broker or other nominee on how to vote your shares of Common Stock using the instructions provided by your bank, broker or other nominee. </w:t>
      </w:r>
      <w:r>
        <w:rPr>
          <w:rFonts w:ascii="Arial;Helvetica;sans-serif" w:hAnsi="Arial;Helvetica;sans-serif"/>
          <w:b/>
          <w:i w:val="false"/>
          <w:caps w:val="false"/>
          <w:smallCaps w:val="false"/>
          <w:color w:val="000000"/>
          <w:sz w:val="20"/>
        </w:rPr>
        <w:t>If you fail to submit a proxy or fail to vote at the Special Meeting, or you do not provide your bank, broker or other nominee with instructions, as applicable, your shares of Common Stock will not be voted on the Merger Agreement Proposal, which will have the same effect as a vote “AGAINST”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fail to vote at the Special Meeting, fail to return your proxy card or fail to submit your proxy to vote via the internet or by telephone, or if your shares of Common Stock are held in “street name” by your bank, broker or other nominee, and you fail to instruct your bank, broker or other nominee to vote, your shares of Common Stock will not be voted and will not have an effect on the approval of the Adjournment Proposal, the nominees included in the Director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Proposal, the Share Increase Proposal, the Say-On-Pay Proposal and the Merger Compensation Proposal, assuming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to our Corporate Secretary, c/o LiveRamp Holdings, Inc., 301 Main Street, 2nd Floor, Little Rock, AR 72201. In addition, you may revoke your proxy by attending the Special Meeting and voting; however, attending the Special Meeting alone will not revoke your written, internet or telephone proxy, as the case may be, unless you specifically request revocation or vote virtually via the internet during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follow the voting instructions from that organization included with these proxy materials, or contact that organization to determine how you may revoke your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We encourage you to read the entire Merger Agreement carefully because it is the principal document governing the Merger. For more information on the Merger Agreement, see the section entitled “</w:t>
      </w:r>
      <w:r>
        <w:rPr>
          <w:rFonts w:ascii="Arial;Helvetica;sans-serif" w:hAnsi="Arial;Helvetica;sans-serif"/>
          <w:b w:val="false"/>
          <w:i/>
          <w:caps w:val="false"/>
          <w:smallCaps w:val="false"/>
          <w:color w:val="000000"/>
          <w:sz w:val="20"/>
        </w:rPr>
        <w:t>The Merger Agreement</w:t>
      </w:r>
      <w:r>
        <w:rPr>
          <w:rFonts w:ascii="Arial;Helvetica;sans-serif" w:hAnsi="Arial;Helvetica;sans-serif"/>
          <w:b w:val="false"/>
          <w:i w:val="false"/>
          <w:caps w:val="false"/>
          <w:smallCaps w:val="false"/>
          <w:color w:val="000000"/>
          <w:sz w:val="20"/>
        </w:rPr>
        <w:t>” beginning on page [  ]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Merger Agreement, at the effective time of the Merger (the “Effective Time”), Merger Sub will be merged with and into LiveRamp. LiveRamp will survive the Merger as a wholly owned direct subsidiary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The Merger Consideration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terms and subject to the conditions set forth in the Merger Agreement, each share of Common Stock issued and outstanding at the Effective Time (other than (i) Common Stock owned by stockholders that have properly perfected their rights of appraisal within the meaning of Section 262 of the Delaware General Corporation Law (“DGCL”), (ii) Common Stock owned or held in treasury by the Company, Parent or Merger Sub and (iii) Common Stock owned by any direct or indirect wholly owned subsidiary of Parent (other than Merger Sub) or of the Company and such shares, together with the shares described in (i) and (ii), the “Excluded Shares”) (the “Eligible Shares”) will be converted into the right to receive $38.50 in cash, without interest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Recommendation of the Board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unanimously (i) determined that the terms of the Merger Agreement and the transactions contemplated thereby, including the Merger (the “Transactions”),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 Certain factors considered by the Board in reaching its recommendation can be found in the section entitled “</w:t>
      </w:r>
      <w:r>
        <w:rPr>
          <w:rFonts w:ascii="Arial;Helvetica;sans-serif" w:hAnsi="Arial;Helvetica;sans-serif"/>
          <w:b w:val="false"/>
          <w:i/>
          <w:caps w:val="false"/>
          <w:smallCaps w:val="false"/>
          <w:color w:val="000000"/>
          <w:sz w:val="20"/>
        </w:rPr>
        <w:t>The Merger Agreement (Proposal 1) — Recommendation of the Board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i w:val="false"/>
          <w:caps w:val="false"/>
          <w:smallCaps w:val="false"/>
          <w:color w:val="000000"/>
          <w:sz w:val="20"/>
        </w:rPr>
        <w:t>The Board recommends that stockholders vote “FOR” the Merger Agreement Proposal, and “FOR”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 xml:space="preserve">Opinion of Evercore Group L.L.C. (see page [  ] and </w:t>
      </w:r>
      <w:r>
        <w:rPr>
          <w:rFonts w:ascii="Arial;Helvetica;sans-serif" w:hAnsi="Arial;Helvetica;sans-serif"/>
          <w:b/>
          <w:i w:val="false"/>
          <w:caps w:val="false"/>
          <w:smallCaps w:val="false"/>
          <w:color w:val="40B4E5"/>
          <w:sz w:val="24"/>
        </w:rPr>
        <w:t>Annex B</w:t>
      </w:r>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retained Evercore Group L.L.C. (“Evercore”) to act as its financial advisor in connection with the proposed Merger. As part of this engagement, LiveRamp requested that Evercore evaluate the fairness, from a financial point of view, of the Merger Consideration to be received by the holders of the Common Stock (other than any (i) Dissenting Shares, (ii) Cancelled Shares or (iii) Converted Shares, together with any other shares of Common Stock held by LiveRamp, Parent or any of their respective affiliates, the “Fairness Opinion Excluded Shares”) in the Merger pursuant to the Merger Agreement. At a meeting of the Board held on May 15, 2026, Evercore rendered to the Board its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opinion, subsequently delivered in writing on May 16, 2026, to the effect that, as of the date of such opinion and based upon and subject to the assumptions, limitations, qualifications, and conditions described therein, the Merger Consideration to be received by the holders of the Common Stock (other than Fairness Opinion Excluded Shares) in the Merger pursuant to the Merger Agreement, was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full text of the written opinion of Evercore, dated as of May 16, 2026, which sets forth, among other things, the procedures followed, assumptions made, matters considered and qualifications and limitations on the scope of review undertaken in rendering its opinion, is attached as Annex B to this proxy statement and is incorporated herein by reference. LiveRamp encourages you to read this opinion carefully and in its entirety. Evercore’s opinion was addressed to, and provided for the information and benefit of, the Board (in its capacity as such) in connection with its evaluation of the proposed Merger. Evercore’s opinion did not, and the summary of its opinion and the related analyses set forth in this proxy statement do not, constitute a recommendation to the Board or to any other persons in respect of the Merger, including as to how any holder of shares of Common Stock should vote or act in respect of the Merger. Evercore’s opinion does not address the relative merits of the Merger as compared to other business or financial strategies that might be available to LiveRamp, or whether or not such other business or financial strategies could be achieved or are available, nor does it address the underlying business decision of LiveRamp to engage in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more information, see the section entitled “The Merger Agreement — Opinion of Evercore Group L.L.C.”, and the full text of the written opinion of Evercore attached as Annex B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Interests of LiveRamp’s Directors and Executive Officers in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LiveRamp stockholders approve the adoption of the Merger Agreement, LiveRamp stockholders should be aware that the executive officers and directors of LiveRamp have certain interests in the Merger Agreement, the Merger and the other transactions contemplated by the Merger Agreement that may be different from, or in addition to, the interests of LiveRamp stockholders generally. These interests include, among others, as applicable, the treatment of outstanding LiveRamp equity awards, potential severance payments and benefits under our severance arrangements, cash retention awards and continued indemnification and insurance coverage. The Board was aware of these interests and considered them, among other matters, in approving the Merger Agreement and in making their recommendation that LiveRamp stockholders approve the adoption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Financing of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Completion of the Merger (the “Closing”) is not subject to a financing condition. Parent has represented in the Merger Agreement that it has, and will have at the Closing, access to cash sufficient to pay the aggregate Merger Consideration and consummate the Transactions, and to perform all of its other obligations under the Merger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Closing and Effective Time of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expect to complete the Merger by December 31, 2026, subject to fulfillment of customary conditions to Closing, including approval of the Merger Agreement Proposal by LiveRamp stockholders and receipt of required regulatory approvals and clearances. The Merger is subject to various regulatory approvals and clearances and other conditions, and it is possible that factors outside the control of LiveRamp, Parent and Merger Sub could result in the Merger being completed at a later time, or not at all. There may be a substantial amount of time between the Special Meeting and the completion of the Merger. We expect to complete the Merger promptly following the receipt of all required approvals. The date on which the Closing takes place is referred to as the “Closing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Regulatory Approvals and Clearances Required for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Before the Merger may be completed, the parties are required to use reasonable best efforts to obtain the regulatory clearances, consents and approvals necessary or advisable to consummate the Merger and the other Transactions, including (i) the expiration or termination of the applicable waiting periods (and any extensions thereof) under the Hart-Scott-Rodino Antitrust Improvements Act of 1976, as amended (the “HSR Act”) and, if applicable, any agreements or commitments with a government entity, including the Antitrust Division of the Department of Justice (the “DOJ”) or the Federal Trade Commission (the “FTC”) not to consummate the Merger must have expired or been terminated, (ii) certain non-U.S. antitrust and foreign direct investment (“FDI”) approvals, consents or clearances with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respect to the Merger under certain other applicable antitrust laws and FDI laws of jurisdictions specified in the LiveRamp Disclosure Letter (as defined below) must have been obtained, and (iii) the approval of the Committee on Foreign Investment in the United States (“CFIUS”) under Section 721 of the Defense Production Act of 1950, as amended, must have been obtained.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and the impact of the parties’ foreign investment in the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approvals that are granted may impose terms and conditions, limitations, obligations or costs, or place restrictions on Parent’s conduct in operating the business following the Closing or require changes to the terms of the Merger Agreement. There can be no assurance that any such conditions, terms, obligations or restrictions will not result in the delay or abandonment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11, 2026, Publicis and LiveRamp filed their respective Premerger Notification and Report Forms in connection with the Merger with the DOJ and the FTC.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The Merger Agreement — Regulatory Filings and Efforts to Consummate</w:t>
      </w:r>
      <w:r>
        <w:rPr>
          <w:rFonts w:ascii="Arial;Helvetica;sans-serif" w:hAnsi="Arial;Helvetica;sans-serif"/>
          <w:b w:val="false"/>
          <w:i w:val="false"/>
          <w:caps w:val="false"/>
          <w:smallCaps w:val="false"/>
          <w:color w:val="000000"/>
          <w:sz w:val="20"/>
        </w:rPr>
        <w:t>” for a description of the parties’ obligations with respect to regulatory approvals related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Material U.S. Federal Income Tax Consequences of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tax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and consult your tax advisor regarding the particular tax consequences of the Merger to you, including any tax consequences arising under any U.S. federal non-income tax laws or the laws of any state, local or foreign taxing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Appraisal Rights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LiveRamp stockholders who do not vote in favor of the Merger Agreement Proposal are entitled to appraisal rights under the DGCL in connection with the Merger, provided that such stockholders fully comply with the requirements of Section 262 of the DGCL, which are further summarized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This means that you may be entitled to have the “fair value” of your shares of Common Stock, exclusive of any element of value arising from the accomplishment or expectation of the Merger, as determined by the Delaware Court of Chancery, to be paid upon the amount determined to be “fair value”, in lieu of the amount of  $38.50 per share you would have received pursuant to the Merger Agreement, if you follow exactly the procedures set forth in Section 262 of the DGCL. The ultimate amount you may receive in an appraisal proceeding may be less than, equal to or more than the amount you would have otherwise received under the Merger Agreement if you do not seek appraisal of your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exercise your appraisal rights with respect to your shares of Common Stock, you must, among other things, deliver a written demand for appraisal to LiveRamp before the vote is taken on the Merger Agreement Proposal and you must not vote (either virtually during the Special Meeting or by proxy) in favor of the Merger Agreement Proposal with respect to such shares of Common Stock, and you must continue to hold such shares of Common Stock from the date of making the demand for appraisal through the Effective Time. As such, merely voting against, abstaining or failing to vote on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20"/>
        </w:rPr>
        <w:t>Merger Agreement Proposal will not by itself preserve your right to appraisal under the DGCL. If you fail to follow exactly the procedures set forth in Section 262 of the DGCL, you will lose your appraisal rights. The requirements for exercising appraisal rights are further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19"/>
        </w:rPr>
        <w:t>”</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We encourage you to read these provisions carefully and in their entirety.</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hold your shares of Common Stock through a bank, broker or other nominee and you wish to exercise your appraisal rights, you should consult with your bank, broker or other nominee to determine the appropriate procedures. In view of the complexity of the DGCL, LiveRamp stockholders who may wish to pursue appraisal rights should consult their legal and financial advisors promptly. The discussion of appraisal rights in this proxy statement is not a full summary of the law pertaining to appraisal rights under the DGCL, and is qualified in its entirety by the full text of Section 262 of the DGCL, accessible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Delisting and Deregistration of LiveRamp Common Stock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Common Stock will be delisted from the NYSE and deregistered under the Securities Exchange Act of 1934 (as amended, and all rules and regulations promulgated thereunder, collectively,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The Merger Agreement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Treatment of Common Stock and Equity Awards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1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Common Stock.</w:t>
      </w:r>
      <w:r>
        <w:rPr>
          <w:rFonts w:ascii="Arial;Helvetica;sans-serif" w:hAnsi="Arial;Helvetica;sans-serif"/>
          <w:b w:val="false"/>
          <w:i w:val="false"/>
          <w:caps w:val="false"/>
          <w:smallCaps w:val="false"/>
          <w:color w:val="000000"/>
          <w:sz w:val="20"/>
        </w:rPr>
        <w:t>   At the Effective Time, by virtue of the Merger and without any action on the part of any person, each Eligible Share will be automatically cancelled, extinguished and converted into the right to receive an amount in cash equal to $38.50, without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127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8pt;mso-wrap-distance-bottom:0pt;margin-top:5.8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Options.</w:t>
      </w:r>
      <w:r>
        <w:rPr>
          <w:rFonts w:ascii="Arial;Helvetica;sans-serif" w:hAnsi="Arial;Helvetica;sans-serif"/>
          <w:b w:val="false"/>
          <w:i w:val="false"/>
          <w:caps w:val="false"/>
          <w:smallCaps w:val="false"/>
          <w:color w:val="000000"/>
          <w:sz w:val="20"/>
        </w:rPr>
        <w:t>   At the Effective Time, each outstanding option to purchase shares of Common Stock (each, a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Awards.</w:t>
      </w:r>
      <w:r>
        <w:rPr>
          <w:rFonts w:ascii="Arial;Helvetica;sans-serif" w:hAnsi="Arial;Helvetica;sans-serif"/>
          <w:b w:val="false"/>
          <w:i w:val="false"/>
          <w:caps w:val="false"/>
          <w:smallCaps w:val="false"/>
          <w:color w:val="000000"/>
          <w:sz w:val="20"/>
        </w:rPr>
        <w:t>   At the Effective Time, each outstanding award of restricted shares of Common Stock (each, a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Unit Awards and Performance Stock Unit Awards.</w:t>
      </w:r>
      <w:r>
        <w:rPr>
          <w:rFonts w:ascii="Arial;Helvetica;sans-serif" w:hAnsi="Arial;Helvetica;sans-serif"/>
          <w:b w:val="false"/>
          <w:i w:val="false"/>
          <w:caps w:val="false"/>
          <w:smallCaps w:val="false"/>
          <w:color w:val="000000"/>
          <w:sz w:val="20"/>
        </w:rPr>
        <w:t xml:space="preserve">   At the Effective Time, each outstanding time-vesting restricted stock unit award (each, a “LiveRamp RSU Award”) and each outstanding performance-vesting restricted stock unit award (each, a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w:t>
      </w:r>
      <w:r>
        <mc:AlternateContent>
          <mc:Choice Requires="wps">
            <w:drawing>
              <wp:anchor behindDoc="0" distT="74930" distB="0" distL="127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 Solicitation; Change in Board Recommendation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agreed that it will not, and will cause each of its representatives not to, directly or indirectly: (i) solicit, initiate or knowingly encourage or facilitate (including by way of providing information or taking any other action) any inquiry, proposal, offer, or the making, submission or announcement of any inquiry, proposal or offer which constitutes or would reasonably be expected to lead to an Acquisition Proposal; (ii) participate in any negotiations regarding, or furnish to any person any information relating to LiveRamp or any of its subsidiaries in connection with an actual or potential Acquisition Proposal (other than solely to state that LiveRamp and its representatives are prohibited from engaging in any such discussions or negotiations); (iii) adopt, approve, endorse or recommend, or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the restrictions described above, if prior to obtaining the approval of the adoption of the Merger Agreement by the holders of at least sixty-six and two-thirds percent (66 2/3%) of the outstanding shares of Common Stock entitled to vote on such matter at the Special Meeting (the “Requisite LiveRamp Stockholder Approval”), LiveRamp receives a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z w:val="20"/>
        </w:rPr>
        <w:t xml:space="preserve"> written Acquisition Proposal that did not result from a breach of the no solicitation provisions of the Merger Agreement, which the Board determines in good faith (i) after consultation with LiveRamp’s outside legal counsel and financial advisors constitutes a Superior Proposal or could reasonably be expected to lead to a Superior Proposal or (ii) after consultation with LiveRamp’s outside legal counsel, that the failure to take such action would reasonably be expected to be a breach of the directors’ fiduciary duties under applicable law, then (x) LiveRamp may furnish nonpublic information regarding LiveRamp and its subsidiaries after such person has executed a confidentiality agreement with terms not less favorable in the aggregate to LiveRamp than those contained in its confidentiality agreement with Publicis and (y) engage in discussions or negotiations with such person with respect to such Acquisition Proposal. In addition to the foregoing, prior to obtaining the Requisite LiveRamp Stockholder Approval, the Board may (i) effect a Change of Recommendation or (ii) effect a Change of Recommendation and terminate the Merger Agreement to enter into an agreement providing for the consummation of a transaction contemplated by any Acquisition Proposal that constitutes a Superior Proposal (that did not result from a breach of the no solicitation provisions of the Merger Agreement) if the Board determines in good faith after consultation with LiveRamp’s outside legal counsel and financial advisors that the failure to take such action would reasonably be expected to be a breach of the directors’ fiduciary duties under applicable law, so long as LiveRamp has complied with certain terms of the Merger Agreement, including (i) providing four (4) business days’ written notice to Parent of its intent with respect to a Superior Proposal and negotiating with Parent in good faith any proposal by Parent to amend the terms and conditions of the Merger Agreement during the four business day period and (ii) in the case of termination of the Merger Agreement to accept a Superior Proposal, paying the Termination Fee (hereinafter defined) to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See pages [  ], [  ] and [  ], respectively, for definitions of  “Acquisition Proposal”, “Superior Proposal” and “Change of Recommendation” as used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Conditions to the Completion of the Merger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respective obligations of LiveRamp, Parent and Merger Sub to consummate the Merger are subject to the satisfaction or written waiver of certain customary conditions, including receipt of any approvals or clearances applicable to the consummation in accordance with any HSR Act, CFIUS review and other non-U.S. antitrust laws and FDI laws in certain jurisdictions, the expiration or termination of any agreement with any governmental authority not to consummate the transaction, the receipt of the Requisite LiveRamp Stockholder Approval, the absence of legal prohibitions, no material adverse effect having occurred that is continuing, the accuracy of the parties’ representations and warranties subject to certain specified materiality standards, and the parties’ compliance in all material respects with their respective obligations under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Termination of the Merger Agreement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certain obligations, the Merger Agreement may be terminated and the Merger and other Transactions may be abandoned at any time before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mutual written consent of Parent and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119">
                <wp:simplePos x="0" y="0"/>
                <wp:positionH relativeFrom="column">
                  <wp:align>left</wp:align>
                </wp:positionH>
                <wp:positionV relativeFrom="line">
                  <wp:posOffset>635</wp:posOffset>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either Parent or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governmental entity of competent jurisdiction has issued a final, non-appealable order, injunction, decree or ruling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Closing has not occurred on or prior to May 16, 2027 (the “Outside Date”), or the extension thereto; provided that the terminating party is not the proximate cause of the failure of Closing to occur by the Outside Date and such action or failure constitutes a material breach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Requisite LiveRamp Stockholder Approval is not obtained at the Special Meeting duly convened therefor or at any adjournment or postponement thereof;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CFIUS notifies Parent and LiveRamp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Parent or (for itself or Merger Sub):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there has been a breach by LiveRamp of, or any inaccuracy in, any representation, warranty, covenant, agreement of LiveRamp set forth in the Merger Agreement that would result in a failure of certain conditions to Parent’s or Merger Sub’s obligation to close, subject to cure periods specified in the Merger Agreement; or </w:t>
      </w:r>
      <w:r>
        <mc:AlternateContent>
          <mc:Choice Requires="wps">
            <w:drawing>
              <wp:anchor behindDoc="0" distT="74930" distB="0" distL="381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time prior to the receipt of the Requisite LiveRamp Stockholder Approval, there has been a Change of Recommendation or LiveRamp has materially breached the no solicitation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Parent or Merger Sub of, or any inaccuracy in, any representation, warranty, covenant or agreement of Parent or Merger Sub set forth in the Merger Agreement that would result in a failure of certain conditions to LiveRamp’s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prior to the receipt of the Requisite LiveRamp Stockholder Approval, in order to accept a Superior Proposal in accordance with the Merger Agreement, provided that LiveRamp pays the Termination Fee.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Termination Fee will be payable by LiveRamp to Parent in the following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(i) Parent terminates the Merger Agreement because (A) the Requisite LiveRamp Stockholder Approval is not obtained at the Special Meeting, (B) after the date of the Merger Agreement and prior to the date of the Special Meeting, an Acquisition Proposal was publicly disclosed and not publicly withdrawn at least three (3) business days prior to the Special Meeting and (C) within twelve (12) months of such termination, an Acquisition Proposal is consummated or a definitive agreement providing for an Acquisition Proposal is entered into; or (ii) prior to obtaining the Requisite LiveRamp Stockholder Approval, (A) a Change of Recommendation has occurred or (B) LiveRamp has materially breached the no solicitation provisions of the Merger Agreement (provided that, for such purposes, the references to fifteen percent (“15%”) and eighty-five percent (“85%”) in the definition of Acquisition Proposal are deemed to be references to fifty percent (“50%”));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prior to obtaining the Requisite LiveRamp Stockholder Approval in order to effect a Change of Recommendation and enter into a definitive agreement providing for a Superior Proposal in accordance with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(i) after the date of the Merger Agreement and prior to the termination of the Merger Agreement, an Acquisition Proposal is made to the Board or LiveRamp’s management becomes publicly disclosed and not withdrawn prior to such termination, (ii) Parent or LiveRamp terminates the Merger Agreement because (A) the Closing has not occurred by the Outside Date or (B) Parent terminates the Merger Agreement due to (x) a breach of, or LiveRamp’s failure to perform or comply with the covenants or agreements under the Merger Agreement following the making of such Acquisition Proposal or (y) there has been a Change of Recommendation (if LiveRamp has materially breached the no solicitation covenant under the Merger Agreement); and (iii) within twelve (12) months of such termination, an Acquisition Proposal is consummated or a definitive agreement providing for an Acquisition </w:t>
      </w:r>
      <w:r>
        <mc:AlternateContent>
          <mc:Choice Requires="wps">
            <w:drawing>
              <wp:anchor behindDoc="0" distT="76200" distB="0" distL="127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Proposal is entered into (provided that, for such purposes, the references to fifteen percent (“15%”) and eighty-five percent (“85%”) in the definition of Acquisition Proposal are deemed to be references to “50%”).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no event will LiveRamp be required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Regulatory Termination Fee will be payable by Parent to LiveRamp if the Merger is not completed by the Outside Date (or an extension thereto) and (i) LiveRamp, or Parent (at a time when LiveRamp was not prohibited from terminating the Merger Agreement), terminates the Merger Agreement at a time when all conditions to closing have been satisfied or validly waived (other than those conditions that by their nature are to be satisfied at the Closing and certain regulatory conditions), or (ii) either party terminates the Merger Agreement because a governmental entity of competent jurisdiction has issued a final, non-appealable order permanently restraining, enjoining or otherwise prohibiting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See pages [  ] and [  ], respectively, for definitions of  “Termination Fee” and “Regulatory Termination Fee” as used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Specific Performance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have agreed that irreparable injury would occur if any provision of the Merger Agreement were not performed in accordance with its specific terms or were otherwise breached and that, accordingly, prior to any valid termination of the Merger Agreement in accordance with its terms, each party would be entitled to equitable remedies, including injunctions to prevent or remedy breaches or threatened breaches of the Merger Agreement and specific performance to enforce the terms and provisions of the Merger Agreement, including the parties’ obligations to consummate the Merger and the other Transactions contemplated by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Market Price of Common Stock (see page [  ])</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you will be entitled to receive $38.50 in cash, without interest, for each Eligible Share owned by you (unless you have properly exercised, and not lost, your appraisal rights with respect to such shares of Common Stock), which represents a premium of approximately 30% to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[      ], 2026, the most recent practicable date before this proxy statement was first mailed to our stockholders, the closing price for Common Stock on the NYSE was $[      ] per share of Common Stock. You are encouraged to obtain current market quotations for Common Stock in connection with voting your shares of Common Stock.</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QAA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Questions And Answers About The Special Meeting And The Merger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are brief answers to certain questions that you, as a stockholder of LiveRamp, may have regarding the Merger Agreement, the Merger, the Special Meeting and the proposals being considered at the Special Meeting. LiveRamp urges you to carefully read the remainder of this proxy statement because the information in this section does not provide all the information that might be important to you with respect to the Merger Agreement, the Merger and the Special Meeting. Additional important information is also contained in the annexes to, and the documents incorporated by reference into, this proxy statement.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Why am I receiving these materials?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is furnishing this proxy statement and form of proxy card to LiveRamp stockholders in connection with the solicitation of proxies to be voted at the Special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can vote at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Holders of record of Common Stock at the close of business on [  ], 2026 (the Record Date for the Special Meeting) are entitled to vote their shares of Common Stock owned as of that date at the Special Meeting or any postponement or adjournment thereof. On the Record Date for the Special Meeting, there were [      ] shares of Common Stock outstanding and entitled to vote. A list of our stockholders will be available for review at our office at 301 Main Street, 2nd Floor, Little Rock, AR 72201 for at least ten (10) days prior to the Special Meeting. </w:t>
      </w:r>
      <w:r>
        <mc:AlternateContent>
          <mc:Choice Requires="wps">
            <w:drawing>
              <wp:anchor behindDoc="0" distT="10033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shares may I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vote all of the shares of Common Stock you held as of the Record Date, [  ], 2026, including shares held directly in your name as the stockholder of record, shares held for you as the beneficial owner in street name through a stockbroker or bank, and shares purchased through LiveRamp’s 401(k) Retirement Savings Plan and/or employee stock purchase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is the purpose of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Special Meeting, stockholders will consider and act upon the matters outlined in the notice of meeting on the cover page of this proxy statement, namely: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Is this proxy statement for LiveRamp’s 2026 annual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Special Meeting is being held in lieu of our annual meeting and is intended to constitute our annual meeting under Section 302.00 of the NYSE Listed Company Manual, the Bylaws (as defined below) and the DGCL, and the delivery of this proxy statement to LiveRamp’s stockholders is intended to provide notice for such annual meeting pursuant to the DGCL and the Bylaws.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Where and when is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[         ], 2026 beginning at [        ]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At the Special Meeting, stockholders who owned shares of Common Stock as of the Record Date will be able to attend, vote, and ask questions via the internet by logging in to the virtual meeting website. Whether or not you plan to attend the Special Meeting, we urge you to vote and submit your proxy in advance of the Special Meeting by one of the methods described in these proxy materials. In order to vote or submit a question during the meeting, you will need to follow the instructions posted at </w:t>
      </w:r>
      <w:r>
        <w:rPr>
          <w:rFonts w:ascii="Arial;Helvetica;sans-serif" w:hAnsi="Arial;Helvetica;sans-serif"/>
          <w:b w:val="false"/>
          <w:i w:val="false"/>
          <w:caps w:val="false"/>
          <w:smallCaps w:val="false"/>
          <w:color w:val="000000"/>
          <w:sz w:val="20"/>
          <w:u w:val="single"/>
        </w:rPr>
        <w:t>www.proxyvote.com</w:t>
      </w:r>
      <w:r>
        <w:rPr>
          <w:rFonts w:ascii="Arial;Helvetica;sans-serif" w:hAnsi="Arial;Helvetica;sans-serif"/>
          <w:b w:val="false"/>
          <w:i w:val="false"/>
          <w:caps w:val="false"/>
          <w:smallCaps w:val="false"/>
          <w:color w:val="000000"/>
          <w:sz w:val="20"/>
        </w:rPr>
        <w:t xml:space="preserve"> and </w:t>
      </w:r>
      <w:r>
        <mc:AlternateContent>
          <mc:Choice Requires="wps">
            <w:drawing>
              <wp:anchor behindDoc="0" distT="10033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and will need the control number included on your voting instruction form or proxy card. Broadridge Financial Solutions, Inc. (“Broadridge”) is hosting the webcast of the Special Meeting. Broadridge will have technicians ready to assist you with any technical difficulties you may have in accessing the meeting. If you encounter any difficulties accessing the virtual meeting during check-in or the meeting, please call Broadridge’s technical support number that will be posted on the virtual meeting platform log-in page.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 xml:space="preserve">What is the difference between a stockholder of record and a beneficial owner of shares held in street name? </w:t>
      </w:r>
      <w:r>
        <mc:AlternateContent>
          <mc:Choice Requires="wps">
            <w:drawing>
              <wp:anchor behindDoc="0" distT="10033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Beneficial owners</w:t>
      </w:r>
      <w:r>
        <w:rPr>
          <w:rFonts w:ascii="Arial;Helvetica;sans-serif" w:hAnsi="Arial;Helvetica;sans-serif"/>
          <w:b w:val="false"/>
          <w:i w:val="false"/>
          <w:caps w:val="false"/>
          <w:smallCaps w:val="false"/>
          <w:color w:val="000000"/>
          <w:sz w:val="20"/>
        </w:rPr>
        <w:t>. Most LiveRamp stockholders hold their shares through a broker, bank or other nominee (that is, in “street name”) rather than directly in their own name. If you hold your shares in street name, you are considered a “beneficial owner” of your shares and a full set of the proxy materials together with a voting instruction form have been or will be forwarded to you by your broker, bank or other nominee so you can instruct them how to vote your shares on your behalf.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Stockholders of record</w:t>
      </w:r>
      <w:r>
        <w:rPr>
          <w:rFonts w:ascii="Arial;Helvetica;sans-serif" w:hAnsi="Arial;Helvetica;sans-serif"/>
          <w:b w:val="false"/>
          <w:i w:val="false"/>
          <w:caps w:val="false"/>
          <w:smallCaps w:val="false"/>
          <w:color w:val="000000"/>
          <w:sz w:val="20"/>
        </w:rPr>
        <w:t>. If your shares are registered directly in your name with our transfer agent, Computershare Investor Services, you are considered the “stockholder of record” of your shares and a full set of the proxy materials, together with a proxy card has been or will be sent directly to you by LiveRamp so you may vote your shares using the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can I vote my shares?</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There are four ways to vote: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internet.</w:t>
      </w:r>
      <w:r>
        <w:rPr>
          <w:rFonts w:ascii="Arial;Helvetica;sans-serif" w:hAnsi="Arial;Helvetica;sans-serif"/>
          <w:b w:val="false"/>
          <w:i w:val="false"/>
          <w:caps w:val="false"/>
          <w:smallCaps w:val="false"/>
          <w:color w:val="000000"/>
          <w:sz w:val="20"/>
        </w:rPr>
        <w:t> You can submit a proxy over the internet to vote your shares by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telephone.</w:t>
      </w:r>
      <w:r>
        <w:rPr>
          <w:rFonts w:ascii="Arial;Helvetica;sans-serif" w:hAnsi="Arial;Helvetica;sans-serif"/>
          <w:b w:val="false"/>
          <w:i w:val="false"/>
          <w:caps w:val="false"/>
          <w:smallCaps w:val="false"/>
          <w:color w:val="000000"/>
          <w:sz w:val="20"/>
        </w:rPr>
        <w:t> You can submit a proxy over the telephone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mail.</w:t>
      </w:r>
      <w:r>
        <w:rPr>
          <w:rFonts w:ascii="Arial;Helvetica;sans-serif" w:hAnsi="Arial;Helvetica;sans-serif"/>
          <w:b w:val="false"/>
          <w:i w:val="false"/>
          <w:caps w:val="false"/>
          <w:smallCaps w:val="false"/>
          <w:color w:val="000000"/>
          <w:sz w:val="20"/>
        </w:rPr>
        <w:t> If you received paper proxy materials in the mail, you can submit a proxy by mail to vote your shares by completing, signing and returning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During the meeting.</w:t>
      </w:r>
      <w:r>
        <w:rPr>
          <w:rFonts w:ascii="Arial;Helvetica;sans-serif" w:hAnsi="Arial;Helvetica;sans-serif"/>
          <w:b w:val="false"/>
          <w:i w:val="false"/>
          <w:caps w:val="false"/>
          <w:smallCaps w:val="false"/>
          <w:color w:val="000000"/>
          <w:sz w:val="20"/>
        </w:rPr>
        <w:t xml:space="preserve"> If you are a stockholder of record or a beneficial owner as of the [  ], 2026 Record Date, you may vote virtually via the internet during the Special Meeting. If you desire to vote virtually via the internet at the meeting, please follow the instructions for attending and voting during the Special Meeting posted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Beneficial owners must obtain a legal proxy from their broker, bank or other nominee to vote during the meeting. Follow the instructions from your broker, bank or other nominee included with your proxy materials, or contact your broker, bank or other nominee to request a legal proxy. All votes must be received by the independent inspector of election before the polls close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Please note that telephone and internet voting will close at 8:59 p.m. (Pacific Time) on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 I vote if I hold my shares as a participant in LiveRamp’s 401(k) Retirement Savings Plan?</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shares as a participant in LiveRamp’s 401(k) Retirement Savings Plan, you can vote your shares by internet, telephone or mail by following the instructions provided in the voting instruction form accompanying the proxy materials you received. Your completed voting instructions, whether submitted by internet, by telephone or by mail, must be received by 8:59 p.m. (Pacific Time) on [        ], 2026, in order to allow sufficient time for your vote to be tabulated by the plan’s trustee. You also may revoke or change your voting instruction at any time prior to the cut-off time. Due to the tabulation requirements of the plan administrator, participants in LiveRamp’s 401(k) Retirement Savings Plan may not vote their shares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Can I change my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executing a proxy retains the right to revoke it at any time prior to the final vote at the Special Meeting, except that participants in LiveRamp’s 401(k) Retirement Savings Plan may not revoke or change their voting instructions after 8:59 p.m. (Pacific Time) on [      ], 2026. You may revoke your proxy and vote again by (i) delivering a notice of revocation or delivering a later-dated proxy to LiveRamp’s Corporate Secretary at </w:t>
      </w:r>
      <w:r>
        <mc:AlternateContent>
          <mc:Choice Requires="wps">
            <w:drawing>
              <wp:anchor behindDoc="0" distT="1016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Holdings, Inc., 301 Main Street, 2nd Floor, Little Rock, AR 72201; (ii) submitting another vote over the internet or by telephone; or (iii) by attending and voting virtually via the internet during the Special Meeting. However, your attendance during the Special Meeting will not automatically revoke your proxy unless you specifically so request. A stockholder’s last vote is the vote that will be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will count the votes?</w:t>
      </w:r>
      <w:r>
        <w:rPr>
          <w:rFonts w:ascii="Arial;Helvetica;sans-serif" w:hAnsi="Arial;Helvetica;sans-serif"/>
          <w:b/>
          <w:i/>
          <w:caps w:val="false"/>
          <w:smallCaps w:val="false"/>
          <w:color w:val="000000"/>
          <w:spacing w:val="4"/>
          <w:sz w:val="20"/>
        </w:rPr>
        <w:t xml:space="preserve"> </w:t>
      </w:r>
      <w:r>
        <mc:AlternateContent>
          <mc:Choice Requires="wps">
            <w:drawing>
              <wp:anchor behindDoc="0" distT="9144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representative of Broadridge will count the votes and will serve as the inspector of election.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did the Board determine with regard to the Merger Agreement?</w:t>
      </w:r>
      <w:r>
        <w:rPr>
          <w:rFonts w:ascii="Arial;Helvetica;sans-serif" w:hAnsi="Arial;Helvetica;sans-serif"/>
          <w:b/>
          <w:i/>
          <w:caps w:val="false"/>
          <w:smallCaps w:val="false"/>
          <w:color w:val="000000"/>
          <w:spacing w:val="4"/>
          <w:sz w:val="20"/>
        </w:rPr>
        <w:t xml:space="preserve"> </w:t>
      </w:r>
      <w:r>
        <mc:AlternateContent>
          <mc:Choice Requires="wps">
            <w:drawing>
              <wp:anchor behindDoc="0" distT="9144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For further information, see the section entitled “</w:t>
      </w:r>
      <w:r>
        <w:rPr>
          <w:rFonts w:ascii="Arial;Helvetica;sans-serif" w:hAnsi="Arial;Helvetica;sans-serif"/>
          <w:b w:val="false"/>
          <w:i/>
          <w:caps w:val="false"/>
          <w:smallCaps w:val="false"/>
          <w:color w:val="000000"/>
          <w:sz w:val="20"/>
        </w:rPr>
        <w:t>The Merger Agreement (Proposal 1) — Recommendations of the Board”</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2"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does the Board recommend that I vote on the proposals?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9017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recommends that you vote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director nominee included in 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to vote in favor of the Merger Agreement Proposal, LiveRamp stockholders should be aware that LiveRamp’s directors and executive officers have interests in the Merger that may be different from, or in addition to, the interests of LiveRamp stockholders generally. For a more complete description of these interests, see the information provided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2"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I receive in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9017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at the Effective Time, each share of Common Stock issued and outstanding immediately prior to the Effective Time (other than Excluded Shares) will be automatically cancelled, extinguished and converted into the right to receive an amount in cash equal to the Merger Consideration, without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does the Merger Consideration compare to the market price of LiveRamp Common Stock prior to the announcement of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9017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Consideration of  $38.50 per share represents a premium of approximately 30% to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[         ], 2026, the most recent practicable date before this proxy statement was first mailed to our stockholders, the closing price for Common Stock on the NYSE was $[       ] per share of Common Stock. You are encouraged to obtain current market quotations for Common Stock in connection with voting your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will the Merger affect LiveRamp equity awards?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54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Options.</w:t>
      </w:r>
      <w:r>
        <w:rPr>
          <w:rFonts w:ascii="Arial;Helvetica;sans-serif" w:hAnsi="Arial;Helvetica;sans-serif"/>
          <w:b w:val="false"/>
          <w:i w:val="false"/>
          <w:caps w:val="false"/>
          <w:smallCaps w:val="false"/>
          <w:color w:val="000000"/>
          <w:sz w:val="20"/>
        </w:rPr>
        <w:t xml:space="preserve"> At the Effective Time,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Awards.</w:t>
      </w:r>
      <w:r>
        <w:rPr>
          <w:rFonts w:ascii="Arial;Helvetica;sans-serif" w:hAnsi="Arial;Helvetica;sans-serif"/>
          <w:b w:val="false"/>
          <w:i w:val="false"/>
          <w:caps w:val="false"/>
          <w:smallCaps w:val="false"/>
          <w:color w:val="000000"/>
          <w:sz w:val="20"/>
        </w:rPr>
        <w:t xml:space="preserve"> At the Effective Time,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RSU Awards and LiveRamp PSU Awards.</w:t>
      </w:r>
      <w:r>
        <w:rPr>
          <w:rFonts w:ascii="Arial;Helvetica;sans-serif" w:hAnsi="Arial;Helvetica;sans-serif"/>
          <w:b w:val="false"/>
          <w:i w:val="false"/>
          <w:caps w:val="false"/>
          <w:smallCaps w:val="false"/>
          <w:color w:val="000000"/>
          <w:sz w:val="20"/>
        </w:rPr>
        <w:t xml:space="preserve"> At the Effective Time,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happen in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Upon the terms and subject to the conditions set forth in the Merger Agreement, and in accordance with the applicable provisions of the DGCL, Merger Sub will be merged with and into LiveRamp at the Effective Time, the separate corporate existence of Merger Sub will cease, and LiveRamp will continue as the Surviving Company in the Merger and a wholly owned direct subsidiary of Parent. As a result of the Merger, Common Stock will no longer be publicly traded, and you will no longer have any interest in the future earnings or growth of LiveRamp. In addition, Common Stock will be delisted from the NYSE and deregistered under the Exchange Act, and LiveRamp will no longer be required to file periodic reports with the U.S. Securities and Exchange Commission (the “SEC”) with respect to Common Stock, in each case, in accordance with applicable law, rules and regulations. </w:t>
      </w:r>
      <w:r>
        <mc:AlternateContent>
          <mc:Choice Requires="wps">
            <w:drawing>
              <wp:anchor behindDoc="0" distT="10541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vote is required to adopt the Merger Agreement?</w:t>
      </w:r>
      <w:r>
        <w:rPr>
          <w:rFonts w:ascii="Arial;Helvetica;sans-serif" w:hAnsi="Arial;Helvetica;sans-serif"/>
          <w:b/>
          <w:i/>
          <w:caps w:val="false"/>
          <w:smallCaps w:val="false"/>
          <w:color w:val="000000"/>
          <w:spacing w:val="4"/>
          <w:sz w:val="20"/>
        </w:rPr>
        <w:t xml:space="preserve"> </w:t>
      </w:r>
      <w:r>
        <mc:AlternateContent>
          <mc:Choice Requires="wps">
            <w:drawing>
              <wp:anchor behindDoc="0" distT="1041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[       ] shares of Common Stock (not including any shares of Common Stock deliverable upon exercise of or underlying any LiveRamp equity awards) representing approximately [      ]%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 including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If a LiveRamp stockholder submits a proxy, how are the shares of Common Stock voted or what happens if I do not give specific voting instructions?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54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Regardless of the method you choose to vote, the individuals named on the enclosed proxy card, or your proxies will vote your shares of Common Stock in the way that you indicate. When completing the internet or telephone process or the proxy card, you may specify whether your shares of Common Stock should be voted for or against or to abstain from voting on all, some or none of the specific items of business to come before the Special Meeting. </w:t>
      </w:r>
      <w:r>
        <mc:AlternateContent>
          <mc:Choice Requires="wps">
            <w:drawing>
              <wp:anchor behindDoc="0" distT="11684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Stockholder of Record. If you are a stockholder of record and you properly sign and return your proxy card but do not mark the boxes showing how your shares of Common Stock should be voted on a matter, the shares represented by your properly signed proxy will be voted: (1) “FOR” the Merger Agreement Proposal; (2) “FOR” the Adjournment Proposal; (3) “FOR” each director nominee included in the Director Election Proposal; (4) “FOR” the Share Increase Proposal; (5) “FOR” the Say-On-Pay Proposal, (6) “FOR” the Auditor Ratification Proposal; and (7) “FOR”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Beneficial Owner. If you are a beneficial owner of shares held in street name and do not vote at the Special Meeting or provide the broker, bank or other nominee that holds your shares with specific voting instructions, under the rules of various national and regional securities exchanges, the broker, bank or other nominee that holds your shares may generally vote on routine matters but cannot vote on non-routine matters. If the broker, bank or other nominee that holds your shares does not receive instructions from you on how to vote your shares on a non-routine matter, the broker, bank or other nominee that holds your shares will inform the inspector of election that it does not have the authority to vote on this matter with respect to your shares. This is generally referred to as a “broker non-vote.”</w:t>
      </w:r>
    </w:p>
    <w:p>
      <w:pPr>
        <w:pStyle w:val="TextBody"/>
        <w:bidi w:val="0"/>
        <w:spacing w:lineRule="atLeast" w:line="240" w:before="18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Which items of business are considered “routine” and “non-routine”?</w:t>
      </w:r>
      <w:r>
        <w:rPr>
          <w:rFonts w:ascii="Arial;Helvetica;sans-serif" w:hAnsi="Arial;Helvetica;sans-serif"/>
          <w:b/>
          <w:i/>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 (Proposal No. 1), the Adjournment Proposal (Proposal No. 2), the Director Election Proposal (Proposal No. 3), the Share Increase Proposal (Proposal No. 4), the Say-On-Pay Proposal (Proposal No. 5) and the Merger Compensation Proposal (Proposal No. 7) are considered non-routine matters under applicable rules, and therefore a broker or other nominee may not vote on these matters without instructions from the beneficial owner. On the other hand, the Auditor Ratification Proposal (Proposal No. 6) is considered a routine matter, and a broker or other nominee may vote without instructions and broker non-votes are not expected to occur with respect to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if I abstain from voting on the Merger Agreement Proposal?</w:t>
      </w:r>
      <w:r>
        <w:rPr>
          <w:rFonts w:ascii="Arial;Helvetica;sans-serif" w:hAnsi="Arial;Helvetica;sans-serif"/>
          <w:b/>
          <w:i/>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attend the Special Meeting or send in your signed proxy card but abstain from voting, your shares of Common Stock will still be counted in determining whether a quorum is present. If you abstain from voting or fail to vote your shares of Common Stock (including the failure of a record owner to execute and return a proxy card and the failure of a beneficial owner of shares of Common Stock held in “street name” by a broker to give voting instructions to the broker), that abstention or failure to vote will have the same effect as if you voted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broker non-vote will also count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as brokers do not have discretionary voting power on such proposal. For shares of Common Stock held in “street name”, only shares of Common Stock affirmatively voted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will be counted as a vote in favor of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vote is required to pass each of the other items of business?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54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stockholder vote required to approve each proposal other than the Merger Agreement Proposal presented in this proxy statement is set forth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6918" w:type="dxa"/>
        <w:jc w:val="left"/>
        <w:tblInd w:w="680" w:type="dxa"/>
        <w:tblLayout w:type="fixed"/>
        <w:tblCellMar>
          <w:top w:w="0" w:type="dxa"/>
          <w:left w:w="0" w:type="dxa"/>
          <w:bottom w:w="0" w:type="dxa"/>
          <w:right w:w="0" w:type="dxa"/>
        </w:tblCellMar>
      </w:tblPr>
      <w:tblGrid>
        <w:gridCol w:w="124"/>
        <w:gridCol w:w="4216"/>
        <w:gridCol w:w="109"/>
        <w:gridCol w:w="109"/>
        <w:gridCol w:w="2206"/>
        <w:gridCol w:w="154"/>
      </w:tblGrid>
      <w:tr>
        <w:trPr/>
        <w:tc>
          <w:tcPr>
            <w:tcW w:w="124" w:type="dxa"/>
            <w:tcBorders/>
            <w:shd w:fill="000000" w:val="clear"/>
            <w:vAlign w:val="center"/>
          </w:tcPr>
          <w:p>
            <w:pPr>
              <w:pStyle w:val="TableContents"/>
              <w:bidi w:val="0"/>
              <w:spacing w:before="0" w:after="283"/>
              <w:jc w:val="left"/>
              <w:rPr/>
            </w:pPr>
            <w:r>
              <w:rPr/>
              <w:t>​</w:t>
            </w:r>
          </w:p>
        </w:tc>
        <w:tc>
          <w:tcPr>
            <w:tcW w:w="4216" w:type="dxa"/>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06" w:type="dxa"/>
            <w:tcBorders/>
            <w:shd w:fill="000000" w:val="clear"/>
            <w:vAlign w:val="center"/>
          </w:tcPr>
          <w:p>
            <w:pPr>
              <w:pStyle w:val="TableContents"/>
              <w:bidi w:val="0"/>
              <w:spacing w:before="0" w:after="0"/>
              <w:jc w:val="center"/>
              <w:rPr/>
            </w:pPr>
            <w:r>
              <w:rPr/>
              <w:t>Votes Required</w:t>
              <w:br/>
              <w:t xml:space="preserve">for Approval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Adjournment Proposal, if necessary</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28" w:type="dxa"/>
            </w:tcMar>
            <w:vAlign w:val="center"/>
          </w:tcPr>
          <w:p>
            <w:pPr>
              <w:pStyle w:val="TableContents"/>
              <w:bidi w:val="0"/>
              <w:spacing w:before="0" w:after="0"/>
              <w:jc w:val="left"/>
              <w:rPr>
                <w:b/>
              </w:rPr>
            </w:pPr>
            <w:r>
              <w:rPr>
                <w:b/>
              </w:rPr>
              <w:t>The Director Election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tcMar>
              <w:bottom w:w="40" w:type="dxa"/>
            </w:tcMar>
            <w:vAlign w:val="center"/>
          </w:tcPr>
          <w:p>
            <w:pPr>
              <w:pStyle w:val="TableContents"/>
              <w:bidi w:val="0"/>
              <w:spacing w:before="0" w:after="0"/>
              <w:jc w:val="center"/>
              <w:rPr/>
            </w:pPr>
            <w:r>
              <w:rPr/>
              <w:t xml:space="preserve">Majority of votes cast </w:t>
              <w:br/>
              <w:t xml:space="preserve">for each nominee*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Share Increase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28" w:type="dxa"/>
            </w:tcMar>
            <w:vAlign w:val="center"/>
          </w:tcPr>
          <w:p>
            <w:pPr>
              <w:pStyle w:val="TableContents"/>
              <w:bidi w:val="0"/>
              <w:spacing w:before="0" w:after="0"/>
              <w:jc w:val="left"/>
              <w:rPr>
                <w:b/>
              </w:rPr>
            </w:pPr>
            <w:r>
              <w:rPr>
                <w:b/>
              </w:rPr>
              <w:t>The Say-On-Pay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Auditor Ratification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tcMar>
              <w:bottom w:w="28" w:type="dxa"/>
            </w:tcMar>
            <w:vAlign w:val="center"/>
          </w:tcPr>
          <w:p>
            <w:pPr>
              <w:pStyle w:val="TableContents"/>
              <w:bidi w:val="0"/>
              <w:spacing w:before="0" w:after="283"/>
              <w:jc w:val="left"/>
              <w:rPr/>
            </w:pPr>
            <w:r>
              <w:rPr/>
              <w:t>​</w:t>
            </w:r>
          </w:p>
        </w:tc>
        <w:tc>
          <w:tcPr>
            <w:tcW w:w="4216" w:type="dxa"/>
            <w:tcBorders>
              <w:bottom w:val="single" w:sz="12" w:space="0" w:color="016836"/>
            </w:tcBorders>
            <w:tcMar>
              <w:bottom w:w="28" w:type="dxa"/>
            </w:tcMar>
            <w:vAlign w:val="center"/>
          </w:tcPr>
          <w:p>
            <w:pPr>
              <w:pStyle w:val="TableContents"/>
              <w:bidi w:val="0"/>
              <w:spacing w:before="0" w:after="0"/>
              <w:jc w:val="left"/>
              <w:rPr>
                <w:b/>
              </w:rPr>
            </w:pPr>
            <w:r>
              <w:rPr>
                <w:b/>
              </w:rPr>
              <w:t>The Merger Compensation Proposal</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2206" w:type="dxa"/>
            <w:tcBorders>
              <w:bottom w:val="single" w:sz="12" w:space="0" w:color="016836"/>
            </w:tcBorders>
            <w:tcMar>
              <w:bottom w:w="60" w:type="dxa"/>
            </w:tcMar>
            <w:vAlign w:val="center"/>
          </w:tcPr>
          <w:p>
            <w:pPr>
              <w:pStyle w:val="TableContents"/>
              <w:bidi w:val="0"/>
              <w:spacing w:before="0" w:after="0"/>
              <w:jc w:val="center"/>
              <w:rPr/>
            </w:pPr>
            <w:r>
              <w:rPr/>
              <w:t xml:space="preserve">Majority of votes </w:t>
              <w:br/>
              <w:t>cast*</w:t>
            </w:r>
          </w:p>
        </w:tc>
        <w:tc>
          <w:tcPr>
            <w:tcW w:w="154" w:type="dxa"/>
            <w:tcBorders>
              <w:bottom w:val="single" w:sz="1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 majority of votes cast means that the number of votes cast “for” a director nominee’s election or a proposal must exceed the number of votes cast “against” 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196">
                <wp:simplePos x="0" y="0"/>
                <wp:positionH relativeFrom="column">
                  <wp:align>left</wp:align>
                </wp:positionH>
                <wp:positionV relativeFrom="line">
                  <wp:align>top</wp:align>
                </wp:positionV>
                <wp:extent cx="254000" cy="254000"/>
                <wp:effectExtent l="0" t="0" r="0" b="0"/>
                <wp:wrapSquare wrapText="right"/>
                <wp:docPr id="157" name="Frame1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Director Resignation Policy</w:t>
      </w:r>
      <w:r>
        <w:rPr>
          <w:rFonts w:ascii="Arial;Helvetica;sans-serif" w:hAnsi="Arial;Helvetica;sans-serif"/>
          <w:b w:val="false"/>
          <w:i w:val="false"/>
          <w:caps w:val="false"/>
          <w:smallCaps w:val="false"/>
          <w:color w:val="000000"/>
          <w:sz w:val="20"/>
        </w:rPr>
        <w:t>. In an uncontested election, a nominee who does not receive a majority of the votes cast will not be elected, and the Board of Directors has established procedures under which any incumbent director who fails to receive a majority of the votes cast in his or her election will tender his or her resignation to the Board. The Board will act upon a tendered resignation within 90 days of the date on which the election results were certified and will promptly make public disclosure of the results of its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Broker non-votes and abstentions (which occur when a stockholder chooses to abstain from voting on a proposal) are counted for purposes of determining whether a quorum is present. The effect of broker non-votes and abstentions on the proposals presented in this proxy statement other than the Merger Agreement Proposal is as follows:</w:t>
      </w:r>
      <w:r>
        <w:rPr>
          <w:rFonts w:ascii="Arial;Helvetica;sans-serif" w:hAnsi="Arial;Helvetica;sans-serif"/>
          <w:b w:val="false"/>
          <w:i w:val="false"/>
          <w:caps w:val="false"/>
          <w:smallCaps w:val="false"/>
          <w:color w:val="000000"/>
          <w:spacing w:val="4"/>
          <w:sz w:val="20"/>
        </w:rPr>
        <w:t xml:space="preserve"> </w:t>
      </w:r>
    </w:p>
    <w:tbl>
      <w:tblPr>
        <w:tblW w:w="8157" w:type="dxa"/>
        <w:jc w:val="left"/>
        <w:tblInd w:w="680" w:type="dxa"/>
        <w:tblLayout w:type="fixed"/>
        <w:tblCellMar>
          <w:top w:w="0" w:type="dxa"/>
          <w:left w:w="0" w:type="dxa"/>
          <w:bottom w:w="0" w:type="dxa"/>
          <w:right w:w="0" w:type="dxa"/>
        </w:tblCellMar>
      </w:tblPr>
      <w:tblGrid>
        <w:gridCol w:w="124"/>
        <w:gridCol w:w="4216"/>
        <w:gridCol w:w="109"/>
        <w:gridCol w:w="109"/>
        <w:gridCol w:w="1936"/>
        <w:gridCol w:w="109"/>
        <w:gridCol w:w="109"/>
        <w:gridCol w:w="1291"/>
        <w:gridCol w:w="154"/>
      </w:tblGrid>
      <w:tr>
        <w:trPr/>
        <w:tc>
          <w:tcPr>
            <w:tcW w:w="124" w:type="dxa"/>
            <w:tcBorders/>
            <w:shd w:fill="000000" w:val="clear"/>
            <w:vAlign w:val="center"/>
          </w:tcPr>
          <w:p>
            <w:pPr>
              <w:pStyle w:val="TableContents"/>
              <w:bidi w:val="0"/>
              <w:spacing w:before="0" w:after="283"/>
              <w:jc w:val="left"/>
              <w:rPr/>
            </w:pPr>
            <w:r>
              <w:rPr/>
              <w:t>​</w:t>
            </w:r>
          </w:p>
        </w:tc>
        <w:tc>
          <w:tcPr>
            <w:tcW w:w="4216" w:type="dxa"/>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36" w:type="dxa"/>
            <w:tcBorders/>
            <w:shd w:fill="000000" w:val="clear"/>
            <w:vAlign w:val="center"/>
          </w:tcPr>
          <w:p>
            <w:pPr>
              <w:pStyle w:val="TableContents"/>
              <w:bidi w:val="0"/>
              <w:spacing w:before="0" w:after="0"/>
              <w:jc w:val="center"/>
              <w:rPr/>
            </w:pPr>
            <w:r>
              <w:rPr/>
              <w:t xml:space="preserve">Broker Non-Votes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1" w:type="dxa"/>
            <w:tcBorders/>
            <w:shd w:fill="000000" w:val="clear"/>
            <w:vAlign w:val="center"/>
          </w:tcPr>
          <w:p>
            <w:pPr>
              <w:pStyle w:val="TableContents"/>
              <w:bidi w:val="0"/>
              <w:spacing w:before="0" w:after="0"/>
              <w:jc w:val="center"/>
              <w:rPr/>
            </w:pPr>
            <w:r>
              <w:rPr/>
              <w:t xml:space="preserve">Abstentions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Adjournment Proposal, if necessary</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140" w:type="dxa"/>
            </w:tcMar>
            <w:vAlign w:val="center"/>
          </w:tcPr>
          <w:p>
            <w:pPr>
              <w:pStyle w:val="TableContents"/>
              <w:bidi w:val="0"/>
              <w:spacing w:before="0" w:after="0"/>
              <w:jc w:val="left"/>
              <w:rPr>
                <w:b/>
              </w:rPr>
            </w:pPr>
            <w:r>
              <w:rPr>
                <w:b/>
              </w:rPr>
              <w:t>The Director Election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Share Increase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140" w:type="dxa"/>
            </w:tcMar>
            <w:vAlign w:val="center"/>
          </w:tcPr>
          <w:p>
            <w:pPr>
              <w:pStyle w:val="TableContents"/>
              <w:bidi w:val="0"/>
              <w:spacing w:before="0" w:after="0"/>
              <w:jc w:val="left"/>
              <w:rPr>
                <w:b/>
              </w:rPr>
            </w:pPr>
            <w:r>
              <w:rPr>
                <w:b/>
              </w:rPr>
              <w:t>The Say-On-Pay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Auditor Ratification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Not applicable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tcMar>
              <w:bottom w:w="28" w:type="dxa"/>
            </w:tcMar>
            <w:vAlign w:val="center"/>
          </w:tcPr>
          <w:p>
            <w:pPr>
              <w:pStyle w:val="TableContents"/>
              <w:bidi w:val="0"/>
              <w:spacing w:before="0" w:after="283"/>
              <w:jc w:val="left"/>
              <w:rPr/>
            </w:pPr>
            <w:r>
              <w:rPr/>
              <w:t>​</w:t>
            </w:r>
          </w:p>
        </w:tc>
        <w:tc>
          <w:tcPr>
            <w:tcW w:w="4216" w:type="dxa"/>
            <w:tcBorders>
              <w:bottom w:val="single" w:sz="12" w:space="0" w:color="016836"/>
            </w:tcBorders>
            <w:tcMar>
              <w:bottom w:w="200" w:type="dxa"/>
            </w:tcMar>
            <w:vAlign w:val="center"/>
          </w:tcPr>
          <w:p>
            <w:pPr>
              <w:pStyle w:val="TableContents"/>
              <w:bidi w:val="0"/>
              <w:spacing w:before="0" w:after="0"/>
              <w:jc w:val="left"/>
              <w:rPr>
                <w:b/>
              </w:rPr>
            </w:pPr>
            <w:r>
              <w:rPr>
                <w:b/>
              </w:rPr>
              <w:t>The Merger Compensation Proposal</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936" w:type="dxa"/>
            <w:tcBorders>
              <w:bottom w:val="single" w:sz="12" w:space="0" w:color="016836"/>
            </w:tcBorders>
            <w:tcMar>
              <w:bottom w:w="200" w:type="dxa"/>
            </w:tcMar>
            <w:vAlign w:val="center"/>
          </w:tcPr>
          <w:p>
            <w:pPr>
              <w:pStyle w:val="TableContents"/>
              <w:bidi w:val="0"/>
              <w:spacing w:before="0" w:after="0"/>
              <w:jc w:val="center"/>
              <w:rPr/>
            </w:pPr>
            <w:r>
              <w:rPr/>
              <w:t xml:space="preserve">No effect </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291" w:type="dxa"/>
            <w:tcBorders>
              <w:bottom w:val="single" w:sz="12" w:space="0" w:color="016836"/>
            </w:tcBorders>
            <w:tcMar>
              <w:bottom w:w="200" w:type="dxa"/>
            </w:tcMar>
            <w:vAlign w:val="center"/>
          </w:tcPr>
          <w:p>
            <w:pPr>
              <w:pStyle w:val="TableContents"/>
              <w:bidi w:val="0"/>
              <w:spacing w:before="0" w:after="0"/>
              <w:jc w:val="center"/>
              <w:rPr/>
            </w:pPr>
            <w:r>
              <w:rPr/>
              <w:t>No effect</w:t>
            </w:r>
          </w:p>
        </w:tc>
        <w:tc>
          <w:tcPr>
            <w:tcW w:w="154" w:type="dxa"/>
            <w:tcBorders>
              <w:bottom w:val="single" w:sz="1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Why am I being asked to consider and cast a non-binding advisory vote to approve the compensation that may be paid or become payable to LiveRamp’s named executive officers that relates to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 rules require LiveRamp to seek approval on a non-binding, advisory basis with respect to certain payments that will, or may be made to LiveRamp’s named executive officers that are based on or otherwise relate to the Merger. For additional information, see the section entitled “</w:t>
      </w:r>
      <w:r>
        <w:rPr>
          <w:rFonts w:ascii="Arial;Helvetica;sans-serif" w:hAnsi="Arial;Helvetica;sans-serif"/>
          <w:b w:val="false"/>
          <w:i/>
          <w:caps w:val="false"/>
          <w:smallCaps w:val="false"/>
          <w:color w:val="000000"/>
          <w:sz w:val="20"/>
        </w:rPr>
        <w:t>Advisory Vote on Named Executive Officer Merger-Related Compensation (Proposal 7)</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happen if LiveRamp stockholders do not approve the Merger Compensation Proposal?</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54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Merger Agreement Proposal. Accordingly, a stockholder may vote to approve the Merger Agreement Proposal and vote not to approve the Merger Compensation Proposal, and vice versa. Because the vote on the Merger Compensation Proposal is advisory in nature only, it will not be binding on LiveRamp,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LiveRamp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Do any of LiveRamp’s directors or executive officers have any interests in the Merger Agreement that are different from, or in addition to, my interests as a LiveRamp stockholder?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LiveRamp stockholders adopt the Merger Agreement, LiveRamp stockholders should be aware that the executive officers and directors of LiveRamp have certain interests in the Merger Agreement, the Merger and the other Transactions contemplated by the Merger Agreement that may be different from, or in addition to, the interests of LiveRamp stockholders generally. The Board was aware of these interests and considered them, among other matters, in approving the Merger Agreement and in making their recommendation that LiveRamp stockholders approve the adoption of the Merger Agreement. These interests include, among others, as applicable, the treatment of outstanding LiveRamp equity awards, potential severance payments and benefits under our severance arrangements, cash retention awards and continued indemnification and insurance coverage. These interests are discussed in more detail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When do you expect the Merger to be completed?</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expect to complete the Merger by December 31, 2026, subject to fulfillment of customary conditions to Closing, including the approval of LiveRamp stockholders and receipt of required regulatory approvals and clearances. The Merger is subject to various regulatory approvals and clearances and other conditions, and it is possible that factors outside the control of LiveRamp, Parent or Merger Sub could result in the Merger being completed at a later time, or not at all. There may be a substantial amount of time between the Special Meeting and the completion of the Merger. We expect to complete the Merger promptly following the receipt of all required approvals.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are the material U.S. federal income tax consequences of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xml:space="preserve">” and consult your tax advisor regarding the particular tax consequences of the Merger to you, including any tax consequences arising under the laws of any state, local or foreign taxing jurisdiction or other U.S. federal tax laws.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happens if I sell or otherwise transfer my shares of Common Stock after the Record Date but before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54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Record Date for the Special Meeting is earlier than the date of the Special Meeting and the date on which the Merger is expected to be completed. If you sell or transfer your shares of Common Stock after the Record Date but before the Special Meeting, unless special arrangements (such as provision of a proxy) are made between you and the person to whom you sell or otherwise transfer your shares of Common Stock, and each of you notifies LiveRamp in writing of such special arrangements, you will transfer the right to receive the Merger Consideration, if the Merger is completed, to the person to whom you sell or transfer your shares of Common Stock, but you will retain your right to vote those shares at the Special Meeting. Even if you sell or otherwise transfer your shares of Common Stock after the Record Date, we encourage you to sign, date and return the enclosed proxy card in the accompanying reply envelope or grant your proxy electronically over the internet or by telephone (in accordance with the instructions detailed in the section entitled “</w:t>
      </w:r>
      <w:r>
        <w:rPr>
          <w:rFonts w:ascii="Arial;Helvetica;sans-serif" w:hAnsi="Arial;Helvetica;sans-serif"/>
          <w:b w:val="false"/>
          <w:i/>
          <w:caps w:val="false"/>
          <w:smallCaps w:val="false"/>
          <w:color w:val="000000"/>
          <w:sz w:val="20"/>
        </w:rPr>
        <w:t>The Special Meeting</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is soliciting my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is soliciting your proxy, and LiveRamp will bear the cost of soliciting proxies. We have hired Innisfree M&amp;A Incorporated (“Innisfree”) to help us send out the proxy materials and to solicit proxies for the Special Meeting, the estimated cost of which is approximately $40,000 plus reimbursement of certain additional out-of-pocket expenses. We will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 </w:t>
      </w:r>
      <w:r>
        <mc:AlternateContent>
          <mc:Choice Requires="wps">
            <w:drawing>
              <wp:anchor behindDoc="0" distT="1016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do I need to do now?</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Carefully read and consider the information contained in and incorporated by reference into this proxy statement, including its annexes. Whether or not you expect to attend the Special Meeting via the virtual meeting website or by proxy, please submit a proxy to vote your shares of Common Stock as promptly as possible so that such shares may be represented and voted at the Special Meeting. A failure to vote your shares of Common Stock or an abstention from voting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If the Merger is completed, how do I obtain the Merger Consideration for my shares of Common Stock?</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of the Merger Agreement, at the Effective Time, each Eligible Share will be automatically cancelled (and shall cease to exist) and converted into the right to receive the Merger Consideration. If your shares of Common Stock are evidenced by stock certificates, after the Merger is completed, you will receive a letter of transmittal and related materials from the paying agent for the Merger with detailed written instructions for exchanging your shares of Common Stock. Holders of book-entry shares will not be required to deliver a certificate or an executed letter of transmittal to the paying agent to receive the Merger Consideration. If your shares of Common Stock are held in “street name” by your broker, bank or other nominee, you may receive instructions from your broker, bank or other nominee as to what action, if any, you need to take to effect the surrender of your “street name” shares in exchange for the Merger Consideration.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Should I send in my stock certificates or other evidence of ownership now?</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You should not return any stock certificate or send documents evidencing ownership of Common Stock now or with the proxy card. If the Merger is completed, the paying agent for the Merger will send you a letter of transmittal and instructions for exchanging your shares of Common Stock for the Merger Consideration for each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Am I entitled to exercise appraisal rights under the DGCL instead of receiving the Merger Consideration for each of my shares of Common Stock?</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 Merger is completed, holders of shares of Common Stock issued and outstanding immediately prior to the Effective Time who do not vote in favor of the adoption of the Merger Agreement, who duly demand appraisal pursuant to Section 262 of the DGCL and have not effectively withdrawn their demand or otherwise waived or lost their rights to appraisal, are entitled to seek appraisal of their shares of Common Stock in connection with </w:t>
      </w:r>
      <w:r>
        <mc:AlternateContent>
          <mc:Choice Requires="wps">
            <w:drawing>
              <wp:anchor behindDoc="0" distT="10160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under Section 262 of the DGCL if they take certain actions and meet certain conditions. For additional information, see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Failure to strictly comply, timely and properly, with the requirements of Section 262 of the DGCL will result in the loss of your right to appraisal. We encourage you to read these provisions carefully and in their entirety and, in view of their complexity, to promptly consult with your legal and financial advisors if you wish to pursue your appraisal rights in connection with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shares must be present to constitute a quorum for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holders of a majority of the voting power of all of the outstanding shares of Common Stock entitled to vote at the Special Meeting, present virtually via the internet or by proxy, will constitute a quorum. Your shares will be counted towards the quorum only if you submit a valid proxy (or if one is submitted on your behalf by your broker, bank or other agent) or if you attend the Special Meeting via the virtual meeting website. Abstentions will be counted towards the quorum requirement.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close of business on the Record Date, there were [      ] shares of Common Stock outstanding. Thus, a total of  [       ] shares are entitled to vote at the Special Meeting and holders of shares of Common Stock representing at least [       ] votes must be represented at the Special Meeting, virtually via the internet or by proxy, to have a quorum. If a quorum is established, each holder of Common Stock shall be entitled to one vote on each of the matters presented at the Special Meeting for each share of Common Stock outstanding in his or her name on the Record Date. There must be a quorum for business to be conducted at the Special Meeting. Failure of a quorum to be present at the Special Meeting will necessitate an adjournment or postponement and will subject LiveRamp to additional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[       ] shares of Common Stock (or about [     ]%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is a proxy?</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proxy is a LiveRamp stockholder’s legal designation of another person to vote shares of Common Stock owned by such LiveRamp stockholder on their behalf. If you are a LiveRamp stockholder of record, you can vote by proxy over the internet, by telephone or by mail by following the instructions provided in the enclosed proxy card. If you hold shares of Common Stock beneficially in “street name”, you should follow the voting instructions provided by your bank, broker or other nominee.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does it mean if I receive more than one set of proxy materials?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means you own shares of Common Stock that are registered under different names or are in more than one account. For example, you may own some shares of Common Stock directly as a stockholder of record and other shares of Common Stock through a broker or you may own shares of Common Stock through more than one broker. In these situations, you will receive multiple sets of proxy materials. You must vote, sign and return all of the proxy cards or follow the instructions for any alternative voting procedure on each of the proxy cards that you receive in order to vote all of the shares of Common Stock you own. Each proxy card you receive comes with its own prepaid return envelope. If you submit your proxy by mail, make sure you return each proxy card in the return envelope that accompanies that proxy card. For joint accounts, each owner should sign the proxy card. When signing as executor, administrator, attorney, trustee, guardian, etc., please print your full title on the proxy card.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Will my shares held in “street name” or another form of record ownership be combined for voting purposes with shares I hold of record?</w:t>
      </w:r>
      <w:r>
        <w:rPr>
          <w:rFonts w:ascii="Arial;Helvetica;sans-serif" w:hAnsi="Arial;Helvetica;sans-serif"/>
          <w:b/>
          <w:i/>
          <w:caps w:val="false"/>
          <w:smallCaps w:val="false"/>
          <w:color w:val="000000"/>
          <w:spacing w:val="4"/>
          <w:sz w:val="20"/>
        </w:rPr>
        <w:t xml:space="preserve"> </w:t>
      </w:r>
      <w:r>
        <mc:AlternateContent>
          <mc:Choice Requires="wps">
            <w:drawing>
              <wp:anchor behindDoc="0" distT="4953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Because any shares of Common Stock you may hold in “street name” will be deemed to be held by a different stockholder than any shares you hold of record, any shares of Common Stock so held will not be combined for voting purposes with shares of Common Stock you hold of record. Similarly, if you own shares in various registered forms, such as jointly with your spouse, as trustee of a trust or as custodian for a minor, you will receive, and will need to sign and return, a separate proxy card for those shares of Common Stock because they are held in a different form of record ownership. Shares of Common Stock held by a corporation or business </w:t>
      </w:r>
      <w:r>
        <mc:AlternateContent>
          <mc:Choice Requires="wps">
            <w:drawing>
              <wp:anchor behindDoc="0" distT="10033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entity must be voted by an authorized officer of the entity. Shares of Common Stock held in an individual retirement account must be voted under the rules governing the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Where can I find the voting results of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intends to announce preliminary voting results at the Special Meeting and to publish final results in a Current Report on Form 8-K that will be filed with the SEC following the Special Meeting. All reports that LiveRamp files with the SEC are publicly available.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happens if the Merger is not completed?</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Agreement is not adopted by LiveRamp stockholders or if the Merger is not completed for any other reason, LiveRamp stockholders will not receive any payment for their shares of Common Stock in connection with the Merger. Instead, shares of Common Stock will continue to be listed and traded on the NYSE. The Merger Agreement provides that, (i) upon termination of the Merger Agreement under certain circumstances, LiveRamp may be required to pay to Parent a termination fee of  $32,350,000 and (ii) Parent will be required to pay LiveRamp a termination fee in the same amount if the Merger Agreement is terminated because a governmental entity of competent jurisdiction has issued a final, non-appealable order permanently prohibiting the consummation of the Merger, among other reasons. See the section entitled “</w:t>
      </w:r>
      <w:r>
        <w:rPr>
          <w:rFonts w:ascii="Arial;Helvetica;sans-serif" w:hAnsi="Arial;Helvetica;sans-serif"/>
          <w:b w:val="false"/>
          <w:i/>
          <w:caps w:val="false"/>
          <w:smallCaps w:val="false"/>
          <w:color w:val="000000"/>
          <w:sz w:val="20"/>
        </w:rPr>
        <w:t>The Merger Agreement — Effect of Termination — Termination Fee</w:t>
      </w:r>
      <w:r>
        <w:rPr>
          <w:rFonts w:ascii="Arial;Helvetica;sans-serif" w:hAnsi="Arial;Helvetica;sans-serif"/>
          <w:b w:val="false"/>
          <w:i w:val="false"/>
          <w:caps w:val="false"/>
          <w:smallCaps w:val="false"/>
          <w:color w:val="000000"/>
          <w:sz w:val="20"/>
        </w:rPr>
        <w:t>” for a discussion of the circumstances under which such a termination fee may be required to be paid.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copies of this proxy statement and related voting materials should I receive if I share an address with another stockholder?</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LiveRamp and some brokers may be householding our proxy materials by delivering a single set of proxy materials to multiple stockholders who share an address, unless contrary instructions have been received from the affected stockholders. However, if you are residing at such an address and wish to receive a separate set of proxy materials, you may request them by calling our Corporate Secretary at (888) 987-6764, or by submitting a request in writing to our Corporate Secretary, c/o LiveRamp Holdings, Inc., Corporate Secretary at 301 Main Street, 2nd Floor, Little Rock, AR 72201, and we will promptly deliver a separate set of the proxy materials to you. If you are receiving multiple copies of our proxy statement, you can request householding by contacting the Corporate Secretary in the same manner described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 xml:space="preserve">Who should I contact if I have any questions or would like to obtain additional information about LiveRamp? </w:t>
      </w:r>
      <w:r>
        <mc:AlternateContent>
          <mc:Choice Requires="wps">
            <w:drawing>
              <wp:anchor behindDoc="0" distT="5080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provide copies of this proxy statement, its annexes and the documents incorporated by reference herein, without charge to any stockholder who makes a written request to our Corporate Secretary at LiveRamp Holdings, Inc., 301 Main Street, 2nd Floor, Little Rock, AR 72201. LiveRamp’s Annual Report on Form 10-K and other SEC filings may also be accessed at </w:t>
      </w:r>
      <w:r>
        <w:rPr>
          <w:rFonts w:ascii="Arial;Helvetica;sans-serif" w:hAnsi="Arial;Helvetica;sans-serif"/>
          <w:b w:val="false"/>
          <w:i w:val="false"/>
          <w:caps w:val="false"/>
          <w:smallCaps w:val="false"/>
          <w:color w:val="000000"/>
          <w:sz w:val="20"/>
          <w:u w:val="single"/>
        </w:rPr>
        <w:t>https://www.sec.gov</w:t>
      </w:r>
      <w:r>
        <w:rPr>
          <w:rFonts w:ascii="Arial;Helvetica;sans-serif" w:hAnsi="Arial;Helvetica;sans-serif"/>
          <w:b w:val="false"/>
          <w:i w:val="false"/>
          <w:caps w:val="false"/>
          <w:smallCaps w:val="false"/>
          <w:color w:val="000000"/>
          <w:sz w:val="20"/>
        </w:rPr>
        <w:t xml:space="preserve"> or on LiveRamp’s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LiveRamp’s website address is provided as an inactive textual reference only. The information provided on or accessible through our website is not part of this proxy statement and is not incorporated in this proxy statement by this or any other reference to our website provided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have any questions about the Special Meeting or how to vote your shares, please contact Innisfree, which has been retained to assist us in the distribution and solicitation of proxies, by calling toll-free at (877) 750-0625. Banks, brokers and other nominees should call at (212) 750-5833.</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SR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Cautionary Statement Regarding Forward-Looking Statements</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statements other than statements of historical facts included in this proxy statement that address activities, events or developments that we expect, believe or anticipate will or may occur in the future are forward-looking statements within the meaning of the safe harbor provisions of the Private Securities Litigation Reform Act of 1995, including, in particular, financial estimates and statements about the expected timing, completion and effects or benefits of the Merger. These forward-looking statements are based on management’s current expectations and beliefs and are subject to uncertainties and factors, all of which are difficult to predict and many of which are beyond our control and could cause actual results to differ materially and adversely from those described in the forward-looking statements. These risks include, but are not limited to: (i) uncertainties as to the timing of the Merger; (ii) the risk that the Merger may not be completed on the anticipated terms in a timely manner or at all; (iii) the failure to satisfy any or all of the various conditions to the consummation of the Merger, including receiving, on a timely basis or otherwise, the requisite vote of LiveRamp stockholders or failing to receive any required regulatory approvals from any applicable governmental entities (or any conditions, limitations or restrictions placed on such approvals); (iv) the possibility that competing offers or acquisition proposals for LiveRamp will be made; (v) the occurrence of any event, change or other circumstance that could give rise to the termination of the Merger Agreement, including in circumstances which would require LiveRamp to pay a termination fee; (vi) the effect of the announcement or pendency of the Merger on LiveRamp’s ability to retain and hire key personnel, maintain relationships with its customers, suppliers and others with whom LiveRamp does business, or its operating results and business generally; (vii) risks related to diverting management’s attention from LiveRamp’s ongoing business operations; (viii) the risk that stockholder litigation in connection with the Merger may result in significant costs of defense, indemnification and liability; (ix) certain restrictions during the pendency of the Merger that may impact LiveRamp’s ability to pursue certain business opportunities or strategic transactions; (x) the risk that any announcements relating to the Merger could have adverse effects on the market price of LiveRamp’s common stock, including if the Merger is not consummated; (xi) legislative, regulatory and economic developments; and (xii) other factors discussed in the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xml:space="preserve">” sections of LiveRamp’s most recent periodic and current reports filed with the SEC, all of which you may obtain for free on the SEC’s website at </w:t>
      </w:r>
      <w:r>
        <w:rPr>
          <w:rFonts w:ascii="Arial;Helvetica;sans-serif" w:hAnsi="Arial;Helvetica;sans-serif"/>
          <w:b w:val="false"/>
          <w:i w:val="false"/>
          <w:caps w:val="false"/>
          <w:smallCaps w:val="false"/>
          <w:color w:val="000000"/>
          <w:sz w:val="20"/>
          <w:u w:val="single"/>
        </w:rPr>
        <w:t>www.sec.gov</w:t>
      </w:r>
      <w:r>
        <w:rPr>
          <w:rFonts w:ascii="Arial;Helvetica;sans-serif" w:hAnsi="Arial;Helvetica;sans-serif"/>
          <w:b w:val="false"/>
          <w:i w:val="false"/>
          <w:caps w:val="false"/>
          <w:smallCaps w:val="false"/>
          <w:color w:val="000000"/>
          <w:sz w:val="20"/>
        </w:rPr>
        <w:t xml:space="preserve">.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IV"/>
      <w:bookmarkEnd w:id="11"/>
      <w:r>
        <w:rPr>
          <w:rFonts w:ascii="calibri;arial;sans-serif" w:hAnsi="calibri;arial;sans-serif"/>
          <w:b w:val="false"/>
          <w:i w:val="false"/>
          <w:caps w:val="false"/>
          <w:smallCaps w:val="false"/>
          <w:color w:val="000000"/>
          <w:sz w:val="16"/>
        </w:rPr>
        <w:t>​</w:t>
      </w:r>
      <w:bookmarkStart w:id="12" w:name="tPTTM"/>
      <w:bookmarkEnd w:id="12"/>
      <w:r>
        <w:rPr>
          <w:rFonts w:ascii="calibri;arial;sans-serif" w:hAnsi="calibri;arial;sans-serif"/>
          <w:b w:val="false"/>
          <w:i w:val="false"/>
          <w:caps w:val="false"/>
          <w:smallCaps w:val="false"/>
          <w:color w:val="000000"/>
          <w:sz w:val="16"/>
        </w:rPr>
        <w:t>​</w:t>
      </w:r>
      <w:bookmarkStart w:id="13" w:name="tPUB"/>
      <w:bookmarkEnd w:id="13"/>
      <w:r>
        <w:rPr>
          <w:rFonts w:ascii="calibri;arial;sans-serif" w:hAnsi="calibri;arial;sans-serif"/>
          <w:b w:val="false"/>
          <w:i w:val="false"/>
          <w:caps w:val="false"/>
          <w:smallCaps w:val="false"/>
          <w:color w:val="000000"/>
          <w:sz w:val="16"/>
        </w:rPr>
        <w:t>​</w:t>
      </w:r>
      <w:bookmarkStart w:id="14" w:name="tPAR"/>
      <w:bookmarkEnd w:id="14"/>
      <w:r>
        <w:rPr>
          <w:rFonts w:ascii="calibri;arial;sans-serif" w:hAnsi="calibri;arial;sans-serif"/>
          <w:b w:val="false"/>
          <w:i w:val="false"/>
          <w:caps w:val="false"/>
          <w:smallCaps w:val="false"/>
          <w:color w:val="000000"/>
          <w:sz w:val="16"/>
        </w:rPr>
        <w:t>​</w:t>
      </w:r>
      <w:bookmarkStart w:id="15" w:name="tMESU"/>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Parties to the Merger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320" w:before="5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LiveRamp</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the NYSE under the symbol “RAMP.” We serve a global customer base from locations in the United States, Europe, and the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Publicis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Merger Sub</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Merger Sub is a wholly owned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SM"/>
      <w:bookmarkEnd w:id="16"/>
      <w:r>
        <w:rPr>
          <w:rFonts w:ascii="calibri;arial;sans-serif" w:hAnsi="calibri;arial;sans-serif"/>
          <w:b w:val="false"/>
          <w:i w:val="false"/>
          <w:caps w:val="false"/>
          <w:smallCaps w:val="false"/>
          <w:color w:val="000000"/>
          <w:sz w:val="16"/>
        </w:rPr>
        <w:t>​</w:t>
      </w:r>
      <w:bookmarkStart w:id="17" w:name="tDTAP"/>
      <w:bookmarkEnd w:id="17"/>
      <w:r>
        <w:rPr>
          <w:rFonts w:ascii="calibri;arial;sans-serif" w:hAnsi="calibri;arial;sans-serif"/>
          <w:b w:val="false"/>
          <w:i w:val="false"/>
          <w:caps w:val="false"/>
          <w:smallCaps w:val="false"/>
          <w:color w:val="000000"/>
          <w:sz w:val="16"/>
        </w:rPr>
        <w:t>​</w:t>
      </w:r>
      <w:bookmarkStart w:id="18" w:name="tPOTS"/>
      <w:bookmarkEnd w:id="18"/>
      <w:r>
        <w:rPr>
          <w:rFonts w:ascii="calibri;arial;sans-serif" w:hAnsi="calibri;arial;sans-serif"/>
          <w:b w:val="false"/>
          <w:i w:val="false"/>
          <w:caps w:val="false"/>
          <w:smallCaps w:val="false"/>
          <w:color w:val="000000"/>
          <w:sz w:val="16"/>
        </w:rPr>
        <w:t>​</w:t>
      </w:r>
      <w:bookmarkStart w:id="19" w:name="tROT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The Special Meeting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proxy statement is being provided to the stockholders of LiveRamp as part of a solicitation of proxies by the Board for use at the Special Meeting to be held at the time and place specified below, and at any properly convened meeting following an adjournment or postponement thereof. This proxy statement provides stockholders of LiveRamp with the information they need to know to be able to vote or to instruct their vote to be cast at the Special Meeting.</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Date, Time and Place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[      ], 2026 beginning at [      ]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The Record Date for the Special Meeting is [      ], 2026. Only stockholders of record at the close of business on that date are entitled to attend and to vote at the Special Meeting via the internet by logging in to the virtual meeting website. However, if you are the stockholder of record as of the Record Date, you do not need to attend the Special Meeting to vote your shares. Instead, you may simply complete, sign, date and return the enclosed proxy card or submit your proxy through the internet or by telephone according to the instructions contained in the enclosed proxy card. If you are a beneficial owner of our shares, the manner of voting and the availability of telephone and internet voting will depend on the voting process of the bank, broker or nominee who holds your shares. Whether or not you plan to attend the Special Meeting, we urge you to complete and return the enclosed proxy card or submit your proxy card through the internet or by telephone by following the instructions provided in the proxy card to ensure that your vote is counted. You will not be able to attend the Special Meeting in-person.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Purpose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Special Meeting, we will ask stockholders of LiveRamp to consider and vote 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After careful consideration, the Board has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 </w:t>
      </w:r>
      <w:r>
        <w:rPr>
          <w:rFonts w:ascii="Arial;Helvetica;sans-serif" w:hAnsi="Arial;Helvetica;sans-serif"/>
          <w:b w:val="false"/>
          <w:i w:val="false"/>
          <w:caps w:val="false"/>
          <w:smallCaps w:val="false"/>
          <w:color w:val="000000"/>
          <w:sz w:val="20"/>
        </w:rPr>
        <w:t>Certain factors considered by the Board in reaching its recommendation can be found in the section entitled “</w:t>
      </w:r>
      <w:r>
        <w:rPr>
          <w:rFonts w:ascii="Arial;Helvetica;sans-serif" w:hAnsi="Arial;Helvetica;sans-serif"/>
          <w:b w:val="false"/>
          <w:i/>
          <w:caps w:val="false"/>
          <w:smallCaps w:val="false"/>
          <w:color w:val="000000"/>
          <w:sz w:val="20"/>
        </w:rPr>
        <w:t>The Merger Agreement (Proposal 1) — Recommendation of the Board</w:t>
      </w:r>
      <w:r>
        <w:rPr>
          <w:rFonts w:ascii="Arial;Helvetica;sans-serif" w:hAnsi="Arial;Helvetica;sans-serif"/>
          <w:b/>
          <w:i w:val="false"/>
          <w:caps w:val="false"/>
          <w:smallCaps w:val="false"/>
          <w:color w:val="000000"/>
          <w:sz w:val="20"/>
        </w:rPr>
        <w:t>”</w:t>
      </w:r>
      <w:r>
        <w:rPr>
          <w:rFonts w:ascii="Arial;Helvetica;sans-serif" w:hAnsi="Arial;Helvetica;sans-serif"/>
          <w:b w:val="false"/>
          <w:i w:val="false"/>
          <w:caps w:val="false"/>
          <w:smallCaps w:val="false"/>
          <w:color w:val="000000"/>
          <w:sz w:val="20"/>
        </w:rPr>
        <w:t xml:space="preserve">. The Board recommends that LiveRamp stockholders vote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Merger Agreement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Adjournment Proposal, if necessary,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each of the nominees included in the Director Election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Share Increase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Say-On-Pay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Auditor Ratification Proposal and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approval of the Merger Compensation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stockholders must approve the Merger Agreement Proposal in order for the Merger to occur. If our stockholders fail to approve the Merger Agreement Proposal, the Merger will not occur.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which we encourage you to read carefully and in its entirety.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vote on the Merger Compensation Proposal is a vote separate and apart from the vote on the Merger Agreement Proposal. Accordingly, a stockholder may vote to approve the Merger Agreement Proposal and vote not to approve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DSE"/>
      <w:bookmarkEnd w:id="20"/>
      <w:r>
        <w:rPr>
          <w:rFonts w:ascii="calibri;arial;sans-serif" w:hAnsi="calibri;arial;sans-serif"/>
          <w:b w:val="false"/>
          <w:i w:val="false"/>
          <w:caps w:val="false"/>
          <w:smallCaps w:val="false"/>
          <w:color w:val="000000"/>
          <w:sz w:val="16"/>
        </w:rPr>
        <w:t>​</w:t>
      </w:r>
      <w:bookmarkStart w:id="21" w:name="tQUO"/>
      <w:bookmarkEnd w:id="21"/>
      <w:r>
        <w:rPr>
          <w:rFonts w:ascii="calibri;arial;sans-serif" w:hAnsi="calibri;arial;sans-serif"/>
          <w:b w:val="false"/>
          <w:i w:val="false"/>
          <w:caps w:val="false"/>
          <w:smallCaps w:val="false"/>
          <w:color w:val="000000"/>
          <w:sz w:val="16"/>
        </w:rPr>
        <w:t>​</w:t>
      </w:r>
      <w:bookmarkStart w:id="22" w:name="tREVO"/>
      <w:bookmarkEnd w:id="22"/>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 and vice versa. Because the vote on the Merger Compensation Proposal is advisory in nature only, it will not be binding on LiveRamp,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the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Record Date; Stockholders Entitled to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Only holders of record of Common Stock at the close of business on [      ], 2026, the Record Date, will be entitled to notice of, and to vote at, the Special Meeting or any adjournments or postponements of the Special Meeting. At the close of business on the Record Date, [     ] shares of Common Stock were issued and outstanding. The holders of shares of Common Stock will have one vote for each share of Common Stock they owned as of the close of business on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Quorum</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of stockholders is necessary to hold a valid meeting. The holders of a majority of the voting power of all of the shares of Common Stock entitled to vote at the Special Meeting, present virtually via the internet or by proxy, will constitute a quorum. At the close of business on the Record Date, there were [     ] shares of Common Stock outstanding. Thus, a total of  [     ] shares are entitled to vote at the Special Meeting and holders of shares of Common Stock representing at least [     ] votes must be represented at the Special Meeting, present virtually via the internet or by proxy, to have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shares will be counted towards the quorum only if you submit a valid proxy (or if one is submitted on your behalf by your broker, bank or other agent) or if you attend the Special Meeting. Abstentions will be counted towards the quorum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Once a share of Common Stock is represented at the Special Meeting, it will be counted for the purpose of determining a quorum at the Special Meeting and any adjournment or postponement of the Special Meeting, except as set forth below. If a quorum is not present at the Special Meeting, the stockholders entitled to vote at such meeting, present in person or represented by proxy, may adjourn the meeting from time to time (without notice other than announcement at the meeting) until a quorum is present pursuant to LiveRamp’s Third Amended and Restated Bylaws (the “Bylaws”). At the adjourned meeting LiveRamp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in the manner provided in the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[     ] shares of Common Stock (or about [     ]%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Required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Adjournment Proposal, if necessary, requires the affirmative vote of a majority of votes cast on the matter. Assuming a quorum, abstentions and broker non-votes will have no effect on the approval of the Adjournment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of each nominee included in the Director Election Proposal requires the affirmative vote of a majority of the votes cast for each nominee. Assuming a quorum, abstentions and broker non-votes will have no effect on the approval of the Director Election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AABN"/>
      <w:bookmarkEnd w:id="23"/>
      <w:r>
        <w:rPr>
          <w:rFonts w:ascii="calibri;arial;sans-serif" w:hAnsi="calibri;arial;sans-serif"/>
          <w:b w:val="false"/>
          <w:i w:val="false"/>
          <w:caps w:val="false"/>
          <w:smallCaps w:val="false"/>
          <w:color w:val="000000"/>
          <w:sz w:val="16"/>
        </w:rPr>
        <w:t>​</w:t>
      </w:r>
      <w:bookmarkStart w:id="24" w:name="tVAT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Share Increase Proposal requires the affirmative vote of a majority of the votes cast on the matter. Assuming a quorum, abstentions and broker non-votes will have no effect on the approval of the Share Increase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Say-On-Pay Proposal requires the affirmative vote of a majority of the votes cast on the matter. Assuming a quorum, abstentions and broker non-votes will have no effect on the approval of the Say-On-Pay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Auditor Ratification Proposal requires the affirmative vote of a majority of the votes cast on the matter. Assuming a quorum, abstentions on the approval of the Auditor Ratification Proposal will have no effect on the Auditor Ratification Proposal. Broker non-votes are not applicable to the approval of the Auditor Ratification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Compensation Proposal requires the affirmative vote of a majority of the votes cast on the matter. Assuming a quorum, abstentions and broker non-votes will have no effect on the approval of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majority of votes cast means that the number of votes cast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a director nominee’s election or a proposal must exceed the number of votes cast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[     ] shares of Common Stock (not including any shares of Common Stock deliverable upon exercise of or underlying any LiveRamp equity award), representing approximately [     ]%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[     ] shares of Common Stock (or about [     ]% of the outstanding Common Stock) to be voted in favor of the Merger Agreement Proposal to approve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Abstentions and Broker Non-Votes; Failure to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abstention occurs when a stockholder attends a meeting, virtually via the internet or by proxy, but abstains from voting. At the Special Meeting, abstentions will be counted in determining whether a quorum is present. If a stockholder abstains from voting or fails to vote its shares of Common Stock (including the failure of a record owner to execute and return a proxy card and the failure of a beneficial owner of shares of Common Stock held in “street name” by a broker to give voting instructions to the broker), that abstention or failure to vote will have the same effect as if the stockholder voted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However, abstentions and a failure to return your proxy card or otherwise vote your shares of Common Stock will have no effect on the remaining proposals, assuming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“broker non-vote” (i) will also count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(ii) will not be applicable to the Auditor Ratification Proposal and (iii) will have no effect on the remaining proposals. Broker non-votes are shares of Common Stock held by brokers that are present in person or by proxy at the Special Meeting, but with respect to which the broker is not instructed by the beneficial owner of such shares of Common Stock how to vote on a particular proposal, and the broker does not have discretionary voting power on such proposals.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properly sign your proxy card but do not mark the boxes showing how your shares of Common Stock should be voted on a matter, the shares represented by your properly signed proxy will be voted: (1)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(2)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Adjournment Proposal, if necessary; (3)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nominees included in the Director Election Proposal; (4)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Share Increase Proposal; (5)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Say-On-Pay Proposal; (6)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Auditor Ratification Proposal; and (7)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Voting at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to consider and vote on the Merger Agreement and the other voting items discussed herein is scheduled to be held on [      ], 2026 beginning at [      ] (Pacific Time) (unless the Special Meeting is adjourned or postponed), via the virtual meeting website. For each of the Merger Agreement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Proposal, the Adjournment Proposal, if necessary, the nominees included in the Director Election Proposal, the Share Increase Proposal, the Say-On-Pay Proposal, the Auditor Ratification Proposal and the Merger Compensation Proposal, you may vote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or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or abstain from voting. The procedures for voting are described below, based upon your form of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Stockholder of Record: Shares Registered in Your Name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close of business on the Record Date, your shares of Common Stock were registered directly in your name with our transfer agent, Broadridge, then you are the stockholder of record for these shares. As a stockholder of record, you may vote either via the virtual meeting website at the Special Meeting or by proxy. Whether or not you plan to attend the Special Meeting, we urge you to complete and return the enclosed proxy card or submit your proxy card through the internet or by telephone by following the instructions provided in the proxy card to ensure that your vote is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procedures for voting by proxy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internet. You can submit a proxy over the internet to vote your shares by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telephone. You can submit a proxy over the telephone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mail. If you received paper proxy materials in the mail, you can submit a proxy by mail to vote your shares by completing, signing and returning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During the meeting. If you are a stockholder of record or a beneficial owner as of the [      ] , 2026 Record Date, you may vote virtually via the internet during the Special Meeting. If you desire to vote virtually via the internet at the meeting, please follow the instructions for attending and voting during the Special Meeting posted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Beneficial owners must obtain a legal proxy from their broker, bank or other nominee to vote during the meeting. Follow the instructions from your broker, bank or other nominee included with your proxy materials, or contact your broker, bank or other nominee to request a legal proxy. All votes must be received by the independent inspector of election before the polls close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submit a proxy over the internet or by telephone, your vote must be received by 8:59 p.m. (Pacific Time) on [      ], 2026, to be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vote during the live webcast of the Special Meeting, you must first log into the meeting portal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where you will be able to submit questions and vote during the meeting. Stockholders will be able to access the Special Meeting website beginning at [      ] (Pacific Time) on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Whether or not you plan to attend the Special Meeting by attendance via the virtual meeting website or by proxy, as applicable, we urge you to vote by proxy to ensure your vote is counted. Voting in advance does not affect your right to attend the Special Meeting. You may still attend the Special Meeting if you have already voted by proxy. If you submit the enclosed proxy card and also attend the Special Meeting, you do not need to vote again at the Special Meeting unless you want to change your vote. </w:t>
      </w:r>
      <w:r>
        <w:rPr>
          <w:rFonts w:ascii="Arial;Helvetica;sans-serif" w:hAnsi="Arial;Helvetica;sans-serif"/>
          <w:b/>
          <w:i w:val="false"/>
          <w:caps w:val="false"/>
          <w:smallCaps w:val="false"/>
          <w:color w:val="000000"/>
          <w:sz w:val="20"/>
        </w:rPr>
        <w:t>We encourage you to vote over the internet or by telephone, both of which are convenient, cost-effective and reliable alternatives to returning a proxy card by mail.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Beneficial Owner: Shares Registered in the Name of a Broker, Bank or Other Agent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close of business on the Record Date, your shares of Common Stock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Special Meeting. As a beneficial owner, you have the right to direct your broker, bank or other agent regarding how to vote the shares in your account. The availability of telephone and internet voting will depend on the voting process of the broker or nominee. Certain of these institutions offer the ability to direct your agent how to vote through the internet or by telephone.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AR1"/>
      <w:bookmarkEnd w:id="25"/>
      <w:r>
        <w:rPr>
          <w:rFonts w:ascii="calibri;arial;sans-serif" w:hAnsi="calibri;arial;sans-serif"/>
          <w:b w:val="false"/>
          <w:i w:val="false"/>
          <w:caps w:val="false"/>
          <w:smallCaps w:val="false"/>
          <w:color w:val="000000"/>
          <w:sz w:val="16"/>
        </w:rPr>
        <w:t>​</w:t>
      </w:r>
      <w:bookmarkStart w:id="26" w:name="tSO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you should have received a proxy card and voting instructions with these proxy materials from that organization rather than from LiveRamp. To ensure that your vote is counted, simply complete and mail the proxy card or, if provided by your agent, follow the instructions for submitting your proxy through the internet or by telephone. You are also invited to attend the Special Meeting. However, because you are not the stockholder of record, you may not vote your shares via the virtual meeting website at the Special Meeting unless you request and obtain a valid proxy issued in your name from your broker, bank or other agent considered the stockholder of record of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Beneficial Owner: Shares Held through LiveRamp Retirement Savings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shares as a participant in LiveRamp’s 401(k) Retirement Savings Plan, you can vote your shares by internet, telephone or mail by following the instructions provided in the voting instruction form accompanying the proxy materials you received. Your completed voting instructions, whether submitted by internet, by telephone or by mail, must be received by 8:59 p.m. (Pacific Time) on [      ], 2026, in order to allow sufficient time for your vote to be tabulated by the plan’s trustee. You also may revoke or change your voting instruction at any time prior to the cut-off time. Due to the tabulation requirements of the plan administrator, participants in LiveRamp’s 401(k) Retirement Savings Plan may not vote their shares during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Proxies and Revocation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of record entitled to vote at the Special Meeting may vote at the Special Meeting, or by submitting a proxy to vote via the internet, by telephone or by mail using the enclosed postage-prepaid envelope. If you are a beneficial owner of shares of Common Stock, and your shares of Common Stock are held in “street name”, you should instruct your bank, broker or other nominee on how to vote your shares of Common Stock using the instructions provided by your bank, broker or other nominee. </w:t>
      </w:r>
      <w:r>
        <w:rPr>
          <w:rFonts w:ascii="Arial;Helvetica;sans-serif" w:hAnsi="Arial;Helvetica;sans-serif"/>
          <w:b/>
          <w:i w:val="false"/>
          <w:caps w:val="false"/>
          <w:smallCaps w:val="false"/>
          <w:color w:val="000000"/>
          <w:sz w:val="20"/>
        </w:rPr>
        <w:t>If you fail to submit a proxy, or you do not provide your bank, broker or other nominee with instructions, as applicable, your shares of Common Stock will not be voted on the Merger Agreement Proposal, which will have the same effect as a vote “AGAINST”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fail to vote at the Special Meeting, fail to return your proxy card or fail to submit your proxy to vote via the internet or by telephone, or if your shares of Common Stock are held in “street name” by your bank, broker or other nominee, and you fail to instruct your bank, broker or other nominee to vote, your shares of Common Stock will not be voted and will not have an effect on the approval of the Adjournment Proposal, Director Election Proposal, the Share Increase Proposal, the Say-On-Pay Proposal and the Merger Compensation Proposal, assuming a quorum is present.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to our Corporate Secretary, c/o LiveRamp Holdings, Inc., 301 Main Street, 2nd Floor, Little Rock, AR 72201. In addition, you may revoke your proxy by attending the Special Meeting and voting your shares of Common Stock via the virtual meeting website; however, attending the Special Meeting alone will not revoke your written, internet or telephone proxy, as the case may be, unless you specifically request revocation or vote virtually via the internet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follow the voting instructions from that organization included with these proxy materials, or contact that organization to determine how you may revoke your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Solicitation of Proxies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is soliciting your proxy, and LiveRamp will bear the costs of the solicitation of proxies for the Special Meeting. We have hired Innisfree to help us send out the proxy materials and to solicit proxies for the Special Meeting, the estimated cost of which is approximately $40,000 plus reimbursement of certain additional out of pocket expenses. We will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ROSW"/>
      <w:bookmarkEnd w:id="27"/>
      <w:r>
        <w:rPr>
          <w:rFonts w:ascii="calibri;arial;sans-serif" w:hAnsi="calibri;arial;sans-serif"/>
          <w:b w:val="false"/>
          <w:i w:val="false"/>
          <w:caps w:val="false"/>
          <w:smallCaps w:val="false"/>
          <w:color w:val="000000"/>
          <w:sz w:val="16"/>
        </w:rPr>
        <w:t>​</w:t>
      </w:r>
      <w:bookmarkStart w:id="28" w:name="tADJ"/>
      <w:bookmarkEnd w:id="28"/>
      <w:r>
        <w:rPr>
          <w:rFonts w:ascii="calibri;arial;sans-serif" w:hAnsi="calibri;arial;sans-serif"/>
          <w:b w:val="false"/>
          <w:i w:val="false"/>
          <w:caps w:val="false"/>
          <w:smallCaps w:val="false"/>
          <w:color w:val="000000"/>
          <w:sz w:val="16"/>
        </w:rPr>
        <w:t>​</w:t>
      </w:r>
      <w:bookmarkStart w:id="29" w:name="tOTMA"/>
      <w:bookmarkEnd w:id="29"/>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 proxies by mail, personally, by telephone or by other appropriate means. No additional compensation will be paid to directors, officers or other regular employees for such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Rights of Stockholders Who Seek Appraisal</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stockholders are entitled to appraisal rights under the DGCL in connection with the Merger, provided that such stockholders comply with the requirements of Section 262 of the DGCL. If the Merger is completed, any LiveRamp stockholder who does not vote in favor of the Merger Agreement Proposal and who otherwise complies with the requirements of Section 262 of the DGCL has the right to seek appraisal of such person’s shares of Common Stock and to receive payment in cash for the “fair value” of such person’s shares of Common Stock, as determined by the Delaware Court of Chancery, to be paid upon the amount determined to be “fair value”, in lieu of the amount of the Merger Consideration for each share you would have received pursuant to the Merger Agreement. The ultimate amount you may receive in an appraisal proceeding may be less than, equal to or more than the amount you would have otherwise received under the Merger Agreement if you do not seek appraisal of your shares of Common Stock.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exercise your appraisal rights with respect to your shares of Common Stock, you must, among other things, deliver a written demand for appraisal to LiveRamp before the vote is taken on the Merger Agreement Proposal, you must not vote (either via the virtual meeting website at the Special Meeting or by proxy) in favor of the Merger Agreement Proposal with respect to such shares of Common Stock, and you must continue to hold such shares of Common Stock from the date of making the demand for appraisal through the Effective Time. As such, merely voting against, abstaining or failing to vote on the Merger Agreement Proposal will not by itself preserve your right to appraisal under the DGCL. If you fail to follow exactly the procedures set forth in Section 262 of the DGCL, you will lose your appraisal rights. The requirements for exercising appraisal rights are further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We encourage you to read these provisions carefully and in their entirety. If you hold your shares of Common Stock through a bank, broker or other nominee and you wish to exercise your appraisal rights, you should consult with your bank, broker or other nominee to determine the appropriate procedures. In view of the complexity of the DGCL, LiveRamp stockholders who may wish to pursue appraisal rights should consult their legal and financial advisors promptly. The discussion of appraisal rights in this proxy statement is not a full summary of the law pertaining to appraisal rights under the DGCL, and is qualified in its entirety by the full text of Section 262 of the DGCL, accessible without subscription or costs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Adjournment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it is not currently expected, the Special Meeting may be adjourned or postponed. LiveRamp’s Bylaws provide that stockholders entitled to vote at such meeting, present virtually via the internet or represented by proxy, will have the power to adjourn the meeting to another place (if any), date and time, although the Merger Agreement includes certain limitations on LiveRamp’s ability to postpone or adjourn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Special Meeting is adjourned to another time or place, we are not required to give notice of the time and place (if any) of the adjourned meeting and the means of remote communications, unless the adjournment is for more than thirty (30) days or if after the adjournment a new record date is fixed for the adjourned meeting. At any adjourned meeting, any business may be transacted which might have been transacted at the original meeting. All proxies will be voted in the same manner as they would have been voted at the original convening of the Special Meeting, except for any proxies that have been effectively revoked or withdrawn prior to the time the proxy is voted at the reconvened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Other Matters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Pursuant to the DGCL and our Bylaws, only such business as has been properly brought before the Special Meeting by or at the direction of the Board may be conducted at the Special Meeting.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HOSM"/>
      <w:bookmarkEnd w:id="30"/>
      <w:r>
        <w:rPr>
          <w:rFonts w:ascii="calibri;arial;sans-serif" w:hAnsi="calibri;arial;sans-serif"/>
          <w:b w:val="false"/>
          <w:i w:val="false"/>
          <w:caps w:val="false"/>
          <w:smallCaps w:val="false"/>
          <w:color w:val="000000"/>
          <w:sz w:val="16"/>
        </w:rPr>
        <w:t>​</w:t>
      </w:r>
      <w:bookmarkStart w:id="31" w:name="tVORE"/>
      <w:bookmarkEnd w:id="31"/>
      <w:r>
        <w:rPr>
          <w:rFonts w:ascii="calibri;arial;sans-serif" w:hAnsi="calibri;arial;sans-serif"/>
          <w:b w:val="false"/>
          <w:i w:val="false"/>
          <w:caps w:val="false"/>
          <w:smallCaps w:val="false"/>
          <w:color w:val="000000"/>
          <w:sz w:val="16"/>
        </w:rPr>
        <w:t>​</w:t>
      </w:r>
      <w:bookmarkStart w:id="32" w:name="tESOC"/>
      <w:bookmarkEnd w:id="32"/>
      <w:r>
        <w:rPr>
          <w:rFonts w:ascii="calibri;arial;sans-serif" w:hAnsi="calibri;arial;sans-serif"/>
          <w:b w:val="false"/>
          <w:i w:val="false"/>
          <w:caps w:val="false"/>
          <w:smallCaps w:val="false"/>
          <w:color w:val="000000"/>
          <w:sz w:val="16"/>
        </w:rPr>
        <w:t>​</w:t>
      </w:r>
      <w:bookmarkStart w:id="33" w:name="tQAAI"/>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Householding of Special Meeting Materials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sending only one set of the proxy materials to “street name” stockholders who share a single address unless we received contrary instructions from any stockholder at that address. This practice, known as “householding”, is permitted by the SEC rules and designed to reduce our printing and postage costs.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However, if you are residing at such an address and wish to receive a separate set of proxy materials, you may request them by calling our Corporate Secretary at (888) 987-6764, or by submitting a request in writing to our Corporate Secretary, c/o LiveRamp Holdings, Inc., 301 Main Street, 2nd Floor, Little Rock, AR 72201, and we will promptly deliver a separate set of the proxy materials to you. If you are receiving multiple copies of our proxy statement, you can request householding by contacting the Corporate Secretary in the same manner described above.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Voting Results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intends to announce preliminary voting results at the Special Meeting and to publish final results in a Current Report on Form 8-K that will be filed with the SEC following the Special Meeting. All reports that LiveRamp files with the SEC are publicly available.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Exchanging Shares of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not return any stock certificate or send documents evidencing ownership of Common Stock with the proxy card. If the Merger is completed, the paying agent for the Merger will send you a letter of transmittal and instructions for exchanging your shares of Common Stock for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Questions and Additional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have questions about the Merger or the other matters to be voted on at the Special Meeting or desire additional copies of this proxy statement or additional proxy cards or otherwise need assistance voting, you should contact our proxy solicitor, Innisfree, at (877) 750-0625 (toll-free) or (212) 750-5833 (banks and brokers). A copy of this proxy statement is also available without charge upon written request to Corporate Secretary, c/o LiveRamp Holdings, Inc., 301 Main Street, 2nd Floor, Little Rock, AR 72201.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MAP"/>
      <w:bookmarkEnd w:id="34"/>
      <w:r>
        <w:rPr>
          <w:rFonts w:ascii="calibri;arial;sans-serif" w:hAnsi="calibri;arial;sans-serif"/>
          <w:b w:val="false"/>
          <w:i w:val="false"/>
          <w:caps w:val="false"/>
          <w:smallCaps w:val="false"/>
          <w:color w:val="000000"/>
          <w:sz w:val="16"/>
        </w:rPr>
        <w:t>​</w:t>
      </w:r>
      <w:bookmarkStart w:id="35" w:name="tPTTM1"/>
      <w:bookmarkEnd w:id="35"/>
      <w:r>
        <w:rPr>
          <w:rFonts w:ascii="calibri;arial;sans-serif" w:hAnsi="calibri;arial;sans-serif"/>
          <w:b w:val="false"/>
          <w:i w:val="false"/>
          <w:caps w:val="false"/>
          <w:smallCaps w:val="false"/>
          <w:color w:val="000000"/>
          <w:sz w:val="16"/>
        </w:rPr>
        <w:t xml:space="preserve">​ </w:t>
      </w:r>
    </w:p>
    <w:tbl>
      <w:tblPr>
        <w:tblW w:w="3232" w:type="dxa"/>
        <w:jc w:val="left"/>
        <w:tblInd w:w="440" w:type="dxa"/>
        <w:tblLayout w:type="fixed"/>
        <w:tblCellMar>
          <w:top w:w="0" w:type="dxa"/>
          <w:left w:w="0" w:type="dxa"/>
          <w:bottom w:w="0" w:type="dxa"/>
          <w:right w:w="0" w:type="dxa"/>
        </w:tblCellMar>
      </w:tblPr>
      <w:tblGrid>
        <w:gridCol w:w="124"/>
        <w:gridCol w:w="226"/>
        <w:gridCol w:w="109"/>
        <w:gridCol w:w="109"/>
        <w:gridCol w:w="109"/>
        <w:gridCol w:w="240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40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The Merger Agreement </w:t>
            </w:r>
          </w:p>
        </w:tc>
        <w:tc>
          <w:tcPr>
            <w:tcW w:w="154" w:type="dxa"/>
            <w:tcBorders/>
            <w:shd w:fill="00BC6F" w:val="clear"/>
            <w:vAlign w:val="center"/>
          </w:tcPr>
          <w:p>
            <w:pPr>
              <w:pStyle w:val="TableContents"/>
              <w:bidi w:val="0"/>
              <w:spacing w:before="0" w:after="283"/>
              <w:jc w:val="left"/>
              <w:rPr/>
            </w:pPr>
            <w:r>
              <w:rPr/>
              <w:t>​</w:t>
            </w:r>
          </w:p>
        </w:tc>
      </w:tr>
    </w:tbl>
    <w:tbl>
      <w:tblPr>
        <w:tblW w:w="2767" w:type="dxa"/>
        <w:jc w:val="left"/>
        <w:tblInd w:w="440" w:type="dxa"/>
        <w:tblLayout w:type="fixed"/>
        <w:tblCellMar>
          <w:top w:w="0" w:type="dxa"/>
          <w:left w:w="0" w:type="dxa"/>
          <w:bottom w:w="0" w:type="dxa"/>
          <w:right w:w="0" w:type="dxa"/>
        </w:tblCellMar>
      </w:tblPr>
      <w:tblGrid>
        <w:gridCol w:w="124"/>
        <w:gridCol w:w="28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xml:space="preserve">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sz w:val="36"/>
              </w:rPr>
            </w:pPr>
            <w:r>
              <w:rPr>
                <w:sz w:val="36"/>
              </w:rPr>
              <w:t>(Proposal 1)</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The discussion of the Merger Agreement and the Merger in this proxy statement is qualified in its entirety by reference to the Merger Agreement, a copy of which is attached to this proxy statement as </w:t>
      </w:r>
      <w:r>
        <w:rPr>
          <w:rFonts w:ascii="Arial;Helvetica;sans-serif" w:hAnsi="Arial;Helvetica;sans-serif"/>
          <w:b/>
          <w:i/>
          <w:caps w:val="false"/>
          <w:smallCaps w:val="false"/>
          <w:color w:val="000000"/>
          <w:sz w:val="20"/>
        </w:rPr>
        <w:t>Annex A</w:t>
      </w:r>
      <w:r>
        <w:rPr>
          <w:rFonts w:ascii="Arial;Helvetica;sans-serif" w:hAnsi="Arial;Helvetica;sans-serif"/>
          <w:b w:val="false"/>
          <w:i/>
          <w:caps w:val="false"/>
          <w:smallCaps w:val="false"/>
          <w:color w:val="000000"/>
          <w:sz w:val="20"/>
        </w:rPr>
        <w:t xml:space="preserve"> and incorporated by reference into this proxy statement.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the Merger Agreement, at the Effective Time, Merger Sub will be merged with and into LiveRamp, with LiveRamp surviving the Merger as a subsidiary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Parties to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NYSE under the symbol “RAMP.” We serve a global customer base from locations in the United States, Europe, and the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Publicis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Parent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Merger Sub</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Merger Sub is a wholly owned direct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OTM"/>
      <w:bookmarkEnd w:id="36"/>
      <w:r>
        <w:rPr>
          <w:rFonts w:ascii="calibri;arial;sans-serif" w:hAnsi="calibri;arial;sans-serif"/>
          <w:b w:val="false"/>
          <w:i w:val="false"/>
          <w:caps w:val="false"/>
          <w:smallCaps w:val="false"/>
          <w:color w:val="000000"/>
          <w:sz w:val="16"/>
        </w:rPr>
        <w:t>​</w:t>
      </w:r>
      <w:bookmarkStart w:id="37" w:name="tMCFC"/>
      <w:bookmarkEnd w:id="37"/>
      <w:r>
        <w:rPr>
          <w:rFonts w:ascii="calibri;arial;sans-serif" w:hAnsi="calibri;arial;sans-serif"/>
          <w:b w:val="false"/>
          <w:i w:val="false"/>
          <w:caps w:val="false"/>
          <w:smallCaps w:val="false"/>
          <w:color w:val="000000"/>
          <w:sz w:val="16"/>
        </w:rPr>
        <w:t>​</w:t>
      </w:r>
      <w:bookmarkStart w:id="38" w:name="tEOLI"/>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Effects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and subject to the conditions set forth in the Merger Agreement, LiveRamp will be acquired by Parent, a wholly owned direct subsidiary of Publicis. The acquisition will be completed by merging Merger Sub, a wholly owned direct subsidiary of Parent, with and into LiveRamp with LiveRamp surviving the Merger to become a direct wholly owned subsidiary of Parent. As a result of the Merger, Common Stock will no longer be publicly traded and will be delisted from the NYSE. In addition, Common Stock will be deregistered under the Exchange Act, and LiveRamp will no longer be required to file periodic reports with the SEC. If the Merger is completed, you will not own any shares of the capital stock of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Merger Consideration for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terms and subject to the conditions set forth in the Merger Agreement, each share of Common Stock issued and outstanding at the Effective Time (other than (i) Common Stock owned by stockholders that have properly perfected their rights of appraisal within the meaning of Section 262 of the DGCL, (ii) Common Stock owned or held in treasury by LiveRamp, Parent or Merger Sub and (iii) Common Stock owned by any direct or indirect wholly owned subsidiary of Parent (other than Merger Sub) or LiveRamp), will be converted into the right to receive $38.50 in cash, without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the Merger Agreement provides for the following treatment of LiveRamp’s equity awards at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Options.</w:t>
      </w:r>
      <w:r>
        <w:rPr>
          <w:rFonts w:ascii="Arial;Helvetica;sans-serif" w:hAnsi="Arial;Helvetica;sans-serif"/>
          <w:b w:val="false"/>
          <w:i w:val="false"/>
          <w:caps w:val="false"/>
          <w:smallCaps w:val="false"/>
          <w:color w:val="000000"/>
          <w:sz w:val="20"/>
        </w:rPr>
        <w:t xml:space="preserv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Restricted Stock Awards.</w:t>
      </w:r>
      <w:r>
        <w:rPr>
          <w:rFonts w:ascii="Arial;Helvetica;sans-serif" w:hAnsi="Arial;Helvetica;sans-serif"/>
          <w:b w:val="false"/>
          <w:i w:val="false"/>
          <w:caps w:val="false"/>
          <w:smallCaps w:val="false"/>
          <w:color w:val="000000"/>
          <w:sz w:val="20"/>
        </w:rPr>
        <w:t xml:space="preserv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RSU Awards and LiveRamp PSU Awards.</w:t>
      </w:r>
      <w:r>
        <w:rPr>
          <w:rFonts w:ascii="Arial;Helvetica;sans-serif" w:hAnsi="Arial;Helvetica;sans-serif"/>
          <w:b w:val="false"/>
          <w:i w:val="false"/>
          <w:caps w:val="false"/>
          <w:smallCaps w:val="false"/>
          <w:color w:val="000000"/>
          <w:sz w:val="20"/>
        </w:rPr>
        <w:t>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Effects on LiveRamp if the Merger Is Not Completed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 Merger Agreement is not approved by LiveRamp stockholders or if the Merger is not completed for any other reason, LiveRamp stockholders will not receive any payment for their shares of Common Stock in connection with the Merger. Instead, LiveRamp will remain an independent public company, shares of Common Stock will continue to be listed and traded on the NYSE and be registered under the Exchange Act, and LiveRamp will continue to file periodic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BOTM"/>
      <w:bookmarkEnd w:id="39"/>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reports with the SEC. In addition, if the Merger is not completed, LiveRamp expects that management will, for the foreseeable future, operate LiveRamp’s business in a manner similar to that in which it is being operated today and that LiveRamp stockholders will continue to be subject to the same risks and opportunities to which they are currently subject, including, without limitation, risks related to the competitive industry in which LiveRamp operates and adverse economic conditions. See the section entitled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in LiveRamp’s Annual Report on Form 10-K for the fiscal year ended March 31, 2026, which is incorporated by reference into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Furthermore, if the Merger is not completed, and depending on the circumstances that would have caused the Merger not to be completed, it is possible that the price of Common Stock will decline significantly. If that were to occur, it is uncertain when, if ever, the price of Common Stock would return to the price at which it trades as of the date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if the Merger is not completed, there can be no assurance as to the effect of these risks and opportunities on the future value of your shares of Common Stock. If the Merger is not completed, the Board will continue to evaluate and review LiveRamp’s business operations, properties and capitalization, among other things, make such changes as are deemed appropriate and continue to seek to enhance stockholder value. If the Merger Agreement is not approved by LiveRamp stockholders or if the Merger is not completed for any other reason, there can be no assurance that any other transaction acceptable to LiveRamp will be offered, or that LiveRamp’s business, prospects or results of operation will not be adversely impacted.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In addition, if the Merger Agreement is terminated, under specified circumstances, LiveRamp may be required to pay Parent a termination fee in an amount equal to $32,350,000. See the section entitled “</w:t>
      </w:r>
      <w:r>
        <w:rPr>
          <w:rFonts w:ascii="Arial;Helvetica;sans-serif" w:hAnsi="Arial;Helvetica;sans-serif"/>
          <w:b w:val="false"/>
          <w:i/>
          <w:caps w:val="false"/>
          <w:smallCaps w:val="false"/>
          <w:color w:val="000000"/>
          <w:sz w:val="20"/>
        </w:rPr>
        <w:t xml:space="preserve">The Merger Agreement — Effect of Termination — Termination Fee” </w:t>
      </w:r>
      <w:r>
        <w:rPr>
          <w:rFonts w:ascii="Arial;Helvetica;sans-serif" w:hAnsi="Arial;Helvetica;sans-serif"/>
          <w:b w:val="false"/>
          <w:i w:val="false"/>
          <w:caps w:val="false"/>
          <w:smallCaps w:val="false"/>
          <w:color w:val="000000"/>
          <w:sz w:val="20"/>
        </w:rPr>
        <w:t>for a discussion of the circumstances under which such termination fee may be required to be paid.</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Background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and LiveRamp’s management regularly meet and consider LiveRamp’s long-term strategy, competitive position, opportunities and prospects in light of current business, regulatory and economic environments and developments in industries in which LiveRamp operates and the opportunities and challenges facing participants in those industries. As part of their regular review, the Board and LiveRamp’s management continually assess LiveRamp’s business and opportunities to enhance stockholder value, including prospective strategic opportunities.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LiveRamp’s management regularly meets with representatives of other companies to discuss potential commercial and strategic opportunities to enhance stockholder value. When engaging with other companies, LiveRamp generally looks for commercial partnerships and collaboration opportunities but occasionally such discussions also cover potential strategic business combination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management team also regularly consults with investment banks regarding developments in LiveRamp’s industry, including the business and strategic plans of other participants in LiveRamp’s industry, strategic transactions occurring in LiveRamp’s industry and potential strategic transactions that could occur in LiveRamp’s industry.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late 2024, a representative of an investment bank introduced David Eisenberg, LiveRamp’s Chief Strategy Officer, to representatives of a large financial services company, which we refer to as “Party A”. Between December 2024 and February 2025, representatives of LiveRamp met several times with Party A to discuss potential commercial and strategic collaboration opportunities. These discussions occasionally covered a potential acquisition of LiveRamp but Party A never made a proposal to acquire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January 2025, Mr. Eisenberg also met with representatives of Publicis, one of LiveRamp’s long-standing customers, to discuss potential ways to expand their commercial collaborations including the first mention of a strategic business combination. In March 2025, Scott Howe, LiveRamp’s Chief Executive Officer, met Arthur Sadoun, Publicis’s Chairman and Chief Executive Officer, to further discuss potential business collaborations. During this conversation, Messrs. Howe and Sadoun also generally discussed the possibility of Publicis acquiring LiveRamp but Publicis did not make any specific proposals at that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March 2025, a large software company, which we refer to as “Party B,” contacted Mr. Eisenberg to raise the possibility of acquiring LiveRamp. Shortly thereafter, LiveRamp and Party B entered into a confidentiality agreement (which did not include a so-called “don’t ask, don’t waive” provision) to facilitate these discussions. Representatives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of LiveRamp met with representatives of Party B in April 2025 to discuss the strategic merits of a potential transaction but Party B subsequently informed LiveRamp in June 2025 that it was not interested in pursuing an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Mr. Howe had discussions with the chief executive officer of another large LiveRamp customer, which we refer to as “Party C,” during which they discussed the possibility of a strategic business combination of the two companies but no specific proposals were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July 11, 2025, LiveRamp and Publicis entered into a confidentiality agreement (which did not include a so-called “don’t ask, don’t waive” provision) to facilitate further discussions regarding both expanded commercial collaborations and a potential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Also in July 2025, Party A re-engaged with LiveRamp to further discuss business collaboration opportunities. Representatives of LiveRamp and Party A held a working session to discuss business collaborations in August 2025, but discussions did not extend beyond potential commercial collaboration opportunities to include a potential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August 12 and 13, 2025, the Board held a regularly scheduled meeting. Mr. Howe updated the Board on LiveRamp’s discussions with various commercial partners and informed the Board that Publicis had expressed some interest in exploring an acquisition of LiveRamp if the Board was receptive to a potential transaction. The Board discussed a potential sale of LiveRamp in light of LiveRamp’s ongoing strategic plans, opportunities and challenges, potential valuations of LiveRamp in light of market trading multiples of comparable companies and Wall Street analyst targets, and other parties that might have interest in acquiring LiveRamp. After discussing these matters, the Board deferred any decisions on whether to pursue a potential sale of LiveRamp pending receipt of an actual acquisition proposal from Publicis or another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July and August 2025, an investment bank that had previously advised LiveRamp presented LiveRamp as a potential strategic acquisition opportunity to the Chief Executive Officer and representatives of a large technology company, which we refer to as “Party D.” In October 2025, Party D’s corporate development team contacted representatives of Evercore, given Evercore’s longstanding relationship with LiveRamp, to learn more about LiveRamp and also reached out to Mr. Eisenberg directly. In November 2025, Messrs. Howe and Eisenberg met with Party D to discuss potential commercial and strategic opportunities. Party D ultimately determined not to pursue acquisition discussions, electing instead to focus on expanding the existing commercial partnership between the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October and November 2025, representatives of LiveRamp and Publicis began to hold more regular and detailed discussions regarding a potential acquisition of LiveRamp and the strategic merits of a potential acquisition of LiveRamp by Publicis; however, no specific proposals were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 2025, LiveRamp contacted representatives of Evercore to request Evercore’s assistance in connection with LiveRamp’s potential receipt of an acquisition proposal from Publicis and LiveRamp’s evaluation of its other strategic alternatives, including remaining independent or pursuing strategic transactions with other parties. At this stage, Evercore had not yet been formally engaged but had been informally asked to provide advice to LiveRamp and the Board, given its established relationships with LiveRamp’s management and the Board, its deep domain expertise in LiveRamp and the ecosystem in which it operates, and its prior experience advising on multiple transactions with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3, 2025, Mr. Howe received a preliminary, non-binding indication of interest from Publicis (the “First Publicis Proposal”) in which Publicis proposed to acquire LiveRamp in an all-cash transaction at a price of  $37.50 per share. On December 3, 2025, the closing price of Common Stock was $29.19 per share. During a phone call between Mr. Howe and Mr. Penski on December 4, 2025, Mr. Penski indicated that Publicis might be willing to improve its offer price after discussion and further due diligence on LiveRamp’s business and financial forecasts.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4, 2025, the Board met, together with members of senior management, representatives of Evercore and a representative of Sullivan &amp; Cromwell (“S&amp;C”), to discuss the First Publicis Proposal. Mr. Howe described LiveRamp’s prior discussions with Publicis about their commercial collaborations and Publicis’s renewed interest in acquiring LiveRamp. Representatives of Evercore then discussed with the Board the First Publicis Proposal in light of market trading multiples of certain other companies and Wall Street analyst targets for LiveRamp’s stock price and other third parties that might have interest in acquiring LiveRamp or engaging in a strategic transaction with LiveRamp. The Board then discussed a potential sale of LiveRamp in light of its strategic plans, opportunities and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challenges. After discussing the foregoing, the Board instructed management to inform Publicis that the Board had determined that the proposed price reflected in the First Publicis Proposal was inadequate but authorized management to inform Publicis that LiveRamp was open to a potential acquisition by Publicis at a higher price and was prepared to share certain confidential information to support a higher offer price. The Board also authorized management and representatives of Evercore to contact other third parties to gauge their interest in a potential acquisition of LiveRamp, or a strategic transaction with LiveRamp, selecting such third parties based on their existing commercial relationship with LiveRamp or the perceived strategic rationale of a business combination or other strategic transaction with LiveRamp. The Board did not otherwise make any determinations regarding whether to enter into a sale or other strategic transaction with Publicis or any other party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Between December 5 – 8, 2025, LiveRamp management and representatives of Evercore developed plans to contact the foregoing third parties, and Mr. Eisenberg and representatives of Evercore began contacting these parties shortly thereafter, including Party 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Also at this time, LiveRamp management conveyed the Board’s position to Publicis and indicated that Publicis’s offer would need to be more compelling in terms of purchase price to interest the Board. LiveRamp invited Publicis to clarify what due diligence information Publicis would like to receive from LiveRamp in connection with Publicis’s evaluation of a potential acquisition of LiveRamp. Shortly thereafter, Publicis shared preliminary due diligence requests with LiveRamp, which included a request to review LiveRamp’s long range financial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9, 2025, representatives of Evercore reviewed LiveRamp’s fiscal year 2027 long-range financial plan (“LRP”) with LiveRamp management, which had been prepared by LiveRamp management in the ordinary course of business as a part of its annual strategic planning process. At the direction of the Board, representatives of Evercore then shared the LRP with Publicis and Bank of America, Publicis’s financial advisor in connection with the potential transaction (“BofA”). A summary of the LRP is available under the section entitled “</w:t>
      </w:r>
      <w:r>
        <w:rPr>
          <w:rFonts w:ascii="Arial;Helvetica;sans-serif" w:hAnsi="Arial;Helvetica;sans-serif"/>
          <w:b w:val="false"/>
          <w:i/>
          <w:caps w:val="false"/>
          <w:smallCaps w:val="false"/>
          <w:color w:val="000000"/>
          <w:sz w:val="20"/>
        </w:rPr>
        <w:t>The Merger Agreement — Certain Unaudited Financial Information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remainder of December 2025, at the direction of the Board, LiveRamp management and representatives of Evercore approached eleven third parties to gauge their interest in exploring an acquisition or other strategic transaction with LiveRamp, including Parties A, B, C and D. Eight of these parties declined to engage in discussions regarding a potential transaction with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12, 2025, LiveRamp received a revised preliminary, non-binding indication of interest from Publicis in which Publicis proposed to acquire LiveRamp in an all-cash transaction at $40.00 per share (the “Second Publicis Proposal”). On December 12, 2025, the closing price of Common Stock was $30.21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December 12 to December 17, 2025, LiveRamp negotiated and entered into confidentiality agreements with the three third parties that had expressed preliminary interest in discussing a potential transaction with LiveRamp. All of these confidentiality agreements contained customary “standstill” provisions but did not include so-called “don’t ask, don’t waive”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16, 2025, representatives of LiveRamp met with representatives of a global marketing company, which we refer to as “Party E” to discuss the strategic merits of combining their businesses. Following this meeting, representatives of Party E indicated to representatives of Evercore that it intended to submit an indication of interest to acquire LiveRamp on December 23 or December 24, 2025, but that it would be hard to get conviction internally following two acquisitions that Party E had completed in the preceding two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17, 2025, the Board met, together with members of senior management, representatives of Evercore and a representative of S&amp;C, to discuss the Second Publicis Proposal and the status of LiveRamp’s outreach to other third parties. Mr. Howe described his conversations with Publicis on December 4, 2025, that the Board had determined that the proposed price reflected in the First Publicis Proposal was inadequate but that LiveRamp remained open to a potential acquisition by Publicis at a higher price and was prepared to continue a due diligence process in order to help Publicis identify additional areas of value that might justify an improved offer price. Mr. Howe and Mr. Eisenberg also described their initial outreach conversations with other third parties as well as the meeting with Party E on December 16, 2025. Representatives of Evercore then reviewed with the Board the Second Publicis Proposal, as compared to LiveRamp’s current trading price. Members of the Board discussed various topics, including negotiations with Publicis and general understandings of process for an acquisition proposal, the future share price performance and Publicis’s rationale for a potential acquisition of LiveRamp, as well as the status and likely outcome of ongoing discussions with other parties. The Board decided that discussions should continue with Publicis and third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parties that had expressed interest in a potential transaction with LiveRamp, but the Board did not reach a conclusion on whether LiveRamp should accept the Second Publicis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this meeting, Mr. Howe suggested forming an ad hoc “strategic committee” of the Board in the interest of efficiency that could convene quickly when necessary to make quick decisions regarding logistical matters relating to a potential transaction with Publicis or other third parties before presenting final decisions to the Board. The Board then determined to create such a strategic committee and designated Clark Kokich, Chair of the Board, Vivian Chow, the Chair of the Audit/Finance Committee and Timothy Cadogan, Chair of the Talent and Compensation Committee as members of the strategic committee. The strategic committee met periodically throughout December and January on an ad hoc basis to discuss the progress of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this meeting, the Board also approved (i) the recommendation that Evercore should be retained as financial advisor to LiveRamp in connection with a potential transaction, based on Evercore’s knowledge of LiveRamp and the ecosystem in which LiveRamp operates and Evercore’s high level of competence and (ii) the recommendation that S&amp;C should be retained as outside legal advisor in connection with a potential transaction based on its M&amp;A experience and expertise as well as the experience of its senior lead representing LiveRamp in multiple transactions and companies where members of management served on corporate boards. On December 18, 2025, LiveRamp formally engaged S&amp;C as its outside legal advisor in connection with a potential transaction and on December 19, 2025, LiveRamp formally engaged Evercore as its financial advisor in connection with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December 18 to December 23, 2025, LiveRamp management and its advisors met with Publicis and its advisors several times to discuss various business, financial, technical, legal and other issues related to a potential transaction. Also during this period, LiveRamp received an initial draft merger agreement from Publicis and its outside legal advisor, Wachtell, Lipton, Rosen &amp; Katz on December 23, 2025. Later that day, LiveRamp and S&amp;C uploaded an independent initial draft merger agreement to a virtual data room. The parties thereafter began negotiating the terms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this period, LiveRamp management met with representatives of Party F and Party G, each large technology companies, to discuss the strategic merits of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23, 2025, Mr. Howe provided an update to the Board in which he summarized LiveRamp’s latest meetings with Publicis and the progress of discussions regarding the terms of a potential transaction. Mr. Howe noted that Publicis remained interested in a transaction but was unlikely to improve its offer price above the $40 per share reflected in the Second Publicis Proposal. Mr. Howe also indicated that Party F and Party G were unlikely to make acquisition proposals for LiveRamp based on his discussions with their representatives which he summarized for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24, 2025, LiveRamp received a preliminary, non-binding indication of interest from Party E in which Party E proposed to acquire LiveRamp in an all-cash transaction at $40.00 per share (the “Party E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26, 2025, representatives of LiveRamp and representatives of Evercore met with representatives of Party F to discuss the potential synergies that could be achieved in a transaction with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Also on December 26, 2025, the strategic committee held a meeting, at which other Board members, members of management, representatives of Evercore and a representative of S&amp;C were present, to discuss the status of discussions regarding a potential transaction. Management discussed the status of discussions with Publicis, noting that due diligence and negotiations were ongoing but that Publicis had signaled it was unlikely to improve its offer price above $40 per share. Management then discussed the Party E Proposal and the status of discussions with Party E, including the fact that Party E was less advanced in its evaluation of the potential transaction than Publicis and was likely to require significant time to confirm its proposed offer price (or improve it), conduct due diligence and negotiate transaction terms. Management also observed that Party E had closed two large acquisitions in the previous two years including a significant transaction in the preceding months, which might impact its ability and desire to focus on a potential transaction with LiveRamp at this time. Management then discussed the status of discussions with Party F, noting that while Party F continued to engage in transaction discussions and due diligence, Party F leadership recognized the strategic merits of a combination with LiveRamp but expressed concerns about the timing of revenue synergies and potential dissynergies. Management also noted that Party F had never completed an acquisition of the size of LiveRamp so it might have difficulty executing a transaction on a reasonable timeframe.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Finally, management discussed the status of discussions with Party G, which appeared to be interested in a transaction with LiveRamp but had limitations on its ability to execute a transaction given its own ownership structure and financial limitations.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discussed the foregoing and the competitive dynamics, including that discussions and negotiations with Publicis had proceeded to a point where a transaction could be finalized relatively soon while other interested parties (including Party E from whom LiveRamp had received an acquisition proposal) were meaningfully less advanced than Publicis. The Board discussed the accelerated diligence timing requests from Publicis and noted that while these requests did not, on an individual basis, represent superior value to LiveRamp, they could be beneficial to LiveRamp in negotiating with Publicis. The Board further discussed the importance of maintaining competitive tension, preserving optionality and continuing to evaluate proposals based on overall value to the LiveRamp stockholders. The Board confirmed that LiveRamp management and its advisors should continue to pursue engagement in a manner designed to maximize risk-adjusted stockholder value and to keep the Board informed of material developments, but that the Board had not made a decision on entering into a definitive agreement for a transaction or the amount of value that would be necessary to approve a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remainder of December 2025, representatives of LiveRamp and Publicis continued to negotiate the terms of the merger agreement and other related matters, while LiveRamp management continued discussions with Party E, Party F and Party G and the exchange of confidential information with Party E in response to its ongoing due diligence review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29, 2025, Party G informed LiveRamp that it had determined not to pursue a transaction based on its own strategic priorities.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2, 2026, the strategic committee held a meeting, at which other Board members, members of LiveRamp’s management and representatives of Evercore and S&amp;C were present. Mr. Howe provided an overview of ongoing meetings and negotiations with Publicis. Mr. Howe also noted that Publicis indicated it would not increase its offer price for LiveRamp beyond what was reflected in the Second Publicis Proposal. Mr. Howe further noted that Publicis was focusing on the retention of key senior members of the LiveRamp management team (including Mr. Howe himself) and was seeking to negotiate employment arrangements with certain senior leaders and that issues related to the terms of such employment agreements would need to be resolved, along with other issues related to employee matters and treatment of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Representatives of Evercore then provided a status report on discussions with Party E, noting that Party E had been informed that its proposal was competitive but undifferentiated and that the Board was focused on value, speed and certainty of a potential closing. Party E had also been informed that LiveRamp was moving quickly with another potential buyer and might be in a position to enter into a definitive agreement with another party relatively soon. Party E had been provided a draft merger agreement on December 23, 2025; however, Party E did not provide a mark-up of the draft merger agreement and its subsequent engagement with the transaction process was limited. Representatives of Evercore observed that Party E was still engaged but not proceeding at a pace that suggested real eagerness to pursue a competing transaction with LiveRamp. Representatives of Evercore noted that Party F remained interested in a potential transaction with LiveRamp and was still working internally on an evaluation of a business combination with LiveRamp but had also indicated that it was not presently in a position to pursue a potential transaction with LiveRamp in earnest.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January 2026, several artificial intelligence (“AI”) companies launched new tools that were designed to build software and automate workflows through AI agents, triggering a market correction for shares of Software-as-a-Service (“SaaS”) companies. During this period, the average forward earnings multiple for software companies decreased from 39x to 21x within a few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parallel to the acquisition discussions, LiveRamp and Publicis pursued discussions for an expanded commercial partnership, executing an expanded commercial agreement on December 12, 2025. On January 8, 2026, a representative of Publicis contacted Mr. Howe to inform him that Publicis had determined that it preferred to amend its commercial partnership with LiveRamp for the time being, rather than to pursue a potential acquisition of LiveRamp, noting the material open points related to retention, employee matters and treatment of equity awards, although both parties continued to progress discussions for a potential transaction. Also on January 8, 2026, Publicis and LiveRamp announced their commercial partnership to enhance their strategic collaborations.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early January 2026, Mr. Howe also met with the chief executive officer of Party F. The Party F chief executive officer appeared to agree on the strategic merits of a transaction with LiveRamp but also indicated that it would be difficult for Party F to support the synergies necessary to support a transaction. Thereafter, LiveRamp management and representatives of Evercore met with representatives of Party F to discuss the strategic merits of a potential acquisition of LiveRamp by Party F and potential synergies that could be achieved from such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14, 2026, Mr. Howe informed the Board that he believed LiveRamp could still reach agreement on an acquisition of LiveRamp by Publicis but that employee retention, employee matters and treatment of equity awards remained open. Mr. Howe further explained that Party E was still evaluating a potential transaction with LiveRamp but had not taken steps to advance its initial acquisition proposal. Mr. Howe also noted that Party F believed in the strategic merits of a business combination with LiveRamp but was concerned about the synergy model and did not seem prepared to make an acquisition proposal for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15, 2026, Mr. Howe provided an update to the Board that Publicis and LiveRamp had come to an impasse regarding employment agreements and retention and Publicis had decided to pause its exploration of a potential acquisition of LiveRamp for the time being.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16, 2026, the strategic committee held a meeting, at which other Board members and members of LiveRamp management were present, to discuss the status of discussions with Publicis, Party E and Party F. Mr. Howe indicated that he believed market negativity towards the technology sector over the last several weeks had become a significant headwind to a potential transaction with all of the parties. Mr. Howe noted, however, that Party E was still engaged with LiveRamp’s representatives and the parties were scheduling a meeting to work through certain strategic considerations and transaction synergies.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the remainder of January 2026, LiveRamp management and representatives of Evercore continued to have limited discussions about a potential transaction with Party E. Throughout this period, however, stock prices of companies in the SaaS industry continued to significantly and systemically decline, and Party E indicated that it was not prepared to pursue a potential acquisition of LiveRamp at that time, citing the changing market environment, as well as its inability to move quickly while focused on delivering and realizing synergies from and integrating its prior acquisition.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February 8, 2026, Mr. Howe met with representatives of Publicis. They continued to agree that while a business combination had strategic merit, it was unlikely to happen at such time given factors including the systemic changes in software company trading prices and continued lack of agreement between the parties on price and employee retention topics. Both parties agreed that the focus of a relationship had shifted from a strategic context to a commercial context and determined to keep in contact and collaborate on any potential commercial opportunities that might arise in the future. Publicis and LiveRamp remained in touch for the next several months, due to their ongoing commercial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February 10, 2026 Board meeting, the Board was informed of Publicis’s shift from a potential strategic partner to a commercial partner. The Board, taking note of this information, authorized an increase and extension of LiveRamp’s share repurchase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February through April 2026, representatives of LiveRamp met on several occasions with representatives of Party A, Party C, Party D and Party E to discuss commercial collaboration opportunities but none of these discussions led to any discussion of a business combination.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late March 2026, representatives of Publicis indicated to Mr. Howe that Publicis might be interested in re-engaging in discussions regarding a potential transaction between Publicis and LiveRamp, and requested an overview of LiveRamp’s recent financial results and its financial projections for 2026 and 2027. On April 3 and April 13, 2026, representatives of BofA contacted representatives of Evercore to provide more recent share count and net debt figures from LiveRamp. On April 13, 2026, Mr. Eisenberg discussed with representatives of Publicis the logistics of providing such updated information. LiveRamp provided Publicis with a summary of its financial results and projections for 2026 and 2027, which were in line with the information shared with Publicis in December 2025 despite the drop in stock prices in the SaaS industry.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April 20, 2026, LiveRamp received a new preliminary, non-binding indication of interest from Publicis in which Publicis proposed to acquire LiveRamp for $37.00 – $38.00 per share in cash (the “Third Publicis Proposal”). On April 20, 2026, the closing price of Common Stock was $29.46 per share. The Third Publicis Proposal indicated that the offer was subject to reaching an agreement on the purchase price and the amount and terms and conditions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May 2026 equity award to LiveRamp employees. The Third Publicis Proposal also included a request for an exclusive negotiation period to enable Publicis to complete its due diligence review of LiveRamp and to enable both parties to complete their negotiation of the merger agreement and the terms of employee retention.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24, 2026, the Board met, together with representatives of Evercore, to discuss the market conditions as context for evaluating the Third Publicis Proposal. The Board noted that LiveRamp’s stock was trading at an approximately 20% discount to its 52-week high and Publicis’s $37.00 – $38.00 per share price in the Third Publicis Proposal would be a 26 – 30% premium to LiveRamp’s current trading price and a 37 – 41% premium to the 30-day volume-weighted average price (“VWAP”) of LiveRamp’s trading price. The Board discussed with management and its advisors the Third Publicis Proposal in comparison to LiveRamp’s stand-alone valuation. The Board also considered the Third Publicis Proposal in the context of a challenging and uncertain stock market environment. The Board and management then discussed the merits of re-engaging with Publicis in light of the reduced price in the Third Publicis Proposal relative to the Second Publicis Proposal from December 2025, the macro-trading environment for software company stock prices, and LiveRamp’s business performance, prospects and financial outlook. The Board did not make any final determinations regarding the Third Publicis Proposal at this time but instructed Mr. Howe to seek a specific offer price from Publicis rather than a range and to press Publicis to improve its offer price given LiveRamp’s financial performance and business outlook. Following the Board meeting, Mr. Howe conveyed the Board’s sentiments to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24, 2026, representatives of Publicis spoke with Mr. Howe and orally revised Publicis’s offer price for LiveRamp to $38.50 per share, advised that this was Publicis’s “best and final” offer and reiterated Publicis’s request for a period of exclusivity. Mr. Howe then consulted with the Board and received authorization to engage with Publicis on the basis of its revised offer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26, 2026, in order to clarify and memorialize in writing the terms upon which LiveRamp was willing to re-engage with Publicis, LiveRamp sent Publicis a written response to its revised oral proposal reflecting the revised offer price of  $38.50 per share and accepting an exclusivity period through May 12, 2026, during which LiveRamp agreed not to solicit, initiate, participate or encourage discussions or negotiations on the submission of bids, offers or proposals by any person other than Publicis, not to disclose any information concerning LiveRamp or this proposal or afford access to LiveRamp’s books and records to any person or entity other than Publicis, and not to enter into any agreement with respect to a strategic transaction (“April LiveRamp Response”). Publicis countersigned the April LiveRamp Response on April 30, 2026 and representatives of Publicis and LiveRamp shared due diligence information and negotiation of the terms of transaction documentation.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8, 2026, the Board met, together with management and representatives of Evercore and S&amp;C, to discuss the status of negotiations with Publicis and general market dynamics. Representatives of Evercore indicated that the public market had recovered some of its year-to-date losses but artificial intelligence disruption was still present with investor sentiment bifurcating winners and those with terminal risk. Management then discussed the status of ongoing discussions with Publicis, including related to employee retention arrangements. The Board offered feedback on these matters, emphasizing its desire to ensure Publicis’s commitment to obtain the required regulatory clearances necessary to complete the transaction and its desire to ensure the Board would have a clear and unimpeded opportunity to receive, consider and ultimately accept competing acquisition proposals that offered better value and certainty for LiveRamp’s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May 8 to May 16, 2026, Publicis finalized its due diligence review of LiveRamp and representatives of Publicis and LiveRamp completed negotiation of the terms of the merger agreement and other transaction documentation.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met for its regularly scheduled quarterly meeting on May 12 and 13, 2026, with members of LiveRamp management, representatives of Evercore and a representative of S&amp;C in attendance. Representatives of Evercore presented a preliminary financial analysis of the merger consideration to be received by holders of Common Stock (other than the Fairness Opinion Excluded Shares) in the Merger pursuant to the Merger Agreement, was fair, from a financial point of view, to such holders and a representative of S&amp;C provided an update on the proposed terms of the merger agreement and other transaction documentation. LiveRamp’s management also presented on the risks facing LiveRamp, including an evolving legal and regulatory environment, changes to privacy regulation and disruptions to the technology industry stemming from developments in AI technology. Given that the exclusivity period contemplated by the April LiveRamp Response had expired, the Board then discussed whether to contact other third parties, particularly those with whom LiveRamp had been in contact during the previous six months, to gauge their interest in exploring a transaction with LiveRamp. The Board discussed the potential benefits of making this outreach, including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ROTB1"/>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possibility of attracting a superior transaction proposal from one or more of these parties, and the risks of making this outreach at this late stage of negotiations with Publicis, including the possibility that Publicis would withdraw its transaction proposal altogether given the parties were near finalizing the terms of the transaction documentation. After discussion, which included a discussion of the information presented by Evercore, S&amp;C and LiveRamp management, the Board determined not to make any outbound calls at this time. On this basis, the Board instructed S&amp;C to ensure the merger agreement did not impose unreasonable impediments to the Board’s right to receive, consider and ultimately accept any such superior transaction proposals that LiveRamp might receive.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15, 2026, the Board held a meeting with representatives of LiveRamp’s management, Evercore and S&amp;C in attendance. Representatives of S&amp;C reviewed with the Board updates to key terms of the proposed final merger agreement with Publicis. Representatives of Evercore then reviewed with the Board Evercore’s financial analysis of the proposed transaction and noted that such financial analysis was generally consistent with the preliminary financial analysis discussed with the Board on May 12 and 13, 2026. The Board discussed Evercore’s financial analysis and assumptions underlying such analysis. The Board then discussed certain key assumptions made by LiveRamp’s management in the LRP, as well as LiveRamp’s ability to achieve the estimates in the LRP and risks pertinent to such achievement. Representatives of Evercore then delivered to the Board its opinion, which was subsequently confirmed by delivery of a written opinion dated May 16, 2026, to the effect that, as of such date and based upon and subject to the assumptions, limitations, qualifications and conditions described therein, the Merger Consideration to be received by holders of Common Stock (other than Fairness Opinion Excluded Shares) in the Merger pursuant to the Merger Agreement, was fair, from a financial point of view, to such holders. For a detailed discussion of Evercore’s opinion, please see below under the caption “</w:t>
      </w:r>
      <w:r>
        <w:rPr>
          <w:rFonts w:ascii="Arial;Helvetica;sans-serif" w:hAnsi="Arial;Helvetica;sans-serif"/>
          <w:b w:val="false"/>
          <w:i/>
          <w:caps w:val="false"/>
          <w:smallCaps w:val="false"/>
          <w:color w:val="000000"/>
          <w:sz w:val="20"/>
        </w:rPr>
        <w:t>The Merger Agreement — Opinion of Evercore Group L.L.C.</w:t>
      </w:r>
      <w:r>
        <w:rPr>
          <w:rFonts w:ascii="Arial;Helvetica;sans-serif" w:hAnsi="Arial;Helvetica;sans-serif"/>
          <w:b w:val="false"/>
          <w:i w:val="false"/>
          <w:caps w:val="false"/>
          <w:smallCaps w:val="false"/>
          <w:color w:val="000000"/>
          <w:sz w:val="20"/>
        </w:rPr>
        <w:t>”. Following further discussion, the Board on May 15, 2026, taking note that the strategic committee had notified the Board that it unanimously recommended that the Board adopt, approve and declare advisable the Merger Agreement and the Transactions,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it advisable to enter into the Merger Agreement, (iii) approved the execution and delivery of the Merger Agreement by LiveRamp, the performance by LiveRamp of its covenants and agreements contained therein and the consummation of the Merger and other transactions contemplated by the Merger Agreement upon the terms and subject to the conditions contained therein and (iv) resolved to recommend that LiveRamp stockholders approve the transactions, including the Merger and adopt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such time, the boards of directors of Parent and Merger Sub, as well as of Publicis (in its capacity as guarantor to Parent pursuant to Section 10.14 of the Merger Agreement) unanimously approved the entry by such parties into the Merger Agreement and the boards of directors of Parent and Merger Sub determined that the Merger Agreement and the transactions contemplated thereby, including the Merger, were advisable and fair to, and in the best interests of, Parent and Merger Sub and their respective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was executed on May 16, 2026. Concurrently with the execution of the Merger Agreement, Mr. Howe entered into an employment agreement with Publicis, that will become effective upon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17, 2026, LiveRamp and Publicis issued a joint press release announcing the execution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at a meeting held on May 15, 2026, the Board, by unanimous approval of all directors, (i) determined that the terms of the Merger Agreement and the Transactions contemplated thereby, including the Merger, are fair to, and in the best interests of, the Company and its stockholders, (ii) determined that it is in the best interests of the Company and its stockholders and declared it advisable to enter into the Merger Agreement, (iii) approved the execution and delivery by the Company of the Merger Agreement, the performance by the Company of its covenants and agreements contained therein and the consummation of the Merger and the other Transactions contemplated by the Merger Agreement upon the terms and subject to the conditions contained therein and (iv) resolved to recommend that LiveRamp stockholders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stockholders must approve the Merger Agreement Proposal in order for the Merger to occur.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which we encourage you to read carefully and in its entirety.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Merger Agreement Proposal. Accordingly, a stockholder may vote to approve the Merger Agreement Proposal and vote not to approve the Merger Compensation Proposal, and vice versa. Because the vote on the Merger Compensation Proposal is advisory in nature only, it will not be binding on LiveRamp, Publicis,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our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LiveRamp stockholders vote “FOR” the above proposals.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evaluating the Merger Agreement and the Transactions contemplated thereby, including the Merger, the Board consulted with LiveRamp’s management, its outside legal counsel and its financial advisors, and considered a number of factors, including the following non-exhaustive list of material reasons (which are not listed in order of relative importance) that the Board believes support its unanimous determination and recommendation: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assessment of the Board, based on industry experience and a deep understanding of LiveRamp and its competitors’ businesses, of the operating environment and LiveRamp’s standalone prospects and the opportunities, risks and challenges presented thereby, as well as an assessment of other strategic alternatives available to LiveRamp for enhancing value over the long term, including the accelerating pace of technological change in the industry, ongoing macroeconomic conditions and the Board’s belief, based upon such assessment, that the proposed Merger offered greater benefits, with reduced risks, as compared to the value that could reasonably be expected to be obtained from LiveRamp’s standalone plan and other alternatives available to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likelihood of realizing a compelling, near-term and certain value of  $38.50 per share in cash pursuant to the Merger as compared to the uncertain prospect that the market price of Common Stock would reach $38.50 in the foreseeable future, if ever, due to business, macroeconomic and industry-wide trends, competition in the markets for LiveRamp’s product offerings and LiveRamp’s ability to achieve the financial targets in the long-range financial plan as a standalone public company, which are based on numerous variables and assumptions that are inherently uncertain and subject to greater uncertainty with each successive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recent and historical market prices for Common Stock, as compared to the per share Merger Consideration, including the fact that the Merger Consideration of  $38.50 per share represents a premium of approximately 30% over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premium of the Merger Consideration generally being consistent and in line with premiums observed in other comparable transactions of which the Board was aware;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opinion of Evercore delivered at the meeting of the Board on May 15, 2026 and subsequently delivered in writing on May 16, 2026, to the effect that, as of the date and based upon and subject to the assumptions, limitations, qualifications, and conditions described therein, the Merger Consideration to be received by the holders of Common Stock (other than Excluded Shares) in the Merger pursuant to the Merger Agreement, was fair, from a financial point of view, to such holders, as more fully described in the section 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terms of the Merger Agreement and the fact that the per share consideration is fixed, with no adjustment or merger consideration to be received by LiveRamp stockholders as a result of possible increases or decreases in the trading price of LiveRamp stock following the announcement of the Merger, which the Board believed was consistent with market practice for transactions of this type;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course and history of the vigorous negotiations between Parent and LiveRamp with respect to Merger Consideration and other terms of the Merger Agreement, including the Board’s belief, based on the history of negotiations and the interactions between the two companies’ senior executives and between their respective advisors, that these negotiations yielded Parent’s best offer, as described under “</w:t>
      </w:r>
      <w:r>
        <w:rPr>
          <w:rFonts w:ascii="Arial;Helvetica;sans-serif" w:hAnsi="Arial;Helvetica;sans-serif"/>
          <w:b w:val="false"/>
          <w:i/>
          <w:caps w:val="false"/>
          <w:smallCaps w:val="false"/>
          <w:color w:val="000000"/>
          <w:sz w:val="20"/>
        </w:rPr>
        <w:t>The Merger Agreement (Proposal 1) — Background of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fact that LiveRamp conducted during a period of less than eighteen (18) months the sale process resulting in the transaction with Parent, during which fourteen (14) prospective acquirors, including Publicis, were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contacted to gauge, or otherwise expressed, their interest in a potential acquisition of LiveRamp, in each case as described under “</w:t>
      </w:r>
      <w:r>
        <w:rPr>
          <w:rFonts w:ascii="Arial;Helvetica;sans-serif" w:hAnsi="Arial;Helvetica;sans-serif"/>
          <w:b w:val="false"/>
          <w:i/>
          <w:caps w:val="false"/>
          <w:smallCaps w:val="false"/>
          <w:color w:val="000000"/>
          <w:sz w:val="20"/>
        </w:rPr>
        <w:t>The Merger Agreement (Proposal 1) — Background of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the Board was able to negotiate an increase in Publicis’s offer price from $37.50 per share in cash pursuant to the initial Publicis indication of interest to $38.50 per share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anticipated likelihood and timing of the consummation of the Merger, including based upon the scope of the conditions to the consummation of the Merger (including the definition of  “material adverse effect”), the likelihood of obtaining required regulatory approvals, the remedies available to LiveRamp under the Merger Agreement in the event of breaches in certain circumstances by Parent, including specific performance and the availability of lost premium damages, Publicis’s business reputation, Publicis’s financial capacity to complete an acquisition of the size of the Merger and Publicis’s track record of successfully completing acquisitions of other businesses;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Board’s belief that the Termination Fee and other limitations applicable to, among other things, a change of recommendation and acquisition proposals agreed to in the Merger Agreement (as described in the section entitled “</w:t>
      </w:r>
      <w:r>
        <w:rPr>
          <w:rFonts w:ascii="Arial;Helvetica;sans-serif" w:hAnsi="Arial;Helvetica;sans-serif"/>
          <w:b w:val="false"/>
          <w:i/>
          <w:caps w:val="false"/>
          <w:smallCaps w:val="false"/>
          <w:color w:val="000000"/>
          <w:sz w:val="20"/>
        </w:rPr>
        <w:t>The Merger Agreement — No Solicitation; Change in Board Recommendation</w:t>
      </w:r>
      <w:r>
        <w:rPr>
          <w:rFonts w:ascii="Arial;Helvetica;sans-serif" w:hAnsi="Arial;Helvetica;sans-serif"/>
          <w:b w:val="false"/>
          <w:i w:val="false"/>
          <w:caps w:val="false"/>
          <w:smallCaps w:val="false"/>
          <w:color w:val="000000"/>
          <w:sz w:val="20"/>
        </w:rPr>
        <w:t>”) were reasonable and customary and would not preclude a serious and financially capable potential acquirer from submitting an unsolicited proposal to acquire LiveRamp following the announcement of the Merger Agreement or prohibit the Board or its representatives from engaging with any such potential acquiror in such a circumstance, subject to the applicable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Board’s review of the structure of the Merger and the financial and other terms of the Merger Agreement, including, among others, the following terms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Publicis’s full and unconditional guarantee of Parent’s full and timely performance of all of the obligations of Parent under the Merger Agreement, including the payment obligations pursuant to the Merger Agreement, and the absence of a financing condition in the Merger Agreement; </w:t>
      </w:r>
      <w:r>
        <mc:AlternateContent>
          <mc:Choice Requires="wps">
            <w:drawing>
              <wp:anchor behindDoc="0" distT="7493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Outside Date, which will be automatically extended to August 16, 2027 if certain regulatory closing conditions remain the only conditions not satisfied or waived as of the Outside Date (other than conditions that by their nature are to be satisfied at the Closing); </w:t>
      </w:r>
      <w:r>
        <mc:AlternateContent>
          <mc:Choice Requires="wps">
            <w:drawing>
              <wp:anchor behindDoc="0" distT="74930" distB="0" distL="508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 financing condition of any kind in the Merger Agreement;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customary nature of the representations, warranties and covenants of LiveRamp in the Merger Agreement and the limited ability of the parties to terminate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the Merger would be subject to the approval of LiveRamp’s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approval for the Merger required from the Parent’s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stockholders’ ability to exercise their statutory appraisal rights under Section 262 of the DGCL and receive payment of the “fair value” of their shares of Common Stock in lieu of the Merger Consideration, subject to and in accordance with the DGCL, unless and until any such stockholder withdraws or loses such holder’s right to appraisal and payment under the DGCL;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state of the U.S. and global economies, developments in the AI and SaaS industry, political uncertainty, and the current and potential impact in both the near term and long term on the digital marketing and advertising industries and LiveRamp of these trends and developments.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course of its deliberations, the Board, in consultation with LiveRamp’s management team, its outside legal counsel and its financial advisors, also considered a variety of risks and other potentially negative factors relating to the Merger Agreement and the Merger, including the following factors (which are not listed in order of relative importance):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will no longer exist as a standalone public company and LiveRamp’s stockholders will forgo participation in any future increase in LiveRamp’s value that might result from our earnings or possible growth as a standalone public company, including as a result of any new products LiveRamp may develop or the realization of any proceeds from LiveRamp’s ongoing litigation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covenants in the Merger Agreement that preclude LiveRamp from soliciting alternative acquisition proposals (although LiveRamp is able to provide certain information in response to unsolicited acquisition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2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proposals, as described in the section entitled “</w:t>
      </w:r>
      <w:r>
        <w:rPr>
          <w:rFonts w:ascii="Arial;Helvetica;sans-serif" w:hAnsi="Arial;Helvetica;sans-serif"/>
          <w:b w:val="false"/>
          <w:i/>
          <w:caps w:val="false"/>
          <w:smallCaps w:val="false"/>
          <w:color w:val="000000"/>
          <w:sz w:val="20"/>
        </w:rPr>
        <w:t>The Merger Agreement — No Solicitation; Change in Board Recommendation”</w:t>
      </w:r>
      <w:r>
        <w:rPr>
          <w:rFonts w:ascii="Arial;Helvetica;sans-serif" w:hAnsi="Arial;Helvetica;sans-serif"/>
          <w:b w:val="false"/>
          <w:i w:val="false"/>
          <w:caps w:val="false"/>
          <w:smallCaps w:val="false"/>
          <w:color w:val="000000"/>
          <w:sz w:val="20"/>
        </w:rPr>
        <w:t>) and provide Parent with customary “matching” rights prior to LiveRamp terminating the Merger Agreement to accept a Superior Proposal;</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would be obligated to pay the Termination Fee in cash under certain circumstances (as described in the section entitled “</w:t>
      </w:r>
      <w:r>
        <w:rPr>
          <w:rFonts w:ascii="Arial;Helvetica;sans-serif" w:hAnsi="Arial;Helvetica;sans-serif"/>
          <w:b w:val="false"/>
          <w:i/>
          <w:caps w:val="false"/>
          <w:smallCaps w:val="false"/>
          <w:color w:val="000000"/>
          <w:sz w:val="20"/>
        </w:rPr>
        <w:t>The Merger Agreement — Effect of Termination — Termination Fee</w:t>
      </w:r>
      <w:r>
        <w:rPr>
          <w:rFonts w:ascii="Arial;Helvetica;sans-serif" w:hAnsi="Arial;Helvetica;sans-serif"/>
          <w:b w:val="false"/>
          <w:i w:val="false"/>
          <w:caps w:val="false"/>
          <w:smallCaps w:val="false"/>
          <w:color w:val="000000"/>
          <w:sz w:val="20"/>
        </w:rPr>
        <w:t>”), including the potential impact of such Termination Fee on the willingness of other potential acquirors to propose alternative transactions, although the Board believed that the Termination Fee was reasonable and customary and would not preclude a serious and financially capable potential acquiror from submitting a proposal to acquire LiveRamp following the announcement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effect of the public announcement of the Merger Agreement on LiveRamp’s operations and employees, as well as LiveRamp’s ability to attract, hire and retain key personnel while the Merger is pending;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Parent’s and Merger Sub’s obligations to consummate the Merger are subject to regulatory approvals and other conditions, and the possibility that such conditions may not be satisfied on a timely basis or at all, including as a result of events outside of LiveRamp’s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if the Merger is not consummated: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LiveRamp’s directors, officers and other employees will have expended extensive time and effort and will have experienced significant distractions from their work and day-to-day responsibilities during the pendency of the Merger, and LiveRamp will have incurred significant transaction costs attempting to consummate the Merger; </w:t>
      </w:r>
      <w:r>
        <mc:AlternateContent>
          <mc:Choice Requires="wps">
            <w:drawing>
              <wp:anchor behindDoc="0" distT="7874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both"/>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market’s perception of LiveRamp’s continuing business could potentially result in a loss of customers, suppliers, business partners and employees;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trading price of Common Stock could be adversely affected;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under the terms of the Merger Agreement, LiveRamp must refrain from a number of actions related to the conduct of its business without first obtaining Parent’s written consent (not to be unreasonably withheld, except for certain actions), and the possibility these terms may limit the ability of LiveRamp to pursue business opportunities that it would otherwise pursue, including potential acquisitions, investments, licenses and other strategic opportunities;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certain of LiveRamp’s directors and executive officers may receive certain benefits that are different from, and in addition to, those of LiveRamp’s other stockholders, as described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874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has incurred and will continue to incur significant transaction costs and expenses in connection with the proposed transaction, regardless of whether the Merger is consummated;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potential for litigation by stockholders in connection with the Merger, which, even where lacking in merit, could nonetheless result in distraction and expense;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receipt of the per share Merger Consideration generally would be taxable to LiveRamp’s stockholders that are U.S. holders for U.S. federal income tax purposes.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discussion of the information and reasons considered by the Board is not intended to be exhaustive, but includes the material reasons considered by the Board. In view of the variety of reasons considered in connection with its evaluation of the Merger Agreement, the Board did not find it practicable to, and did not, quantify or otherwise assign relative weights to the specific reasons considered in reaching its determination and recommendation. In addition, individual directors may have given different weights to different reasons. The Board did not undertake to make any specific determination as to whether any reason, or any particular aspect of any reason, supported or did not support its ultimate determination. The Board considered that the interests of LiveRamp’s directors and executive officers in the Merger may be different from, or in addition to, those of LiveRamp’s stockholders generally, as described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The Board based its recommendation on the totality of the information presented. After considering these reasons, the Board concluded that the positive reasons related to the Merger Agreement and the Transactions contemplated thereby, including the Merger, substantially outweighed the potential negative reasons.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OOEG"/>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Portions of this explanation of the reasons for the Merger and other information presented in this section are forward-looking in nature and, therefore, should be read in light of the section entitled “</w:t>
      </w:r>
      <w:r>
        <w:rPr>
          <w:rFonts w:ascii="Arial;Helvetica;sans-serif" w:hAnsi="Arial;Helvetica;sans-serif"/>
          <w:b w:val="false"/>
          <w:i/>
          <w:caps w:val="false"/>
          <w:smallCaps w:val="false"/>
          <w:color w:val="000000"/>
          <w:sz w:val="20"/>
        </w:rPr>
        <w:t>Cautionary Statement Regarding Forward-Looking Statements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Opinion of Evercore Group L.L.C.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retained Evercore to act as its financial advisor in connection with the Merger. As part of this engagement, LiveRamp requested that Evercore evaluate the fairness, from a financial point of view, of the Merger Consideration to be received by the holders of Common Stock (other than Fairness Opinion Excluded Shares) in the Merger pursuant to the Merger Agreement. At a meeting of the Board held on May 15, 2026, Evercore rendered to the Board its opinion, subsequently delivered in writing on May 16, 2026, to the effect that, as of the date of such opinion and based upon and subject to the assumptions, limitations, qualifications, and conditions described therein, the Merger Consideration to be received by the holders of Common Stock (other than Fairness Opinion Excluded Shares) in the Merger pursuant to the Merger Agreement, was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full text of the written opinion of Evercore, dated as of May 16, 2026, which sets forth, among other things, the procedures followed, assumptions made, matters considered and qualifications and limitations on the scope of review undertaken in rendering its opinion, is attached as Annex B to this proxy statement and is incorporated herein by reference. LiveRamp encourages you to read this opinion carefully and in its entirety. Evercore’s opinion was addressed to, and provided for the information and benefit of, the Board (in its capacity as such) in connection with its evaluation of the proposed Merger. Evercore’s opinion did not, and the summary of its opinion and the related analyses set forth in this proxy statement do not, constitute a recommendation to the Board or to any other persons in respect of the Merger, including as to how any holder of shares of the Common Stock should vote or act in respect of the Merger. Evercore’s opinion does not address the relative merits of the Merger as compared to other business or financial strategies that might be available to LiveRamp, or whether or not such other business or financial strategies could be achieved or are available, nor does it address the underlying business decision of LiveRamp to engage in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rendering its opinion Evercore,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certain publicly available business and financial information relating to LiveRamp that Evercore deemed to be relevant, including publicly available research analysts’ estimates and price targets;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certain internal projected financial and operating data relating to LiveRamp prepared and furnished to Evercore by management of the LiveRamp, as approved for Evercore’s use by LiveRamp (which are referred to in this section as the “LiveRamp Projections” as more fully described in the section of this proxy statement entitled “</w:t>
      </w:r>
      <w:r>
        <w:rPr>
          <w:rFonts w:ascii="Arial;Helvetica;sans-serif" w:hAnsi="Arial;Helvetica;sans-serif"/>
          <w:b w:val="false"/>
          <w:i/>
          <w:caps w:val="false"/>
          <w:smallCaps w:val="false"/>
          <w:color w:val="000000"/>
          <w:sz w:val="20"/>
        </w:rPr>
        <w:t>The Merger Agreement (Proposal 1) — Certain Unaudited Financial Information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9906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discussed with management of LiveRamp their assessment of the past and current operations of LiveRamp, the current financial condition and prospects of LiveRamp, and the LiveRamp Projections (including management’s views on the risks and uncertainties of achieving the LiveRamp Projections);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the reported prices and the historical trading activity of the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compared the financial performance of LiveRamp and its stock market trading multiples with those of certain other publicly traded companies that Evercore deemed relevant;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compared the financial performance of LiveRamp and the valuation multiples relating to the Merger with the financial terms, to the extent publicly available, of certain other transactions that Evercore deemed relevant; </w:t>
      </w:r>
      <w:r>
        <mc:AlternateContent>
          <mc:Choice Requires="wps">
            <w:drawing>
              <wp:anchor behindDoc="0" distT="9906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the financial terms and conditions of a draft, dated May 12, 2026, of the Merger Agreement;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vii.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performed such other analyses and examinations and considered such other factors that Evercore deemed appropriate.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LiveRamp that they were not aware of any facts or circumstances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that would make such information inaccurate or misleading. With respect to the LiveRamp Projections, Evercore assumed with the consent of the Board that they were reasonably prepared on bases reflecting the best currently available estimates and good faith judgments of management of LiveRamp as to the future financial performance of LiveRamp and the other matters covered thereby. Evercore expressed no view as to the LiveRamp Projections or the assumptions on which they are based.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Evercore’s analysis and opinion, Evercore assumed, in all respects material to Evercore’s analysis, that the Merger will be consummated in accordance with the terms set forth in the Merger Agreement, without any waiver, modification, or delay of any terms or conditions, including, that the final executed Merger Agreement would not differ from the draft Merger Agreement reviewed by Evercore,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would be satisfied without waiver, modification or delay thereof. Evercore further assumed, in all respects material to Evercore’s analysis, that all governmental, regulatory or other consents, approvals or releases necessary for the consummation of the Merger will be obtained without any delay, limitation, restriction or condition that would have an adverse effect on LiveRamp or the consummation of the Merger or reduce the contemplated benefits to the holders of Common Stock of the Merger. Evercore undertook no independent analysis of any potential or actual litigation, regulatory action, possible unasserted claims or other contingent liabilities, or any settlements thereof, to which LiveRamp is or may be a party or is or may be subject, and Evercore’s opinion does not consider the potential effects of any such litigation, actions, claims, other contingent liabilities or settlements. In addition, Evercore relied, without independent verification, on the assessments of the management of LiveRamp as to (i) the validity of, and risks associated with, LiveRamp’s intellectual property, technology, products and services, and (ii) the marketability, commercial viability and market adoption of LiveRamp’s current and future products and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did not conduct a physical inspection of the properties or facilities of LiveRamp and did not make or assume any responsibility for making any independent valuation or appraisal of the assets or liabilities (including any contingent, derivative or other off-balance sheet assets and liabilities) of LiveRamp, nor was Evercore furnished with any such valuations or appraisals, nor did Evercore evaluate the solvency or fair value of LiveRamp under any state or federal laws relating to bankruptcy, insolvency or similar matters. Evercore’s opinion is necessarily based upon information made available to Evercore as of the 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was not asked to pass upon, and expressed no opinion with respect to, any matter other than the fairness to the holders of the Common Stock (other than Fairness Opinion Excluded Shares), from a financial point of view, of the Merger Consideration. Evercore did not express any view on, and Evercore’s opinion did not address, the fairness of the Merger to, or any consideration received in connection therewith by, the holders of any other class of securities, creditors or other constituencies of LiveRamp, nor as to the fairness of the amount or nature of any compensation to be paid or payable to any of the officers, directors or employees of LiveRamp,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LiveRamp, or whether or not such other business or financial strategies could be achieved or are available, nor did it address the underlying business decision of LiveRamp to engage in the Merger. Evercore’s opinion did not constitute a recommendation to the Board or to any other persons in respect of the Merger, including as to how any holder of shares of Common Stock should vote or act in respect of the Merger. Evercore did not express any opinion as to the prices at which shares of Common Stock will trade at any time, as to the potential effects of volatility in the credit, financial and stock markets on LiveRamp or the Merger or as to the impact of the Merger on the solvency or viability of LiveRamp or the ability of LiveRamp to pay its obligations when they come due. Evercore is not a legal, regulatory, accounting or tax expert and has assumed the accuracy and completeness of assessments by LiveRamp and its advisors with respect to legal, regulatory, accounting and tax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Set forth below is a summary of the material financial analyses reviewed by Evercore with the Board on May 15, 2026 in connection with rendering its opinion. The following summary, however, does not purport to be a complete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May 15, 2026, and is not necessarily indicative of current market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LiveRamp.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Summary of Evercore’s Financial Analyses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Discounted Cash Flow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performed a discounted cash flow analysis of LiveRamp to calculate the estimated present value of the standalone unlevered, after-tax free cash flows, defined for purposes of this section of the proxy statement entitled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 as net operating profit after tax, plus depreciation and amortization, less capital expenditures, plus or minus changes in net working capital, that LiveRamp was forecasted to generate during the period from June 30, 2026 through December 31, 2030 based on the LiveRamp Projections. Evercore calculated terminal values for LiveRamp by applying perpetuity growth rates of 4% to 6%, which range was selected based on Evercore’s professional judgement and experience, to a terminal year estimate of the unlevered, after-tax free cash flows that LiveRamp was forecasted to generate based on the LiveRamp Projections. The cash flows and terminal values in each case were then discounted to present value as of June 30, 2026 using discount rates ranging from 13% to 15%, which were based on an estimate of LiveRamp’s weighted average cost of capital, and the mid-year cash flow discounting convention.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this range of implied enterprise values, LiveRamp’s estimated net debt (calculated as cash and cash equivalents and no debt) provided to Evercore on May 6, 2026, and the number of fully diluted shares of Common Stock, in each case as provided by LiveRamp’s management, this analysis indicated a range of implied equity values per share of Common Stock of  $33.83 to $49.38,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Selected Public Company Trading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and compared certain financial information of LiveRamp to corresponding financial multiples and ratios for the following selected publicly traded companies (the “selected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Programmatic Software Platforms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Trade Desk,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Magnite,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Zeta Global Holdings Corp.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DoubleVerify Holdings,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Taboola.com Ltd </w:t>
      </w:r>
      <w:r>
        <mc:AlternateContent>
          <mc:Choice Requires="wps">
            <w:drawing>
              <wp:anchor behindDoc="0" distT="7620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Viant Technology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297">
                <wp:simplePos x="0" y="0"/>
                <wp:positionH relativeFrom="column">
                  <wp:align>left</wp:align>
                </wp:positionH>
                <wp:positionV relativeFrom="line">
                  <wp:posOffset>635</wp:posOffset>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PubMatic,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Customer Experience SaaS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Adobe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ZoomInfo Technologies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Braze,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Five9,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Sprout Social,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Data &amp; Information Services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Experian plc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Fair Isaac Corporation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Equifax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Gartner,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TransUnion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Healthcare Corp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each of the selected companies, Evercore calculated enterprise value (defined as equity market capitalization plus total debt, plus preferred equity and minority interest, less cash and cash equivalents) as a multiple of (i) estimated adjusted earnings before interest, taxes, depreciation and amortization before stock-based compensation expense (“Pre-SBC Adjusted EBITDA”), (ii) estimated adjusted earnings before interest, taxes, depreciation and amortization after stock-based compensation expense (“Post-SBC Adjusted EBITDA”) for calendar year 2026 and calendar year 2027, based on closing share prices as of May 15, 2026. Estimated financial data of the selected companies were based on publicly available research analysts’ estimates.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9498" w:type="dxa"/>
        <w:jc w:val="left"/>
        <w:tblInd w:w="680" w:type="dxa"/>
        <w:tblLayout w:type="fixed"/>
        <w:tblCellMar>
          <w:top w:w="0" w:type="dxa"/>
          <w:left w:w="0" w:type="dxa"/>
          <w:bottom w:w="0" w:type="dxa"/>
          <w:right w:w="0" w:type="dxa"/>
        </w:tblCellMar>
      </w:tblPr>
      <w:tblGrid>
        <w:gridCol w:w="124"/>
        <w:gridCol w:w="4336"/>
        <w:gridCol w:w="109"/>
        <w:gridCol w:w="109"/>
        <w:gridCol w:w="109"/>
        <w:gridCol w:w="109"/>
        <w:gridCol w:w="706"/>
        <w:gridCol w:w="109"/>
        <w:gridCol w:w="109"/>
        <w:gridCol w:w="109"/>
        <w:gridCol w:w="109"/>
        <w:gridCol w:w="109"/>
        <w:gridCol w:w="586"/>
        <w:gridCol w:w="109"/>
        <w:gridCol w:w="109"/>
        <w:gridCol w:w="109"/>
        <w:gridCol w:w="109"/>
        <w:gridCol w:w="109"/>
        <w:gridCol w:w="706"/>
        <w:gridCol w:w="109"/>
        <w:gridCol w:w="109"/>
        <w:gridCol w:w="109"/>
        <w:gridCol w:w="109"/>
        <w:gridCol w:w="109"/>
        <w:gridCol w:w="70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4336" w:type="dxa"/>
            <w:tcBorders/>
            <w:shd w:fill="000000" w:val="clear"/>
            <w:vAlign w:val="center"/>
          </w:tcPr>
          <w:p>
            <w:pPr>
              <w:pStyle w:val="TableContents"/>
              <w:bidi w:val="0"/>
              <w:spacing w:before="0" w:after="0"/>
              <w:jc w:val="left"/>
              <w:rPr/>
            </w:pPr>
            <w:r>
              <w:rPr/>
              <w:t xml:space="preserve">Benchmark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33" w:type="dxa"/>
            <w:gridSpan w:val="4"/>
            <w:tcBorders/>
            <w:shd w:fill="000000" w:val="clear"/>
            <w:vAlign w:val="center"/>
          </w:tcPr>
          <w:p>
            <w:pPr>
              <w:pStyle w:val="TableContents"/>
              <w:bidi w:val="0"/>
              <w:spacing w:before="0" w:after="0"/>
              <w:jc w:val="center"/>
              <w:rPr/>
            </w:pPr>
            <w:r>
              <w:rPr/>
              <w:t xml:space="preserve">High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13" w:type="dxa"/>
            <w:gridSpan w:val="4"/>
            <w:tcBorders/>
            <w:shd w:fill="000000" w:val="clear"/>
            <w:vAlign w:val="center"/>
          </w:tcPr>
          <w:p>
            <w:pPr>
              <w:pStyle w:val="TableContents"/>
              <w:bidi w:val="0"/>
              <w:spacing w:before="0" w:after="0"/>
              <w:jc w:val="center"/>
              <w:rPr/>
            </w:pPr>
            <w:r>
              <w:rPr/>
              <w:t xml:space="preserve">Low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33" w:type="dxa"/>
            <w:gridSpan w:val="4"/>
            <w:tcBorders/>
            <w:shd w:fill="000000" w:val="clear"/>
            <w:vAlign w:val="center"/>
          </w:tcPr>
          <w:p>
            <w:pPr>
              <w:pStyle w:val="TableContents"/>
              <w:bidi w:val="0"/>
              <w:spacing w:before="0" w:after="0"/>
              <w:jc w:val="center"/>
              <w:rPr/>
            </w:pPr>
            <w:r>
              <w:rPr/>
              <w:t xml:space="preserve">Mean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33" w:type="dxa"/>
            <w:gridSpan w:val="4"/>
            <w:tcBorders/>
            <w:shd w:fill="000000" w:val="clear"/>
            <w:vAlign w:val="center"/>
          </w:tcPr>
          <w:p>
            <w:pPr>
              <w:pStyle w:val="TableContents"/>
              <w:bidi w:val="0"/>
              <w:spacing w:before="0" w:after="0"/>
              <w:jc w:val="center"/>
              <w:rPr/>
            </w:pPr>
            <w:r>
              <w:rPr/>
              <w:t xml:space="preserve">Median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Programmatic Software Platforms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12.1x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4.9x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7.5x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7.0x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10.0x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4.5x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6.5x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6.1x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28.7x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7.9x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14.4x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11.3x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22.4x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6.8x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11.1x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9.3x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Customer Experience SaaS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28.7x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4.8x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10.6x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6.0x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18.6x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4.0x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8.1x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5.2x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11.1x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6.2x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9.1x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10.0x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9.7x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6.1x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8.3x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9.0x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Data &amp; Information Services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17.8x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2.2x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9.9x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10.4x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14.7x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2.3x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8.8x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9.3x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20.1x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tcMar>
              <w:bottom w:w="50" w:type="dxa"/>
            </w:tcMar>
            <w:vAlign w:val="center"/>
          </w:tcPr>
          <w:p>
            <w:pPr>
              <w:pStyle w:val="TableContents"/>
              <w:bidi w:val="0"/>
              <w:spacing w:before="0" w:after="283"/>
              <w:jc w:val="right"/>
              <w:rPr/>
            </w:pPr>
            <w:r>
              <w:rPr/>
              <w:t xml:space="preserve">4.7x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11.2x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tcMar>
              <w:bottom w:w="50" w:type="dxa"/>
            </w:tcMar>
            <w:vAlign w:val="center"/>
          </w:tcPr>
          <w:p>
            <w:pPr>
              <w:pStyle w:val="TableContents"/>
              <w:bidi w:val="0"/>
              <w:spacing w:before="0" w:after="283"/>
              <w:jc w:val="right"/>
              <w:rPr/>
            </w:pPr>
            <w:r>
              <w:rPr/>
              <w:t xml:space="preserve">11.0x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16.4x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4.6x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9.9x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06" w:type="dxa"/>
            <w:tcBorders>
              <w:bottom w:val="single" w:sz="2" w:space="0" w:color="016836"/>
            </w:tcBorders>
            <w:shd w:fill="D8D8D8" w:val="clear"/>
            <w:tcMar>
              <w:bottom w:w="50" w:type="dxa"/>
            </w:tcMar>
            <w:vAlign w:val="center"/>
          </w:tcPr>
          <w:p>
            <w:pPr>
              <w:pStyle w:val="TableContents"/>
              <w:bidi w:val="0"/>
              <w:spacing w:before="0" w:after="283"/>
              <w:jc w:val="right"/>
              <w:rPr/>
            </w:pPr>
            <w:r>
              <w:rPr/>
              <w:t>9.8x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3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the multiples it derived for the selected companies and based on its professional judgment and experience, Evercore applied (i) a Pre-SBC Adjusted EBITDA multiple reference range of 7.0x to 11.0x to the LiveRamp’s estimated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CY2026E Pre-SBC Adjusted EBITDA, (ii) a Pre-SBC Adjusted EBITDA multiple reference range of 6.0x to 10.0x to LiveRamp’s estimated CY2027E Pre-SBC Adjusted EBITDA, (iii) a Post-SBC Adjusted EBITDA multiple reference range of 10.0x to 13.5x to LiveRamp’s estimated CY2026E Post-SBC Adjusted EBITDA, and (iv) a Post-SBC Adjusted EBITDA multiple reference range of 8.5x to 11.5x to LiveRamp’s estimated CY2027E Post-SBC Adjusted EBITDA, in each case based on the LiveRamp Projections and as of May 15, 2026. This analysis indicated a range of implied equity values per share of Common Stock of  (i) $25.63 to $37.66 (CY2026E Pre-SBC), (ii) $29.56 to $46.21 (CY2027E Pre-SBC), (iii) $22.32 to $28.54 (CY2026E Post-SBC) and (iv) $29.39 to $38.14 (CY2027E Post-SBC),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none of the selected companies is directly comparable to LiveRamp, Evercore selected these companies because they are publicly traded companies that Evercore, in its professional judgment and experience, considered generally relevant to LiveRamp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Selected Transactions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to the extent publicly available, financial information related to the following selected transactions involving target companies announced since 2016 (the “selected transactions”). The selected transactions reviewed by Evercore, and the month and year each was announced,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1680"/>
        <w:gridCol w:w="109"/>
        <w:gridCol w:w="109"/>
        <w:gridCol w:w="4680"/>
        <w:gridCol w:w="109"/>
        <w:gridCol w:w="109"/>
        <w:gridCol w:w="2450"/>
        <w:gridCol w:w="155"/>
      </w:tblGrid>
      <w:tr>
        <w:trPr/>
        <w:tc>
          <w:tcPr>
            <w:tcW w:w="124" w:type="dxa"/>
            <w:tcBorders/>
            <w:shd w:fill="000000" w:val="clear"/>
            <w:vAlign w:val="center"/>
          </w:tcPr>
          <w:p>
            <w:pPr>
              <w:pStyle w:val="TableContents"/>
              <w:bidi w:val="0"/>
              <w:spacing w:before="0" w:after="283"/>
              <w:jc w:val="left"/>
              <w:rPr/>
            </w:pPr>
            <w:r>
              <w:rPr/>
              <w:t>​</w:t>
            </w:r>
          </w:p>
        </w:tc>
        <w:tc>
          <w:tcPr>
            <w:tcW w:w="1680" w:type="dxa"/>
            <w:tcBorders/>
            <w:shd w:fill="000000" w:val="clear"/>
            <w:vAlign w:val="center"/>
          </w:tcPr>
          <w:p>
            <w:pPr>
              <w:pStyle w:val="TableContents"/>
              <w:bidi w:val="0"/>
              <w:spacing w:before="0" w:after="283"/>
              <w:jc w:val="left"/>
              <w:rPr/>
            </w:pPr>
            <w:r>
              <w:rPr/>
              <w:t>Month and Year</w:t>
              <w:br/>
              <w:t xml:space="preserve">Announced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680" w:type="dxa"/>
            <w:tcBorders/>
            <w:shd w:fill="000000" w:val="clear"/>
            <w:vAlign w:val="center"/>
          </w:tcPr>
          <w:p>
            <w:pPr>
              <w:pStyle w:val="TableContents"/>
              <w:bidi w:val="0"/>
              <w:spacing w:before="0" w:after="0"/>
              <w:jc w:val="center"/>
              <w:rPr/>
            </w:pPr>
            <w:r>
              <w:rPr/>
              <w:t xml:space="preserve">Acquiror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450" w:type="dxa"/>
            <w:tcBorders/>
            <w:shd w:fill="000000" w:val="clear"/>
            <w:vAlign w:val="center"/>
          </w:tcPr>
          <w:p>
            <w:pPr>
              <w:pStyle w:val="TableContents"/>
              <w:bidi w:val="0"/>
              <w:spacing w:before="0" w:after="0"/>
              <w:jc w:val="center"/>
              <w:rPr/>
            </w:pPr>
            <w:r>
              <w:rPr/>
              <w:t xml:space="preserve">Target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September 2025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Novacap Management Inc.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Integral Ad Science Holding Corp.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November 2024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MediaOcean LLC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Innovid Corp.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April 2024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Cadent, LLC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AdTheorent Holding Company, Inc.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June 2023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Neptune Retail Solutions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Quotient Technology Inc.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37" w:type="dxa"/>
            </w:tcMar>
            <w:vAlign w:val="center"/>
          </w:tcPr>
          <w:p>
            <w:pPr>
              <w:pStyle w:val="TableContents"/>
              <w:bidi w:val="0"/>
              <w:spacing w:before="0" w:after="283"/>
              <w:jc w:val="left"/>
              <w:rPr/>
            </w:pPr>
            <w:r>
              <w:rPr/>
              <w:t xml:space="preserve">March 2022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Evergreen Coast Capital Corporation and Brookfield Business Partners L.P.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Nielsen Holdings plc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September 2021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TransUnion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Neustar, Inc.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February 2021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Stone Point Capital LLC and Insight Partners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CoreLogic, Inc.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October 2019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Platinum Equity, LLC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Cision Ltd.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37" w:type="dxa"/>
            </w:tcMar>
            <w:vAlign w:val="center"/>
          </w:tcPr>
          <w:p>
            <w:pPr>
              <w:pStyle w:val="TableContents"/>
              <w:bidi w:val="0"/>
              <w:spacing w:before="0" w:after="283"/>
              <w:jc w:val="left"/>
              <w:rPr/>
            </w:pPr>
            <w:r>
              <w:rPr/>
              <w:t xml:space="preserve">August 2018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CC Capital Partners LLC, Cannae Holdings, Inc. and Thomas H. Lee Partners, L.P.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The Dun &amp; Bradstreet Corporation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December 2016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Golden Gate Capital Private Equity, Inc.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Neustar, Inc.</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14"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each selected transaction, Evercore calculated the implied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8190" w:type="dxa"/>
        <w:jc w:val="left"/>
        <w:tblInd w:w="680" w:type="dxa"/>
        <w:tblLayout w:type="fixed"/>
        <w:tblCellMar>
          <w:top w:w="0" w:type="dxa"/>
          <w:left w:w="0" w:type="dxa"/>
          <w:bottom w:w="0" w:type="dxa"/>
          <w:right w:w="0" w:type="dxa"/>
        </w:tblCellMar>
      </w:tblPr>
      <w:tblGrid>
        <w:gridCol w:w="124"/>
        <w:gridCol w:w="4126"/>
        <w:gridCol w:w="109"/>
        <w:gridCol w:w="109"/>
        <w:gridCol w:w="706"/>
        <w:gridCol w:w="109"/>
        <w:gridCol w:w="109"/>
        <w:gridCol w:w="616"/>
        <w:gridCol w:w="109"/>
        <w:gridCol w:w="109"/>
        <w:gridCol w:w="706"/>
        <w:gridCol w:w="109"/>
        <w:gridCol w:w="109"/>
        <w:gridCol w:w="886"/>
        <w:gridCol w:w="154"/>
      </w:tblGrid>
      <w:tr>
        <w:trPr/>
        <w:tc>
          <w:tcPr>
            <w:tcW w:w="124" w:type="dxa"/>
            <w:tcBorders/>
            <w:shd w:fill="000000" w:val="clear"/>
            <w:vAlign w:val="center"/>
          </w:tcPr>
          <w:p>
            <w:pPr>
              <w:pStyle w:val="TableContents"/>
              <w:bidi w:val="0"/>
              <w:spacing w:before="0" w:after="283"/>
              <w:jc w:val="left"/>
              <w:rPr/>
            </w:pPr>
            <w:r>
              <w:rPr/>
              <w:t>​</w:t>
            </w:r>
          </w:p>
        </w:tc>
        <w:tc>
          <w:tcPr>
            <w:tcW w:w="4126" w:type="dxa"/>
            <w:tcBorders/>
            <w:shd w:fill="000000" w:val="clear"/>
            <w:vAlign w:val="center"/>
          </w:tcPr>
          <w:p>
            <w:pPr>
              <w:pStyle w:val="TableContents"/>
              <w:bidi w:val="0"/>
              <w:spacing w:before="0" w:after="0"/>
              <w:jc w:val="left"/>
              <w:rPr/>
            </w:pPr>
            <w:r>
              <w:rPr/>
              <w:t xml:space="preserve">Benchmark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06" w:type="dxa"/>
            <w:tcBorders/>
            <w:shd w:fill="000000" w:val="clear"/>
            <w:vAlign w:val="center"/>
          </w:tcPr>
          <w:p>
            <w:pPr>
              <w:pStyle w:val="TableContents"/>
              <w:bidi w:val="0"/>
              <w:spacing w:before="0" w:after="0"/>
              <w:jc w:val="center"/>
              <w:rPr/>
            </w:pPr>
            <w:r>
              <w:rPr/>
              <w:t xml:space="preserve">High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16" w:type="dxa"/>
            <w:tcBorders/>
            <w:shd w:fill="000000" w:val="clear"/>
            <w:vAlign w:val="center"/>
          </w:tcPr>
          <w:p>
            <w:pPr>
              <w:pStyle w:val="TableContents"/>
              <w:bidi w:val="0"/>
              <w:spacing w:before="0" w:after="0"/>
              <w:jc w:val="center"/>
              <w:rPr/>
            </w:pPr>
            <w:r>
              <w:rPr/>
              <w:t xml:space="preserve">Low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06" w:type="dxa"/>
            <w:tcBorders/>
            <w:shd w:fill="000000" w:val="clear"/>
            <w:vAlign w:val="center"/>
          </w:tcPr>
          <w:p>
            <w:pPr>
              <w:pStyle w:val="TableContents"/>
              <w:bidi w:val="0"/>
              <w:spacing w:before="0" w:after="0"/>
              <w:jc w:val="center"/>
              <w:rPr/>
            </w:pPr>
            <w:r>
              <w:rPr/>
              <w:t xml:space="preserve">Mean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0"/>
              <w:jc w:val="center"/>
              <w:rPr/>
            </w:pPr>
            <w:r>
              <w:rPr/>
              <w:t xml:space="preserve">Median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126" w:type="dxa"/>
            <w:tcBorders>
              <w:bottom w:val="single" w:sz="2" w:space="0" w:color="016836"/>
            </w:tcBorders>
            <w:shd w:fill="D8D8D8" w:val="clear"/>
            <w:tcMar>
              <w:bottom w:w="28" w:type="dxa"/>
            </w:tcMar>
            <w:vAlign w:val="center"/>
          </w:tcPr>
          <w:p>
            <w:pPr>
              <w:pStyle w:val="TableContents"/>
              <w:bidi w:val="0"/>
              <w:spacing w:before="0" w:after="0"/>
              <w:jc w:val="left"/>
              <w:rPr/>
            </w:pPr>
            <w:r>
              <w:rPr/>
              <w:t xml:space="preserve">TEV / LTM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70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27.0x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61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5.8x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70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13.2x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28" w:type="dxa"/>
            </w:tcMar>
            <w:vAlign w:val="center"/>
          </w:tcPr>
          <w:p>
            <w:pPr>
              <w:pStyle w:val="TableContents"/>
              <w:bidi w:val="0"/>
              <w:spacing w:before="0" w:after="0"/>
              <w:jc w:val="center"/>
              <w:rPr/>
            </w:pPr>
            <w:r>
              <w:rPr/>
              <w:t>11.8x</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112"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the multiples it derived from the selected transactions and based on its professional judgment and experience, Evercore applied a reference range of enterprise value to LTM Pre-SBC Adjusted EBITDA multiples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10.0x to 15.0x to LiveRamp’s LTM Pre-SBC Adjusted EBITDA as of June 30, 2026, based on the financial results for LiveRamp provided by LiveRamp’s management. Based on this range of implied enterprise values, LiveRamp’s estimated net debt (calculated as cash and cash equivalents and no debt) provided to Evercore on May 6, 2026, and the number of fully diluted shares of Common Stock, in each case as provided by LiveRamp’s management, this analysis indicated a range of implied equity values per share of Common Stock of  $32.23 to $46.06,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none of the target companies or businesses reviewed in the selected transactions analysis is directly comparable to LiveRamp and none of the selected transactions is directly comparable to the Merger, Evercore selected these transactions because they involve companies or businesses that Evercore, in its professional judgment and experience, considered generally relevant to LiveRamp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Factors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also noted certain other factors, which were not considered material to its financial analyses with respect to its opinion, but were referenced for informational purposes only, including, among other things,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Premiums Paid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Using publicly available information, Evercore reviewed selected take-private transactions with total enterprise values between $1.5 billion and $4.0 billion announced since 2022, encompassing all sectors. Using publicly available information, Evercore calculated the premiums paid as the percentage by which the per share consideration paid or proposed to be paid in each such transaction exceeded the one-day, one-week and four-week VWAP per share of the target companies prior to announcement of each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5114" w:type="dxa"/>
        <w:jc w:val="left"/>
        <w:tblInd w:w="680" w:type="dxa"/>
        <w:tblLayout w:type="fixed"/>
        <w:tblCellMar>
          <w:top w:w="0" w:type="dxa"/>
          <w:left w:w="0" w:type="dxa"/>
          <w:bottom w:w="0" w:type="dxa"/>
          <w:right w:w="0" w:type="dxa"/>
        </w:tblCellMar>
      </w:tblPr>
      <w:tblGrid>
        <w:gridCol w:w="124"/>
        <w:gridCol w:w="1441"/>
        <w:gridCol w:w="109"/>
        <w:gridCol w:w="109"/>
        <w:gridCol w:w="109"/>
        <w:gridCol w:w="109"/>
        <w:gridCol w:w="601"/>
        <w:gridCol w:w="109"/>
        <w:gridCol w:w="109"/>
        <w:gridCol w:w="109"/>
        <w:gridCol w:w="109"/>
        <w:gridCol w:w="109"/>
        <w:gridCol w:w="601"/>
        <w:gridCol w:w="109"/>
        <w:gridCol w:w="109"/>
        <w:gridCol w:w="109"/>
        <w:gridCol w:w="111"/>
        <w:gridCol w:w="111"/>
        <w:gridCol w:w="552"/>
        <w:gridCol w:w="111"/>
        <w:gridCol w:w="154"/>
      </w:tblGrid>
      <w:tr>
        <w:trPr/>
        <w:tc>
          <w:tcPr>
            <w:tcW w:w="124" w:type="dxa"/>
            <w:tcBorders/>
            <w:shd w:fill="000000" w:val="clear"/>
            <w:vAlign w:val="center"/>
          </w:tcPr>
          <w:p>
            <w:pPr>
              <w:pStyle w:val="TableContents"/>
              <w:bidi w:val="0"/>
              <w:spacing w:before="0" w:after="283"/>
              <w:jc w:val="left"/>
              <w:rPr/>
            </w:pPr>
            <w:r>
              <w:rPr/>
              <w:t>​</w:t>
            </w:r>
          </w:p>
        </w:tc>
        <w:tc>
          <w:tcPr>
            <w:tcW w:w="1441" w:type="dxa"/>
            <w:tcBorders/>
            <w:shd w:fill="000000" w:val="clear"/>
            <w:vAlign w:val="center"/>
          </w:tcPr>
          <w:p>
            <w:pPr>
              <w:pStyle w:val="TableContents"/>
              <w:bidi w:val="0"/>
              <w:spacing w:before="0" w:after="0"/>
              <w:jc w:val="left"/>
              <w:rPr/>
            </w:pPr>
            <w:r>
              <w:rPr/>
              <w:t xml:space="preserve">Target Sector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28" w:type="dxa"/>
            <w:gridSpan w:val="4"/>
            <w:tcBorders/>
            <w:shd w:fill="000000" w:val="clear"/>
            <w:vAlign w:val="center"/>
          </w:tcPr>
          <w:p>
            <w:pPr>
              <w:pStyle w:val="TableContents"/>
              <w:bidi w:val="0"/>
              <w:spacing w:before="0" w:after="0"/>
              <w:jc w:val="center"/>
              <w:rPr/>
            </w:pPr>
            <w:r>
              <w:rPr/>
              <w:t>1-Day</w:t>
              <w:br/>
              <w:t xml:space="preserve">Prior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28" w:type="dxa"/>
            <w:gridSpan w:val="4"/>
            <w:tcBorders/>
            <w:shd w:fill="000000" w:val="clear"/>
            <w:vAlign w:val="center"/>
          </w:tcPr>
          <w:p>
            <w:pPr>
              <w:pStyle w:val="TableContents"/>
              <w:bidi w:val="0"/>
              <w:spacing w:before="0" w:after="0"/>
              <w:jc w:val="center"/>
              <w:rPr/>
            </w:pPr>
            <w:r>
              <w:rPr/>
              <w:t>1-Week</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5" w:type="dxa"/>
            <w:gridSpan w:val="4"/>
            <w:tcBorders/>
            <w:shd w:fill="000000" w:val="clear"/>
            <w:vAlign w:val="center"/>
          </w:tcPr>
          <w:p>
            <w:pPr>
              <w:pStyle w:val="TableContents"/>
              <w:bidi w:val="0"/>
              <w:spacing w:before="0" w:after="0"/>
              <w:jc w:val="center"/>
              <w:rPr/>
            </w:pPr>
            <w:r>
              <w:rPr/>
              <w:t>4-Week</w:t>
              <w:br/>
              <w:t xml:space="preserve">VWAP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41"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Median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0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30%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0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31%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52" w:type="dxa"/>
            <w:tcBorders>
              <w:bottom w:val="single" w:sz="2" w:space="0" w:color="016836"/>
            </w:tcBorders>
            <w:shd w:fill="D8D8D8" w:val="clear"/>
            <w:tcMar>
              <w:bottom w:w="50" w:type="dxa"/>
            </w:tcMar>
            <w:vAlign w:val="center"/>
          </w:tcPr>
          <w:p>
            <w:pPr>
              <w:pStyle w:val="TableContents"/>
              <w:bidi w:val="0"/>
              <w:spacing w:before="0" w:after="283"/>
              <w:jc w:val="right"/>
              <w:rPr/>
            </w:pPr>
            <w:r>
              <w:rPr/>
              <w:t>32%</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3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results of this analysis and its professional judgment and experience, Evercore applied a premium range of 25.0% to 40.0% to the closing price per share of Common Stock of  $29.66 as of May 15, 2026. This analysis indicated a range of implied equity values per share of Common Stock of  $37.08 to $41.52,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Last 52-Week Trading Range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historical trading prices of shares of Common Stock during the twelve month period ended May 15, 2026, noting that the low and high prices (based on intraday figures) during such period ranged from $21.71 to $35.20 per share of Common Stock, respectively,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Equity Research Analyst Price Targets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Evercore reviewed selected public market trading price targets for the shares of Common Stock prepared and published by equity research analysts that were publicly available as of May 15, 2026, the last full trading day prior to the delivery by Evercore of its opinion to the Board. These price targets reflect analysts’ estimates of the future public market trading price of the shares of Common Stock at the time the price target was published. As of May 15, 2026, the range of selected equity research analyst price targets per share of Common Stock was $30.00 to $50.00, with a mean of  $37.00 and a median of  $36.00, compared to the Merger Consideration of  $38.50 per share of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Common Stock. Public market trading price targets published by equity research analysts do not necessarily reflect current market trading prices for the shares of Common Stock and these target prices and the analysts’ earnings estimates on which they were based are subject to risks and uncertainties, including factors affecting the financial performance of LiveRamp and future general industry and market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summary of Evercore’s financial analyses does not purport to be a complete description of the analyses or data presented by Evercore to the Board. In connection with the review of the Merger by the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Common Stock. Rounding may result in total sums set forth in this section not equaling the total of the figures shown.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prepared these analyses for the purpose of providing an opinion to the Board as to the fairness, from a financial point of view, of the Merger Consideration to be received by the holders of Common Stock (other than Fairness Opinion Excluded Shares) in the Merger pursuant to the Merger Agreement.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Evercore’s financial advisory services and its opinion were provided for the information and benefit of the Board (in its capacity as such) in connection with its evaluation of the proposed Merger. The issuance of Evercore’s opinion was approved by an opinion committee of Evercore.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did not recommend any specific amount of consideration to the Board or LiveRamp’s management or that any specific amount of consideration constituted the only appropriate consideration in the Merger for the holders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Evercore’s engagement letter with LiveRamp, LiveRamp has agreed to pay Evercore a fee for its services in the amount of approximately $28 million, of which $5 million was payable upon delivery of Evercore’s opinion, and a substantial portion of which will be payable contingent upon the consummation of the Merger. LiveRamp has also agreed to reimburse Evercore for its expenses and to indemnify Evercore against certain liabilities arising out of its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two year period prior to the date of its opinion, Evercore and its affiliates have not been engaged to provide financial advisory or other services to LiveRamp and Evercore has not received any compensation from LiveRamp during such period. In addition, during the two year period prior to the date of its opinion, Evercore and its affiliates have not been engaged to provide financial advisory or other services to Parent and Evercore has not received any compensation from Parent during such period. Evercore may provide financial advisory or other services to the LiveRamp and Parent in the future, and in connection with any such services Evercore may receive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UFI"/>
      <w:bookmarkEnd w:id="4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loans and/or derivative products or other financial instruments of or relating to LiveRamp, Parent, potential parties to the Merger and/or any of their respective or persons that are competitors, customers or suppliers of LiveRamp or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engaged Evercore to act as a financial advisor based on Evercore’s qualifications, experience and reputation. Evercore is an internationally recognized investment banking firm and regularly provides fairness opinions to its clients in connection with mergers and acquisitions, leveraged buyouts and valuations for corporate and other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Certain Unaudited Financial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Other than annual and quarterly updated guidance and certain long-term financial targets, LiveRamp’s management does not as a matter of course make public long-range projections as to future performance, revenues, earnings or other results due to, among other reasons, the uncertainty, unpredictability and subjectivity of the underlying assumptions and estimates when applied to time periods further in the future. As a result, LiveRamp does not endorse projections or other unaudited prospective financial information as a reliable indication of future results. However, in connection with the Board’s consideration and evaluation of a potential transaction with Parent and other strategic alternatives (including continuing as a standalone company), LiveRamp’s management in December 2025 prepared certain unaudited prospective financial information for LiveRamp on a standalone basis for fiscal years 2026 through 2030, which were further updated with the actual figures for fiscal year 2026 and the finalized projections for fiscal year 2027 in April 2026 (the “LiveRamp Projections”). The Board provided guidance and direction to LiveRamp management in the preparation of the LiveRamp Projections.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were prepared solely for internal use and to assist the Board with its consideration and evaluation of the Merger. At the direction of the Board, the LiveRamp Projections were provided to Evercore in connection with its analyses and opinion and certain portions of the LiveRamp Projections were provided to potential acquirors participating in the sale process who executed confidentiality agreements with LiveRamp, including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including a summary of the LiveRamp Projections in this proxy statement solely to give LiveRamp stockholders access to the information that was reviewed by the Board in connection with its consideration and evaluation of the Merger; provided to and approved by the Board for use by Evercore, LiveRamp’s financial advisor, in connection with its financial analyses and opinion described in the section of this proxy statement entitled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 and made available in part to potential acquirors participating in the sale process who executed confidentiality agreements with LiveRamp, including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presents a summary of the LiveRamp Projections for the fiscal years indicated: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Projections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(Amounts in millions)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2341"/>
        <w:gridCol w:w="109"/>
        <w:gridCol w:w="109"/>
        <w:gridCol w:w="114"/>
        <w:gridCol w:w="237"/>
        <w:gridCol w:w="632"/>
        <w:gridCol w:w="114"/>
        <w:gridCol w:w="109"/>
        <w:gridCol w:w="109"/>
        <w:gridCol w:w="109"/>
        <w:gridCol w:w="226"/>
        <w:gridCol w:w="600"/>
        <w:gridCol w:w="109"/>
        <w:gridCol w:w="109"/>
        <w:gridCol w:w="109"/>
        <w:gridCol w:w="109"/>
        <w:gridCol w:w="226"/>
        <w:gridCol w:w="780"/>
        <w:gridCol w:w="109"/>
        <w:gridCol w:w="109"/>
        <w:gridCol w:w="109"/>
        <w:gridCol w:w="109"/>
        <w:gridCol w:w="226"/>
        <w:gridCol w:w="780"/>
        <w:gridCol w:w="109"/>
        <w:gridCol w:w="109"/>
        <w:gridCol w:w="109"/>
        <w:gridCol w:w="109"/>
        <w:gridCol w:w="226"/>
        <w:gridCol w:w="780"/>
        <w:gridCol w:w="109"/>
        <w:gridCol w:w="157"/>
      </w:tblGrid>
      <w:tr>
        <w:trPr/>
        <w:tc>
          <w:tcPr>
            <w:tcW w:w="124" w:type="dxa"/>
            <w:tcBorders/>
            <w:shd w:fill="000000" w:val="clear"/>
            <w:vAlign w:val="center"/>
          </w:tcPr>
          <w:p>
            <w:pPr>
              <w:pStyle w:val="TableContents"/>
              <w:bidi w:val="0"/>
              <w:spacing w:before="0" w:after="283"/>
              <w:jc w:val="left"/>
              <w:rPr/>
            </w:pPr>
            <w:r>
              <w:rPr/>
              <w:t>​</w:t>
            </w:r>
          </w:p>
        </w:tc>
        <w:tc>
          <w:tcPr>
            <w:tcW w:w="2341"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7" w:type="dxa"/>
            <w:gridSpan w:val="4"/>
            <w:tcBorders/>
            <w:shd w:fill="000000" w:val="clear"/>
            <w:vAlign w:val="center"/>
          </w:tcPr>
          <w:p>
            <w:pPr>
              <w:pStyle w:val="TableContents"/>
              <w:bidi w:val="0"/>
              <w:spacing w:lineRule="atLeast" w:line="142" w:before="0" w:after="0"/>
              <w:jc w:val="center"/>
              <w:rPr/>
            </w:pPr>
            <w:r>
              <w:rPr/>
              <w:t>2H 2026E</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44" w:type="dxa"/>
            <w:gridSpan w:val="4"/>
            <w:tcBorders/>
            <w:shd w:fill="000000" w:val="clear"/>
            <w:vAlign w:val="center"/>
          </w:tcPr>
          <w:p>
            <w:pPr>
              <w:pStyle w:val="TableContents"/>
              <w:bidi w:val="0"/>
              <w:spacing w:before="0" w:after="0"/>
              <w:jc w:val="center"/>
              <w:rPr/>
            </w:pPr>
            <w:r>
              <w:rPr/>
              <w:t xml:space="preserve">2027E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24" w:type="dxa"/>
            <w:gridSpan w:val="4"/>
            <w:tcBorders/>
            <w:shd w:fill="000000" w:val="clear"/>
            <w:vAlign w:val="center"/>
          </w:tcPr>
          <w:p>
            <w:pPr>
              <w:pStyle w:val="TableContents"/>
              <w:bidi w:val="0"/>
              <w:spacing w:before="0" w:after="0"/>
              <w:jc w:val="center"/>
              <w:rPr/>
            </w:pPr>
            <w:r>
              <w:rPr/>
              <w:t xml:space="preserve">2028E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24" w:type="dxa"/>
            <w:gridSpan w:val="4"/>
            <w:tcBorders/>
            <w:shd w:fill="000000" w:val="clear"/>
            <w:vAlign w:val="center"/>
          </w:tcPr>
          <w:p>
            <w:pPr>
              <w:pStyle w:val="TableContents"/>
              <w:bidi w:val="0"/>
              <w:spacing w:before="0" w:after="0"/>
              <w:jc w:val="center"/>
              <w:rPr/>
            </w:pPr>
            <w:r>
              <w:rPr/>
              <w:t xml:space="preserve">2029E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24" w:type="dxa"/>
            <w:gridSpan w:val="4"/>
            <w:tcBorders/>
            <w:shd w:fill="000000" w:val="clear"/>
            <w:vAlign w:val="center"/>
          </w:tcPr>
          <w:p>
            <w:pPr>
              <w:pStyle w:val="TableContents"/>
              <w:bidi w:val="0"/>
              <w:spacing w:before="0" w:after="0"/>
              <w:jc w:val="center"/>
              <w:rPr/>
            </w:pPr>
            <w:r>
              <w:rPr/>
              <w:t xml:space="preserve">2030E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Revenue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32"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453 </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0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997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1,122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1,269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1,426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tcMar>
              <w:bottom w:w="37" w:type="dxa"/>
            </w:tcMar>
            <w:vAlign w:val="center"/>
          </w:tcPr>
          <w:p>
            <w:pPr>
              <w:pStyle w:val="TableContents"/>
              <w:bidi w:val="0"/>
              <w:spacing w:before="0" w:after="0"/>
              <w:ind w:left="200" w:right="0" w:hanging="200"/>
              <w:jc w:val="left"/>
              <w:rPr/>
            </w:pPr>
            <w:r>
              <w:rPr/>
              <w:t>Adjusted EBITDA</w:t>
            </w:r>
            <w:r>
              <w:rPr>
                <w:sz w:val="13"/>
              </w:rPr>
              <w:t>(2)(6)</w:t>
            </w:r>
            <w:r>
              <w:rPr/>
              <w:br/>
              <w:t>(Pre-stock based</w:t>
              <w:br/>
              <w:t xml:space="preserve">compensation)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37" w:type="dxa"/>
            </w:tcMar>
            <w:vAlign w:val="center"/>
          </w:tcPr>
          <w:p>
            <w:pPr>
              <w:pStyle w:val="TableContents"/>
              <w:bidi w:val="0"/>
              <w:spacing w:before="0" w:after="283"/>
              <w:jc w:val="right"/>
              <w:rPr/>
            </w:pPr>
            <w:r>
              <w:rPr/>
              <w:t>$</w:t>
            </w:r>
          </w:p>
        </w:tc>
        <w:tc>
          <w:tcPr>
            <w:tcW w:w="632" w:type="dxa"/>
            <w:tcBorders>
              <w:bottom w:val="single" w:sz="2" w:space="0" w:color="016836"/>
            </w:tcBorders>
            <w:tcMar>
              <w:bottom w:w="37" w:type="dxa"/>
            </w:tcMar>
            <w:vAlign w:val="center"/>
          </w:tcPr>
          <w:p>
            <w:pPr>
              <w:pStyle w:val="TableContents"/>
              <w:bidi w:val="0"/>
              <w:spacing w:before="0" w:after="283"/>
              <w:jc w:val="right"/>
              <w:rPr/>
            </w:pPr>
            <w:r>
              <w:rPr/>
              <w:t xml:space="preserve">117 </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7" w:type="dxa"/>
            </w:tcMar>
            <w:vAlign w:val="center"/>
          </w:tcPr>
          <w:p>
            <w:pPr>
              <w:pStyle w:val="TableContents"/>
              <w:bidi w:val="0"/>
              <w:spacing w:before="0" w:after="283"/>
              <w:jc w:val="right"/>
              <w:rPr/>
            </w:pPr>
            <w:r>
              <w:rPr/>
              <w:t>$</w:t>
            </w:r>
          </w:p>
        </w:tc>
        <w:tc>
          <w:tcPr>
            <w:tcW w:w="600" w:type="dxa"/>
            <w:tcBorders>
              <w:bottom w:val="single" w:sz="2" w:space="0" w:color="016836"/>
            </w:tcBorders>
            <w:tcMar>
              <w:bottom w:w="37" w:type="dxa"/>
            </w:tcMar>
            <w:vAlign w:val="center"/>
          </w:tcPr>
          <w:p>
            <w:pPr>
              <w:pStyle w:val="TableContents"/>
              <w:bidi w:val="0"/>
              <w:spacing w:before="0" w:after="283"/>
              <w:jc w:val="right"/>
              <w:rPr/>
            </w:pPr>
            <w:r>
              <w:rPr/>
              <w:t xml:space="preserve">277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tcMar>
              <w:bottom w:w="37" w:type="dxa"/>
            </w:tcMar>
            <w:vAlign w:val="center"/>
          </w:tcPr>
          <w:p>
            <w:pPr>
              <w:pStyle w:val="TableContents"/>
              <w:bidi w:val="0"/>
              <w:spacing w:before="0" w:after="283"/>
              <w:jc w:val="right"/>
              <w:rPr/>
            </w:pPr>
            <w:r>
              <w:rPr/>
              <w:t xml:space="preserve">332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tcMar>
              <w:bottom w:w="37" w:type="dxa"/>
            </w:tcMar>
            <w:vAlign w:val="center"/>
          </w:tcPr>
          <w:p>
            <w:pPr>
              <w:pStyle w:val="TableContents"/>
              <w:bidi w:val="0"/>
              <w:spacing w:before="0" w:after="283"/>
              <w:jc w:val="right"/>
              <w:rPr/>
            </w:pPr>
            <w:r>
              <w:rPr/>
              <w:t xml:space="preserve">393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tcMar>
              <w:bottom w:w="37" w:type="dxa"/>
            </w:tcMar>
            <w:vAlign w:val="center"/>
          </w:tcPr>
          <w:p>
            <w:pPr>
              <w:pStyle w:val="TableContents"/>
              <w:bidi w:val="0"/>
              <w:spacing w:before="0" w:after="283"/>
              <w:jc w:val="right"/>
              <w:rPr/>
            </w:pPr>
            <w:r>
              <w:rPr/>
              <w:t xml:space="preserve">451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Adjusted EBITDA</w:t>
            </w:r>
            <w:r>
              <w:rPr>
                <w:sz w:val="13"/>
              </w:rPr>
              <w:t>(2)(6)</w:t>
            </w:r>
            <w:r>
              <w:rPr/>
              <w:br/>
              <w:t>(Post-stock based</w:t>
              <w:br/>
              <w:t xml:space="preserve">compensation)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632" w:type="dxa"/>
            <w:tcBorders>
              <w:bottom w:val="single" w:sz="2" w:space="0" w:color="016836"/>
            </w:tcBorders>
            <w:shd w:fill="D8D8D8" w:val="clear"/>
            <w:tcMar>
              <w:bottom w:w="37" w:type="dxa"/>
            </w:tcMar>
            <w:vAlign w:val="center"/>
          </w:tcPr>
          <w:p>
            <w:pPr>
              <w:pStyle w:val="TableContents"/>
              <w:bidi w:val="0"/>
              <w:spacing w:before="0" w:after="283"/>
              <w:jc w:val="right"/>
              <w:rPr/>
            </w:pPr>
            <w:r>
              <w:rPr/>
              <w:t xml:space="preserve">73 </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600" w:type="dxa"/>
            <w:tcBorders>
              <w:bottom w:val="single" w:sz="2" w:space="0" w:color="016836"/>
            </w:tcBorders>
            <w:shd w:fill="D8D8D8" w:val="clear"/>
            <w:tcMar>
              <w:bottom w:w="37" w:type="dxa"/>
            </w:tcMar>
            <w:vAlign w:val="center"/>
          </w:tcPr>
          <w:p>
            <w:pPr>
              <w:pStyle w:val="TableContents"/>
              <w:bidi w:val="0"/>
              <w:spacing w:before="0" w:after="283"/>
              <w:jc w:val="right"/>
              <w:rPr/>
            </w:pPr>
            <w:r>
              <w:rPr/>
              <w:t xml:space="preserve">194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37" w:type="dxa"/>
            </w:tcMar>
            <w:vAlign w:val="center"/>
          </w:tcPr>
          <w:p>
            <w:pPr>
              <w:pStyle w:val="TableContents"/>
              <w:bidi w:val="0"/>
              <w:spacing w:before="0" w:after="283"/>
              <w:jc w:val="right"/>
              <w:rPr/>
            </w:pPr>
            <w:r>
              <w:rPr/>
              <w:t xml:space="preserve">244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37" w:type="dxa"/>
            </w:tcMar>
            <w:vAlign w:val="center"/>
          </w:tcPr>
          <w:p>
            <w:pPr>
              <w:pStyle w:val="TableContents"/>
              <w:bidi w:val="0"/>
              <w:spacing w:before="0" w:after="283"/>
              <w:jc w:val="right"/>
              <w:rPr/>
            </w:pPr>
            <w:r>
              <w:rPr/>
              <w:t xml:space="preserve">301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37" w:type="dxa"/>
            </w:tcMar>
            <w:vAlign w:val="center"/>
          </w:tcPr>
          <w:p>
            <w:pPr>
              <w:pStyle w:val="TableContents"/>
              <w:bidi w:val="0"/>
              <w:spacing w:before="0" w:after="283"/>
              <w:jc w:val="right"/>
              <w:rPr/>
            </w:pPr>
            <w:r>
              <w:rPr/>
              <w:t xml:space="preserve">355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tcMar>
              <w:bottom w:w="50" w:type="dxa"/>
            </w:tcMar>
            <w:vAlign w:val="center"/>
          </w:tcPr>
          <w:p>
            <w:pPr>
              <w:pStyle w:val="TableContents"/>
              <w:bidi w:val="0"/>
              <w:spacing w:lineRule="atLeast" w:line="142" w:before="0" w:after="283"/>
              <w:jc w:val="left"/>
              <w:rPr/>
            </w:pPr>
            <w:r>
              <w:rPr/>
              <w:t>Adjusted EBIT (Post-stock based compensation)</w:t>
            </w:r>
            <w:r>
              <w:rPr>
                <w:sz w:val="13"/>
              </w:rPr>
              <w:t>(3)(6)</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0" w:type="dxa"/>
            </w:tcMar>
            <w:vAlign w:val="center"/>
          </w:tcPr>
          <w:p>
            <w:pPr>
              <w:pStyle w:val="TableContents"/>
              <w:bidi w:val="0"/>
              <w:spacing w:before="0" w:after="283"/>
              <w:jc w:val="right"/>
              <w:rPr/>
            </w:pPr>
            <w:r>
              <w:rPr/>
              <w:t>$</w:t>
            </w:r>
          </w:p>
        </w:tc>
        <w:tc>
          <w:tcPr>
            <w:tcW w:w="632" w:type="dxa"/>
            <w:tcBorders>
              <w:bottom w:val="single" w:sz="2" w:space="0" w:color="016836"/>
            </w:tcBorders>
            <w:tcMar>
              <w:bottom w:w="50" w:type="dxa"/>
            </w:tcMar>
            <w:vAlign w:val="center"/>
          </w:tcPr>
          <w:p>
            <w:pPr>
              <w:pStyle w:val="TableContents"/>
              <w:bidi w:val="0"/>
              <w:spacing w:before="0" w:after="283"/>
              <w:jc w:val="right"/>
              <w:rPr/>
            </w:pPr>
            <w:r>
              <w:rPr/>
              <w:t xml:space="preserve">67 </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600" w:type="dxa"/>
            <w:tcBorders>
              <w:bottom w:val="single" w:sz="2" w:space="0" w:color="016836"/>
            </w:tcBorders>
            <w:tcMar>
              <w:bottom w:w="50" w:type="dxa"/>
            </w:tcMar>
            <w:vAlign w:val="center"/>
          </w:tcPr>
          <w:p>
            <w:pPr>
              <w:pStyle w:val="TableContents"/>
              <w:bidi w:val="0"/>
              <w:spacing w:before="0" w:after="283"/>
              <w:jc w:val="right"/>
              <w:rPr/>
            </w:pPr>
            <w:r>
              <w:rPr/>
              <w:t xml:space="preserve">188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 xml:space="preserve">239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 xml:space="preserve">295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 xml:space="preserve">349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shd w:fill="D8D8D8" w:val="clear"/>
            <w:tcMar>
              <w:bottom w:w="50" w:type="dxa"/>
            </w:tcMar>
            <w:vAlign w:val="center"/>
          </w:tcPr>
          <w:p>
            <w:pPr>
              <w:pStyle w:val="TableContents"/>
              <w:bidi w:val="0"/>
              <w:spacing w:lineRule="atLeast" w:line="142" w:before="0" w:after="283"/>
              <w:jc w:val="left"/>
              <w:rPr/>
            </w:pPr>
            <w:r>
              <w:rPr/>
              <w:t>NOPAT</w:t>
            </w:r>
            <w:r>
              <w:rPr>
                <w:sz w:val="13"/>
              </w:rPr>
              <w:t>(4)</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32"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50 </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0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141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179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221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262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41" w:type="dxa"/>
            <w:tcBorders>
              <w:bottom w:val="single" w:sz="2" w:space="0" w:color="016836"/>
            </w:tcBorders>
            <w:tcMar>
              <w:bottom w:w="50" w:type="dxa"/>
            </w:tcMar>
            <w:vAlign w:val="center"/>
          </w:tcPr>
          <w:p>
            <w:pPr>
              <w:pStyle w:val="TableContents"/>
              <w:bidi w:val="0"/>
              <w:spacing w:before="0" w:after="283"/>
              <w:jc w:val="left"/>
              <w:rPr/>
            </w:pPr>
            <w:r>
              <w:rPr/>
              <w:t>Unlevered Free Cash Flow</w:t>
            </w:r>
            <w:r>
              <w:rPr>
                <w:sz w:val="13"/>
              </w:rPr>
              <w:t>(5)(6)</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0" w:type="dxa"/>
            </w:tcMar>
            <w:vAlign w:val="center"/>
          </w:tcPr>
          <w:p>
            <w:pPr>
              <w:pStyle w:val="TableContents"/>
              <w:bidi w:val="0"/>
              <w:spacing w:before="0" w:after="283"/>
              <w:jc w:val="right"/>
              <w:rPr/>
            </w:pPr>
            <w:r>
              <w:rPr/>
              <w:t>$</w:t>
            </w:r>
          </w:p>
        </w:tc>
        <w:tc>
          <w:tcPr>
            <w:tcW w:w="632" w:type="dxa"/>
            <w:tcBorders>
              <w:bottom w:val="single" w:sz="2" w:space="0" w:color="016836"/>
            </w:tcBorders>
            <w:tcMar>
              <w:bottom w:w="50" w:type="dxa"/>
            </w:tcMar>
            <w:vAlign w:val="center"/>
          </w:tcPr>
          <w:p>
            <w:pPr>
              <w:pStyle w:val="TableContents"/>
              <w:bidi w:val="0"/>
              <w:spacing w:before="0" w:after="283"/>
              <w:jc w:val="right"/>
              <w:rPr/>
            </w:pPr>
            <w:r>
              <w:rPr/>
              <w:t xml:space="preserve">39 </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600" w:type="dxa"/>
            <w:tcBorders>
              <w:bottom w:val="single" w:sz="2" w:space="0" w:color="016836"/>
            </w:tcBorders>
            <w:tcMar>
              <w:bottom w:w="50" w:type="dxa"/>
            </w:tcMar>
            <w:vAlign w:val="center"/>
          </w:tcPr>
          <w:p>
            <w:pPr>
              <w:pStyle w:val="TableContents"/>
              <w:bidi w:val="0"/>
              <w:spacing w:before="0" w:after="283"/>
              <w:jc w:val="right"/>
              <w:rPr/>
            </w:pPr>
            <w:r>
              <w:rPr/>
              <w:t xml:space="preserve">122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 xml:space="preserve">159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 xml:space="preserve">201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780" w:type="dxa"/>
            <w:tcBorders>
              <w:bottom w:val="single" w:sz="2" w:space="0" w:color="016836"/>
            </w:tcBorders>
            <w:tcMar>
              <w:bottom w:w="50" w:type="dxa"/>
            </w:tcMar>
            <w:vAlign w:val="center"/>
          </w:tcPr>
          <w:p>
            <w:pPr>
              <w:pStyle w:val="TableContents"/>
              <w:bidi w:val="0"/>
              <w:spacing w:before="0" w:after="283"/>
              <w:jc w:val="right"/>
              <w:rPr/>
            </w:pPr>
            <w:r>
              <w:rPr/>
              <w:t>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0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 six months ending December 31,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254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EBITDA (pre-stock based compensation)” represents estimated adjusted earnings before interest, taxes, depreciation and amortization before stock-based compensation expense.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190" w:before="158"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 (post-stock based compensation)” represents estimated adjusted earnings before interest, taxes, depreciation and amortization after stock-based compensation expense.</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 (post-stock based compensation)” represents estimated adjusted earnings before interest and taxes, after stock-based compensation expense.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NOPAT refers to net operating profits after tax.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Unlevered Free Cash Flow represents unlevered, after-tax free cash flows, defined for purposes of this section of the proxy statement as net operating profit after tax, plus depreciation and amortization, less capital expenditures, plus or minus changes in net working capital.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foregoing notes (1), (2), (3), (4) and (5) are subject to the following adjustments:</w:t>
      </w:r>
      <w:r>
        <mc:AlternateContent>
          <mc:Choice Requires="wps">
            <w:drawing>
              <wp:anchor behindDoc="0" distT="7493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pPr>
                      <w:r>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190" w:before="82"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Company’s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p>
      <w:pPr>
        <w:pStyle w:val="TextBody"/>
        <w:bidi w:val="0"/>
        <w:spacing w:lineRule="atLeast" w:line="190" w:before="82"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Purchased intangible asset amortization:   LiveRamp incurs amortization of purchased intangibles in connection with its acquisitions. Purchased intangibles include (i) developed technology, (ii) customer and publisher relationships, and (iii) trade names. The Company expects to amortize for accounting purposes the fair value of the purchased intangibles based on the pattern in which the economic benefits of the intangible assets will be consumed as revenue is generated. Although the intangible assets generate revenue for the Company, LiveRamp excludes this item because this expense is non-cash in nature and because it believes the non-GAAP financial measures excluding this item provide meaningful supplemental information regarding the Company’s operational performance.</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Non-cash stock compensation: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its acquisitions. As the Company applies stock-based compensation standards, it believes that it is useful to investors to understand the impact of the application of these standards to LiveRamp’s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LiveRamp and because such expense is not used by LiveRamp to assess the core profitability of its business operations.</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Restructuring charges:   During the past several years, the Company has initiated certain restructuring activities in order to align its costs in connection with both its operating plans and its business strategies based on then-current economic conditions. As a result, it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it to assess the core profitability of its business operations.</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Transformation costs:   In previous years, LiveRamp incurred significant expenses to separate the financial statements of its operating segments, with particular focus on segment-level balance sheets, and to evaluate portfolio priorities. Its criteria for excluding transformation expenses from its non-GAAP measures is as follows: 1) projects are discrete in nature; 2) excluded expenses consist only of third-party consulting fees that it would not incur otherwise; and 3) it does not exclude employee related expenses or other costs associated with the ongoing operations of its business. The Company substantially completed those projects during the third quarter of fiscal year 2018. Beginning in the fourth quarter of fiscal 2018, and through most of fiscal 2019, it incurred transaction support expenses and system separation costs related to the Company’s announced evaluation of strategic options for its Marketing Solutions (AMS) business. In the first and second quarters of fiscal 2021 in response to the potential COVID-19 pandemic impact on its business and again during fiscal 2023 in response to macroeconomic conditions, LiveRamp incurred significant costs associated with the assessment of strategic and operating plans, including its long-term location strategy, and assistance in implementing the restructuring activities as a result of this assessment. Its criteria for excluding these costs are the same. The Company believes excluding these items from its non-GAAP financial measures is useful for investors and provides meaningful supplemental information.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Additional Information About the LiveRamp Projections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were prepared treating LiveRamp on a standalone basis, without giving effect to the Merger, including any impact of the negotiation or execution of the Merger, the expenses that may be incurred in connection with the Merger or the consummation thereof, the effect of any business or strategic decision or action that has been or will be taken as a result of the Merger Agreement having been executed or in anticipation of the Merger, or the effect of any alteration, acceleration, postponement or decision not to take any business or strategic decisions or actions that would likely have been taken if the Merger Agreement had not been executed but that were instead altered, accelerated, postponed or not taken in anticipation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inclusion of the LiveRamp Projections in this proxy statement should not be regarded as an indication or admission by LiveRamp or any of its affiliates, officers, directors, advisors or representatives (including Evercore), 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other person, that the LiveRamp Projections are predictive of actual future events, or an assurance of the achievement of future results. The LiveRamp Projections and any summary thereof should not be relied upon as such, and this information is not being included in this proxy statement to influence your decision whether to vote in favor of any proposal. LiveRamp advises the recipients of the LiveRamp Projections that its internal financial forecasts upon which the LiveRamp Projections were based are subjective in many respects, and readers are cautioned not to place undue reliance on these projections, as they are not necessarily predictive of actual future results. Further, the inclusion of the LiveRamp Projections in this proxy statement does not constitute an admission or representation by LiveRamp or any other person that the information presented is material.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presented with numerical specificity, the LiveRamp Projections reflect numerous variables, assumptions and estimates regarding LiveRamp’s performance, industry performance, general business, economic, regulatory, market, and financial conditions, many of which are inherently uncertain and many of which are beyond the control of LiveRamp. LiveRamp’s management believed these variables, assumptions and estimates were reasonable at the time the LiveRamp Projections were prepared, taking into account the relevant information available to management at the time, but important factors may affect actual results and cause the LiveRamp Projections to not be achieved, which include, but are not limited to, risks and uncertainties relating to the business of LiveRamp (including its ability to achieve strategic goals, objectives and targets over applicable periods), industry performance, the probability of technological success, the regulatory and competitive environment, changes in technology, general business and economic conditions and other risk factors referenced in the section of this proxy statement entitled “</w:t>
      </w:r>
      <w:r>
        <w:rPr>
          <w:rFonts w:ascii="Arial;Helvetica;sans-serif" w:hAnsi="Arial;Helvetica;sans-serif"/>
          <w:b w:val="false"/>
          <w:i/>
          <w:caps w:val="false"/>
          <w:smallCaps w:val="false"/>
          <w:color w:val="000000"/>
          <w:sz w:val="20"/>
        </w:rPr>
        <w:t>Cautionary Statement Regarding Forward-Looking Statements</w:t>
      </w:r>
      <w:r>
        <w:rPr>
          <w:rFonts w:ascii="Arial;Helvetica;sans-serif" w:hAnsi="Arial;Helvetica;sans-serif"/>
          <w:b w:val="false"/>
          <w:i w:val="false"/>
          <w:caps w:val="false"/>
          <w:smallCaps w:val="false"/>
          <w:color w:val="000000"/>
          <w:sz w:val="20"/>
        </w:rPr>
        <w:t>.” Various assumptions underlying the LiveRamp Projections may not prove to have been, or may no longer be, accurate. The LiveRamp Projections may not be realized, and actual results may be significantly higher or lower than projected in the LiveRamp Projections. The LiveRamp Projections reflect LiveRamp on a standalone basis and do not account for the effects of the Merger. The LiveRamp Projections also reflect assumptions as to certain business strategies or plans that are subject to change. The LiveRamp Projections reflect subjective judgment in many respects and thus are susceptible to multiple interpretations and periodic revisions. The LiveRamp Projections do not take into account any circumstances or events occurring after the date they were prepared, including the Merger, and some or all of the assumptions that have been made in connection with the preparation of the LiveRamp Projections may have changed since the date the LiveRamp Projections were prepared. The LiveRamp Projections cover multiple years, and such information by its nature becomes less predictive with each successive year. The propensity of economic and business environments to change quickly contributes significantly to the high level of uncertainty as to whether the results portrayed in the LiveRamp Projections will be achieved. As a result, there can be no assurance that the LiveRamp Projections will be realized, and actual results could be significantly higher or lower than projected. For all of these reasons, the LiveRamp Projections, and the assumptions upon which they are based, are (i) not guarantees of future results; (ii) inherently speculative; and (iii) subject to a number of risks and uncertainties. As a result, actual results may differ materially, and will differ materially if the Merger and the other transactions contemplated by the Merger Agreement are completed, from those contained in the LiveRamp Projections. Accordingly, there can be no assurance that the LiveRamp Projections will be realized. Additionally, the risk that these uncertainties and contingencies could cause the assumptions to fail to be reflective of actual results is further increased given the length of time in the future over which these assumptions apply. Any assumptions and projections in early periods, and any deviations therefrom as a result of the factors outlined above or other factors that may become applicable, could have a compounding effect on the projections shown for later periods or the difference between the projections and actual results for those periods. Thus, any failure of an assumption or projections to be reflective of actual results in an early period could have a greater effect on the projected results failing to be reflective of actual events in later periods.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have not been updated or revised to reflect information or results after the date the LiveRamp Projections were prepared. None of LiveRamp, Parent, Publicis or any of our or their respective affiliates intends to, and each of them disclaims any obligation to, update or otherwise revise the LiveRamp Projections or the specific portions presented to reflect circumstances existing after the date when made or to reflect the occurrence of future events, even in the event that any or all of the assumptions are shown to be no longer appropriate (except, in the case of LiveRamp, as required under applicable law). Readers of this proxy statement should take these considerations into account in reviewing the summary of the LiveRamp Projections, which were prepared as of an earlier date. The LiveRamp Projections may differ from publicized analyst estimates and forecasts. You should evaluate the LiveRamp Projections, if at all, in conjunction with LiveRamp’s historical financial statements and other information regarding LiveRamp contained in its public filings with the SEC, including its Annual Report filed on Form 10-K for the fiscal year ending March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OLD"/>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urges all of its stockholders to review its most recent SEC filings for a description of its historical financial statements and other information about LiveRamp. Please see the section of this proxy statement entitled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 for additional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included in this proxy statement have been prepared by, and are the responsibility of, LiveRamp. Neither LiveRamp’s independent auditor nor any other independent accountant has compiled, examined or performed any procedures with respect to the LiveRamp Projections, nor have they expressed any opinion or any other form of assurance on such information or its achievability. The LiveRamp Projections were not prepared with a view toward public disclosure or with a view toward complying with the published guidelines of the SEC regarding projections or accounting principles generally accepted in the United States (“GAAP”). Certain of the non-GAAP financial measures included in the LiveRamp Projections were relied upon by Evercore at the instruction of the Board for purposes of its financial analyses and opinion and by the Board in connection with their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were not relied upon by Evercore for purposes of its financial analyses and opinion or by the Board in connection with its evaluation of the Merger. Accordingly, LiveRamp has not provided a reconciliation of the financial measures included in the LiveRamp Projections to the relevant GAAP financial measures. Non-GAAP financial measures should not be considered in isolation from, or as a substitute for, financial information presented in compliance with GAAP, and non-GAAP financial measures as used by LiveRamp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LiveRamp or any of its affiliates, advisors, officers, directors, partners or representatives (including Evercore) can give you any assurance that actual results will not differ from the LiveRamp Projections. Except as required by applicable law, none of LiveRamp or any of its affiliates, advisors, officers, directors, partners or representatives (including Evercore) undertake any obligation to update or otherwise revise or reconcile the LiveRamp Projections or the specific portions presented to reflect circumstances existing after the date the LiveRamp Projections were generated or to reflect the occurrence of future events, even in the event that any or all of the assumptions are shown to be in error. Therefore, readers of this proxy statement are cautioned not to place undue, if any, reliance on the portions of the LiveRamp Projections set forth above. None of LiveRamp nor any of its affiliates, advisors, officers, directors, partners or representatives (including Evercore) intend to make publicly available any update or other revision to the LiveRamp Projections. In addition, none of LiveRamp or any of its affiliates, advisors, officers, directors, partners or representatives (including Evercore) have made, make, or are authorized in the future to make, any representation to any stockholder or other person regarding LiveRamp’s ultimate performance compared to the information contained in the LiveRamp Projections or that projected results will be achieved, and any statements to the contrary should be disregarded.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has made no representation to Parent or Merger Sub, in the Merger Agreement, or otherwise, concerning the LiveRamp Projections. The LiveRamp Projections may not be necessarily predictive of actual future results and should not be construed as financial guidance or relied on as such. In light of the foregoing factors and uncertainties inherent in the LiveRamp Projections, readers of this proxy statement are cautioned not to place any undue, if any, reliance on the LiveRamp Projections.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Interests of LiveRamp’s Directors and Executive Officers in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you vote to adopt the Merger Agreement, you should be aware that our executive officers and directors have interests in the Merger Agreement, the Merger and the other transactions contemplated by the Merger Agreement that may be different from, or in addition to, the interests of our stockholders generally. These interests include, among other things, as applicable, the treatment of outstanding LiveRamp equity awards, potential severance payments and benefits under our severance arrangements, cash retention awards and continued indemnification and insurance coverage. The Board was aware of and considered these interests, among other matters, in evaluating and negotiating the Merger Agreement and the transactions contemplated thereby and in reaching its determination that the Merger Agreement and the transactions contemplated are advisable and in the best interests of LiveRamp and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disclosure, our named executive officers are the named executive officers of LiveRamp for the fiscal year ended March 31, 2026. Mohsin Hussain was a named executive officer for such fiscal year by virtue of his prior service as Chief Technology Officer. However, Mr. Hussain ceased serving as Chief Technology Officer, effective March 31, 2026, and is not entitled to receive any compensation or benefits in connection with the Merger, so has been omitted from this disclosure. The named executive officers (excluding Mr. Hussain) for purposes of this disclosure 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Scott Howe, Chief Executive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Lauren Dillard, Executive Vice President and Chief Financial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Matthew Karasick, Chief Product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Vihan Sharma, Chief Revenue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Jerry Jones, Executive Vice President, Chief Ethics and Legal Officer and Secretary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no executive officers other than the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Equity Awards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executive officers hold one or more of the following equity-based awards: LiveRamp RSU Awards and LiveRamp PSU Awards (collectively, “LiveRamp Equity Awards”). None of the executive officers hold any LiveRamp Options or LiveRamp Restricted Stock Awards. While non-employee directors of LiveRamp hold shares of Common Stock owned outright, they do not hold any equity-based awards of LiveRamp. The Merger Agreement provides for the following treatment of outstanding LiveRamp Equity Awards at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LiveRamp RSU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each outstanding LiveRamp RSU Award, by virtue of the Merger and without any action on the part of the holder, will be cancelled and converted into a restricted cash award in an amount equal to (i) the Merger Consideration multiplied by (ii) the number of shares of Common Stock underlying such LiveRamp RSU Award immediately prior to the Effective Time. The restricted cash award will remain subject to the same terms and conditions as were applicable to the corresponding LiveRamp RSU Award immediately prior to the Effective Time, except that the restricted cash award will vest in full upon a qualifying termination of employment in accordance with the Merger Agreement occurring within 24 months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LiveRamp PSU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each outstanding LiveRamp PSU Award, by virtue of the Merger and without any action on the part of the holder, will be cancelled and converted into a restricted cash award in an amount equal to (i) the Merger Consideration multiplied by (ii) the number of shares of Common Stock underlying such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remain subject to the same terms and conditions as were applicable to the corresponding LiveRamp PSU Award immediately prior to the Effective Time, except that the performance-based vesting conditions applicable to LiveRamp PSU Awards will cease to apply, and the restricted cash award will vest in full upon a qualifying termination of employment in accordance with the Merger Agreement occurring within 24 months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treatment of LiveRamp Equity Awards described above or the description of the default provisions of the underlying LiveRamp equity plans and award agreements in the section “</w:t>
      </w:r>
      <w:r>
        <w:rPr>
          <w:rFonts w:ascii="Arial;Helvetica;sans-serif" w:hAnsi="Arial;Helvetica;sans-serif"/>
          <w:b w:val="false"/>
          <w:i/>
          <w:caps w:val="false"/>
          <w:smallCaps w:val="false"/>
          <w:color w:val="000000"/>
          <w:sz w:val="20"/>
        </w:rPr>
        <w:t>Compensation Tables — Potential Payments Upon Termination or Change in Control</w:t>
      </w:r>
      <w:r>
        <w:rPr>
          <w:rFonts w:ascii="Arial;Helvetica;sans-serif" w:hAnsi="Arial;Helvetica;sans-serif"/>
          <w:b w:val="false"/>
          <w:i w:val="false"/>
          <w:caps w:val="false"/>
          <w:smallCaps w:val="false"/>
          <w:color w:val="000000"/>
          <w:sz w:val="20"/>
        </w:rPr>
        <w:t xml:space="preserve">” beginning on page [   ] of this proxy statement, pursuant to the Merger Agreement LiveRamp may provide for the vesting at the Effective Time of all LiveRamp Equity Awards granted to the applicable Executive Officer prior to the date of the Merger Agreement that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mrll_Temp3"/>
      <w:bookmarkEnd w:id="44"/>
      <w:r>
        <w:rPr>
          <w:rFonts w:ascii="calibri;arial;sans-serif" w:hAnsi="calibri;arial;sans-serif"/>
          <w:b w:val="false"/>
          <w:i w:val="false"/>
          <w:caps w:val="false"/>
          <w:smallCaps w:val="false"/>
          <w:color w:val="000000"/>
          <w:sz w:val="16"/>
        </w:rPr>
        <w:t>​</w:t>
      </w:r>
      <w:bookmarkStart w:id="45" w:name="mrll_TocPage3"/>
      <w:bookmarkEnd w:id="45"/>
      <w:r>
        <w:rPr>
          <w:rFonts w:ascii="calibri;arial;sans-serif" w:hAnsi="calibri;arial;sans-serif"/>
          <w:b w:val="false"/>
          <w:i w:val="false"/>
          <w:caps w:val="false"/>
          <w:smallCaps w:val="false"/>
          <w:color w:val="000000"/>
          <w:sz w:val="16"/>
        </w:rPr>
        <w:t>​</w:t>
      </w:r>
      <w:bookmarkStart w:id="46" w:name="mrll_PB3"/>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are outstanding immediately prior to the Effective Time in exchange for the Merger Consideration (otherwise determined in accordance with the Merger Agreement and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See “</w:t>
      </w:r>
      <w:r>
        <w:rPr>
          <w:rFonts w:ascii="Arial;Helvetica;sans-serif" w:hAnsi="Arial;Helvetica;sans-serif"/>
          <w:b w:val="false"/>
          <w:i/>
          <w:caps w:val="false"/>
          <w:smallCaps w:val="false"/>
          <w:color w:val="000000"/>
          <w:sz w:val="20"/>
        </w:rPr>
        <w:t>The Merger Agreement (Proposal 1) — Interests of LiveRamp’s Directors and Executive Officers in the Merger — Golden Parachute Compensation</w:t>
      </w:r>
      <w:r>
        <w:rPr>
          <w:rFonts w:ascii="Arial;Helvetica;sans-serif" w:hAnsi="Arial;Helvetica;sans-serif"/>
          <w:b w:val="false"/>
          <w:i w:val="false"/>
          <w:caps w:val="false"/>
          <w:smallCaps w:val="false"/>
          <w:color w:val="000000"/>
          <w:sz w:val="20"/>
        </w:rPr>
        <w:t>” beginning on page [   ] of this proxy statement for an estimate of the amounts that may become payable to each named executive officer of LiveRamp in respect of such named executive officer’s unvested LiveRamp Equity Awards as of June 18,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CEO Employment Agreement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Amended and Restated Employment Agreement, dated February 14, 2018, by and between Acxiom Corporation and Scott Howe (the “LiveRamp CEO Employment Agreement”), if Mr. Howe experiences a termination of employment as result of a termination by LiveRamp without Cause or resignation for Good Reason (each as defined in the LiveRamp CEO Employment Agreement) within two years following a change in control, including the consummation of the Merger, Mr. Howe would be entitled to receive a lump sum cash severance payment equal to 300% of the sum of his annual base salary and annual bonus for the two fiscal years preceding the fiscal year in which the termination occurs, a prorated annual bonus for the fiscal year in which the termination occurs based on actual performance and accelerated vesting of outstanding equity awards, in each case subject to the terms and conditions of the applicable agreements. Payment of severance benefits under the LiveRamp CEO Employment Agreement is conditioned upon Mr. Howe’s execution and non-revocation of a general release of claims. For additional information regarding the LiveRamp CEO Employment Agreement, see the section entitled “</w:t>
      </w:r>
      <w:r>
        <w:rPr>
          <w:rFonts w:ascii="Arial;Helvetica;sans-serif" w:hAnsi="Arial;Helvetica;sans-serif"/>
          <w:b w:val="false"/>
          <w:i/>
          <w:caps w:val="false"/>
          <w:smallCaps w:val="false"/>
          <w:color w:val="000000"/>
          <w:sz w:val="20"/>
        </w:rPr>
        <w:t>Compensation Tables — Potential Payments Upon Termination or Change in Control — Potential Payments Upon a Change in Control — Howe Agreement</w:t>
      </w:r>
      <w:r>
        <w:rPr>
          <w:rFonts w:ascii="Arial;Helvetica;sans-serif" w:hAnsi="Arial;Helvetica;sans-serif"/>
          <w:b w:val="false"/>
          <w:i w:val="false"/>
          <w:caps w:val="false"/>
          <w:smallCaps w:val="false"/>
          <w:color w:val="000000"/>
          <w:sz w:val="20"/>
        </w:rPr>
        <w:t>” beginning on page [  ]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Publicis Employment Agreements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Concurrently with the execution of the Merger Agreement, Mr. Howe entered into an employment agreement with Publicis, Inc. that will become effective upon the Closing (the “Publicis CEO Employment Agreement”), pursuant to which Mr. Howe will continue to serve as Chief Executive Officer of LiveRamp following the Closing. Under the Publicis CEO Employment Agreement, Mr. Howe will receive an annual base salary of  $750,000, an annual target bonus opportunity equal to 110% of his annual base salary and eligibility to participate in the Publicis long-term incentive plan. With respect to the 2027 calendar year, Mr. Howe will receive awards under the Publicis long-term incentive plan with a target grant date value that is not less than the target grant date value of the equity awards granted by LiveRamp to Mr. Howe in May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Publicis CEO Employment Agreement also provides that 50% of Mr. Howe’s cash change-in-control severance entitlement under the LiveRamp CEO Employment Agreement (as discussed above under “— </w:t>
      </w:r>
      <w:r>
        <w:rPr>
          <w:rFonts w:ascii="Arial;Helvetica;sans-serif" w:hAnsi="Arial;Helvetica;sans-serif"/>
          <w:b w:val="false"/>
          <w:i/>
          <w:caps w:val="false"/>
          <w:smallCaps w:val="false"/>
          <w:color w:val="000000"/>
          <w:sz w:val="20"/>
        </w:rPr>
        <w:t>LiveRamp CEO Employment Agreement</w:t>
      </w:r>
      <w:r>
        <w:rPr>
          <w:rFonts w:ascii="Arial;Helvetica;sans-serif" w:hAnsi="Arial;Helvetica;sans-serif"/>
          <w:b w:val="false"/>
          <w:i w:val="false"/>
          <w:caps w:val="false"/>
          <w:smallCaps w:val="false"/>
          <w:color w:val="000000"/>
          <w:sz w:val="20"/>
        </w:rPr>
        <w:t>”), as determined immediately prior to the Effective Time, will vest at Closing, with the remaining 50% vesting in equal quarterly installments over the two-year period following the Closing, subject to continued employment. Any unvested portion of such cash severance will be forfeited upon a termination of Mr. Howe’s employment. Notwithstanding the foregoing, if Mr. Howe experiences a qualifying termination of employment on or prior to the second anniversary of the Closing, any unvested portion of such cash change-in-control severance will vest in full, subject to Mr. Howe’s execution and non-revocation of a release of claims and continued compliance with applicable restrictive covenants. In addition, upon a qualifying termination of employment on or prior to the second anniversary of the Closing, Mr. Howe will remain eligible to receive (i) a pro-rated bonus for the year of termination (based on actual performance) and (ii) accelerated vesting of outstanding restricted cash awards (as converted from LiveRamp Equity Awards pursuant to the Merger Agreement), in each case, in accordance with the LiveRamp CEO Employment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9, 2026, Jerry Jones entered into an employment agreement with Publicis, Inc. that will become effective upon the Closing (the “Jones Employment Agreement”), pursuant to which Mr. Jones will serve as EVP, Legal &amp; Data Ethics of LiveRamp following the Closing. Under the Jones Employment Agreement, Mr. Jones will receive an annual base salary of  $475,000, an annual target bonus opportunity equal to 75% of his annual base salary and eligibility to participate in the Publicis long-term incentive plan. With respect to the 2027 calendar year, Mr. Jones will receive awards under the Publicis long-term incentive plan with a target grant date value that is not less than the target grant date value of the equity awards granted by LiveRamp to Mr. Jones in May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Jones Employment Agreement provides for the same treatment of Mr. Jones’ change-in-control cash severance as that payable to Mr. Howe under the Publicis CEO Employment Agreement. In addition, upon a qualifying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termination of employment on or prior to the second anniversary of the Closing, Mr. Jones will remain eligible to receive (i) COBRA benefits, (ii) a pro-rated bonus for the year of termination (based on actual performance) and (iii) accelerated vesting of outstanding restricted cash awards (as converted from LiveRamp Equity Awards pursuant to the Merger Agreement), in each case, in accordance with the Executive Severance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the Publicis CEO Employment Agreement and Jones Employment Agreement also provides that, notwithstanding the treatment of LiveRamp Equity Awards described above, any LiveRamp Equity Awards granted to the applicable executive officer prior to May 2026 that remain outstanding immediately prior to the Closing will vest at Closing (with any applicable performance goals treated as specified in the Merger Agreement) and be settled for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Executive Officer Severance Policy</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maintains the Amended and Restated 2010 Executive Officer Severance Policy (the “Executive Severance Policy”) pursuant to which executive officers (other than Mr. Howe) are eligible for certain severance benefits upon a qualifying termination of employment in connection with a change of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Executive Severance Policy, upon a termination by LiveRamp without Cause or a resignation by the applicable executive officer for Good Reason (in each case as defined in the Executive Severance Policy), in either case within the two-year period following the consummation of a change of control (which the consummation of the Merger will constitute), each executive officer will be entitled to receive the following severance payments and benefits: (i) a lump-sum cash severance payment equal to 2.0x, in the case of Lauren Dillard, or 1.5x, in the case of the remaining eligible executive officers, of the sum of the executive officer’s annual base salary and average annual cash bonus for the two fiscal years preceding the fiscal year in which the termination occurs; (ii) a prorated annual bonus based on actual performance for the fiscal year in which the termination occurred; (iii) if the executive officer timely elects COBRA continuation coverage, monthly payments to cover COBRA continuation coverage for the executive officer and eligible dependents for 18 months following the termination date; and (iv) accelerated vesting of outstanding equity awards. Payment of any severance benefits under the Executive Severance Policy is subject to the participant’s timely execution and non-revocation of a general release of claims, prepared by LiveRamp and containing such terms and conditions as determined by LiveRamp in its discretion. For additional information regarding the Executive Severance Policy, see the section entitled “</w:t>
      </w:r>
      <w:r>
        <w:rPr>
          <w:rFonts w:ascii="Arial;Helvetica;sans-serif" w:hAnsi="Arial;Helvetica;sans-serif"/>
          <w:b w:val="false"/>
          <w:i/>
          <w:caps w:val="false"/>
          <w:smallCaps w:val="false"/>
          <w:color w:val="000000"/>
          <w:sz w:val="20"/>
        </w:rPr>
        <w:t>Compensation Tables — Potential Payments Upon Termination or Change in Control — Potential Payments Upon a Change in Control — Severance Policy</w:t>
      </w:r>
      <w:r>
        <w:rPr>
          <w:rFonts w:ascii="Arial;Helvetica;sans-serif" w:hAnsi="Arial;Helvetica;sans-serif"/>
          <w:b w:val="false"/>
          <w:i w:val="false"/>
          <w:caps w:val="false"/>
          <w:smallCaps w:val="false"/>
          <w:color w:val="000000"/>
          <w:sz w:val="20"/>
        </w:rPr>
        <w:t>” beginning on page [  ]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See “</w:t>
      </w:r>
      <w:r>
        <w:rPr>
          <w:rFonts w:ascii="Arial;Helvetica;sans-serif" w:hAnsi="Arial;Helvetica;sans-serif"/>
          <w:b w:val="false"/>
          <w:i/>
          <w:caps w:val="false"/>
          <w:smallCaps w:val="false"/>
          <w:color w:val="000000"/>
          <w:sz w:val="20"/>
        </w:rPr>
        <w:t>The Merger Agreement (Proposal 1) — Interests of LiveRamp’s Directors and Executive Officers in the Merger — Golden Parachute Compensation</w:t>
      </w:r>
      <w:r>
        <w:rPr>
          <w:rFonts w:ascii="Arial;Helvetica;sans-serif" w:hAnsi="Arial;Helvetica;sans-serif"/>
          <w:b w:val="false"/>
          <w:i w:val="false"/>
          <w:caps w:val="false"/>
          <w:smallCaps w:val="false"/>
          <w:color w:val="000000"/>
          <w:sz w:val="20"/>
        </w:rPr>
        <w:t>” beginning on page [  ] of this proxy statement for an estimate of the amounts that may become payable to each named executive officer of LiveRamp under the Executive Severance Policy if the Merger were completed and the named executive officer experienced a qualifying termination of employment on June 18,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Cash Retention Awards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Concurrently with the execution of the Merger Agreement, the Board approved cash retention awards for Scott Howe, Lauren Dillard, Matthew Karasick, Vihan Sharma and Jerry Jones, in amounts of up to $500,000 for each executive officer (other than Mr. Jones) and up to $1,000,000 for Mr. Jones. The retention awards will be payable in cash on the 30th day following the Effective Time (or such earlier date as Parent may determine), subject to the applicable executive officer’s continued employment with LiveRamp or one of its affiliates through the Effective Time and such other terms as may be determined by the chair of the Talent and Compensation Committee of the Board. Pursuant to the Merger Agreement, LiveRamp may, subject, in certain circumstances, to Publicis’ approval, grant additional cash retention awards to the executive officers on these same terms and conditions. As of the date of this proxy statement, no such additional cash retention amounts have been allocated to the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Habu Retention Amount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connection with LiveRamp’s acquisition of Habu, Inc. (“Habu”) on January 31, 2024, the Company entered into consideration holdback and similar retention agreements with certain key employees of Habu that joined the Company, including Mr. Karasick, pursuant to which certain amounts were not paid at closing and instead were subject to vesting in three equal installments on the anniversary of the acquisition, contingent upon the applicable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mrll_Temp5"/>
      <w:bookmarkEnd w:id="47"/>
      <w:r>
        <w:rPr>
          <w:rFonts w:ascii="calibri;arial;sans-serif" w:hAnsi="calibri;arial;sans-serif"/>
          <w:b w:val="false"/>
          <w:i w:val="false"/>
          <w:caps w:val="false"/>
          <w:smallCaps w:val="false"/>
          <w:color w:val="000000"/>
          <w:sz w:val="16"/>
        </w:rPr>
        <w:t>​</w:t>
      </w:r>
      <w:bookmarkStart w:id="48" w:name="mrll_TocPage5"/>
      <w:bookmarkEnd w:id="48"/>
      <w:r>
        <w:rPr>
          <w:rFonts w:ascii="calibri;arial;sans-serif" w:hAnsi="calibri;arial;sans-serif"/>
          <w:b w:val="false"/>
          <w:i w:val="false"/>
          <w:caps w:val="false"/>
          <w:smallCaps w:val="false"/>
          <w:color w:val="000000"/>
          <w:sz w:val="16"/>
        </w:rPr>
        <w:t>​</w:t>
      </w:r>
      <w:bookmarkStart w:id="49" w:name="mrll_PB5"/>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employees’ continued employment with LiveRamp through each vesting date. The Habu Retention Amounts can be paid in (or through a combination of) cash and LiveRamp Common Stock at the Company’s election. Mr. Karasick entered into such an agreement with LiveRamp pursuant to which Mr. Karasick is eligible to receive an amount (the “Habu Retention Amount”) equal to the value that Mr. Karasick would have received upon consummation of the transaction with respect to certain unvested equity awards. If, prior to the Habu Retention Amount becoming fully vested, Mr. Karasick’s employment is terminated by LiveRamp or one of its affiliates without Cause or by Mr. Karasick for Good Reason (each as defined in the applicable agreement), then any then-unvested portion of the Habu Retention Amount will vest in full, subject to Mr. Karasick’s execution and non-revocation of a release of claims in favor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date of this proxy statement, one-third of the Habu Retention Amount remains unvested. See “</w:t>
      </w:r>
      <w:r>
        <w:rPr>
          <w:rFonts w:ascii="Arial;Helvetica;sans-serif" w:hAnsi="Arial;Helvetica;sans-serif"/>
          <w:b w:val="false"/>
          <w:i/>
          <w:caps w:val="false"/>
          <w:smallCaps w:val="false"/>
          <w:color w:val="000000"/>
          <w:sz w:val="20"/>
        </w:rPr>
        <w:t>The Merger Agreement (Proposal 1) — Interests of LiveRamp’s Directors and Executive Officers in the Merger — Golden Parachute Compensation</w:t>
      </w:r>
      <w:r>
        <w:rPr>
          <w:rFonts w:ascii="Arial;Helvetica;sans-serif" w:hAnsi="Arial;Helvetica;sans-serif"/>
          <w:b w:val="false"/>
          <w:i w:val="false"/>
          <w:caps w:val="false"/>
          <w:smallCaps w:val="false"/>
          <w:color w:val="000000"/>
          <w:sz w:val="20"/>
        </w:rPr>
        <w:t>” beginning on page [  ] of this proxy statement for an estimate of the amount that may become payable to Mr. Karasick in respect of the unvested portion of the Habu Retention Amount if the Merger were completed and Mr. Karasick experienced a qualifying termination of employment on June 18,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Section 280G of the Code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payments and benefits payable to our executive officers in connection with the Merger may be nondeductible by the paying corporation due to Section 280G of the Code or would subject the executive officer to the excise tax imposed by Section 4999 of the Code. Under the Executive Severance Policy and the LiveRamp CEO Employment Agreement, if any payments or benefits payable to an executive officer (either under such arrangements or otherwise) would be subject to the excise tax under Section 4999 of the Code, then such payments will be either (a) reduced to the minimum extent necessary such that no portion thereof would be subject to the excise tax under Section 4999 of the Code or (b) paid in full, whichever produces the better net after-tax position to the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“net-better” cutbacks described above, LiveRamp, in prior consultation with Parent in good faith, may implement strategies to mitigate the impact of Sections 280G and 4999 of the Code with respect to payments and other benefits that may be payable to executive officers in connection with the transaction. Subject to the terms of the Merger Agreement, LiveRamp may enter into noncompetition covenant (or enhance any covenant in effect as of the date hereof) and engage an expert to perform valuations for such non-compete covenants. If LiveRamp determines it is reasonably likely that the Closing will occur in 2027, after consultation with Parent, LiveRamp may accelerate into 2026 the vesting and/or payment of certain compensation that is scheduled to vest or be paid in 2027 (including, without limitation, annual bonus payments in respect of LiveRamp’s 2027 fiscal year and LiveRamp RSU Awards and LiveRamp PSU Awards that would otherwise vest or become exercisable in the first half of calendar year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Potential Arrangements with Publicis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executive officers may continue to provide employment or other services to Publicis and its affiliates following the Closing and may enter into new compensation agreements or arrangements with Publicis or its affiliates to set forth the terms and compensation of such post-Closing service. As described in the section entitled “— </w:t>
      </w:r>
      <w:r>
        <w:rPr>
          <w:rFonts w:ascii="Arial;Helvetica;sans-serif" w:hAnsi="Arial;Helvetica;sans-serif"/>
          <w:b w:val="false"/>
          <w:i/>
          <w:caps w:val="false"/>
          <w:smallCaps w:val="false"/>
          <w:color w:val="000000"/>
          <w:sz w:val="20"/>
        </w:rPr>
        <w:t>Publicis Employment Agreements</w:t>
      </w:r>
      <w:r>
        <w:rPr>
          <w:rFonts w:ascii="Arial;Helvetica;sans-serif" w:hAnsi="Arial;Helvetica;sans-serif"/>
          <w:b w:val="false"/>
          <w:i w:val="false"/>
          <w:caps w:val="false"/>
          <w:smallCaps w:val="false"/>
          <w:color w:val="000000"/>
          <w:sz w:val="20"/>
        </w:rPr>
        <w:t>” above, Mr. Howe entered into the Publicis CEO Employment Agreement with Publicis, Inc. concurrently with the execution of the Merger Agreement and Mr. Jones entered into the Jones Employment Agreement with Publicis, Inc. Other than the Publicis CEO Employment Agreement and the Jones Employment Agreement, as of the date of this proxy statement, no such agreements or arrangements with Publicis or any of its affiliates exist, but it is currently expected that certain other LiveRamp executive officers will enter into agreements with Publicis related to their post-Closing service.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Indemnification and Insurance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Each of LiveRamp’s executive officers and directors is entitled to the indemnification and insurance benefits in favor of LiveRamp’s directors and executive officers, as described in more detail in the section entitled “</w:t>
      </w:r>
      <w:r>
        <w:rPr>
          <w:rFonts w:ascii="Arial;Helvetica;sans-serif" w:hAnsi="Arial;Helvetica;sans-serif"/>
          <w:b w:val="false"/>
          <w:i/>
          <w:caps w:val="false"/>
          <w:smallCaps w:val="false"/>
          <w:color w:val="000000"/>
          <w:sz w:val="20"/>
        </w:rPr>
        <w:t>The Merger Agreement — Directors’ and Officers’ Indemnification and Insurance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7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Quantification of Potential Payments and Benefits to LiveRamp’s Named Executive Officers in Connection with the Merger</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sets forth the information required by Item 402(t) of Regulation S-K regarding the estimated compensation that each of our named executive officers could receive that is based on or otherwise relates to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mrll_PB6"/>
      <w:bookmarkEnd w:id="50"/>
      <w:r>
        <w:rPr>
          <w:rFonts w:ascii="calibri;arial;sans-serif" w:hAnsi="calibri;arial;sans-serif"/>
          <w:b w:val="false"/>
          <w:i w:val="false"/>
          <w:caps w:val="false"/>
          <w:smallCaps w:val="false"/>
          <w:color w:val="000000"/>
          <w:sz w:val="16"/>
        </w:rPr>
        <w:t>​</w:t>
      </w:r>
      <w:bookmarkStart w:id="51" w:name="mrll_TocPage6"/>
      <w:bookmarkEnd w:id="51"/>
      <w:r>
        <w:rPr>
          <w:rFonts w:ascii="calibri;arial;sans-serif" w:hAnsi="calibri;arial;sans-serif"/>
          <w:b w:val="false"/>
          <w:i w:val="false"/>
          <w:caps w:val="false"/>
          <w:smallCaps w:val="false"/>
          <w:color w:val="000000"/>
          <w:sz w:val="16"/>
        </w:rPr>
        <w:t>​</w:t>
      </w:r>
      <w:bookmarkStart w:id="52" w:name="mrll_Temp6"/>
      <w:bookmarkEnd w:id="5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Merger (the “golden parachute compensation”), assuming (i) the Merger is completed on June 18, 2026; (ii) a per share price of LiveRamp Common Stock of  $38.50 (the Merger Consideration); (iii) the employment of each named executive officer is terminated by LiveRamp without Cause or for Good Reason (each as defined in the applicable severance arrangement) immediately following the Effective Time; (iv) each named executive officer’s base salary and annual target bonus remain unchanged from those in effect as of the date of this proxy statement; (v) each named executive officer’s LiveRamp Equity Awards are those that are outstanding as of June 18, 2026; (vi) as permitted by the Merger Agreement, LiveRamp has amended the terms of each named executive officer’s equity awards granted before May 2026 such that, at the Effective Time, the equity awards fully vest and are settled for the Merger Consideration; (vii) for illustrative purposes, amounts reported with respect to Mr. Sharma (who resides in France and is paid in euros) were converted to U.S. dollars at an exchange rate of 1.1461, which was spot rate as of June 18, 2026; and (viii) for purposes of the unvested LiveRamp PSU Awards, achievement of the applicable performance goals at the applicable deemed performance achievement levels described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 — LiveRamp Equity Awards</w:t>
      </w:r>
      <w:r>
        <w:rPr>
          <w:rFonts w:ascii="Arial;Helvetica;sans-serif" w:hAnsi="Arial;Helvetica;sans-serif"/>
          <w:b w:val="false"/>
          <w:i w:val="false"/>
          <w:caps w:val="false"/>
          <w:smallCaps w:val="false"/>
          <w:color w:val="000000"/>
          <w:sz w:val="20"/>
        </w:rPr>
        <w:t>.” The calculations in the table do not include any payments or other post-Closing compensation entitlements pursuant to the Publicis CEO Employment Agreement or the Jones Employment Agreement, which are compensation for Mr. Howe’s and Mr. Jones’ respective post-Closing employment and service and based on Mr. Howe’s and Mr. Jones’ respective post-Closing service to Publicis, Inc. under bona fide employment arrangements (see the section 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 — Publicis Employment Agreements</w:t>
      </w:r>
      <w:r>
        <w:rPr>
          <w:rFonts w:ascii="Arial;Helvetica;sans-serif" w:hAnsi="Arial;Helvetica;sans-serif"/>
          <w:b w:val="false"/>
          <w:i w:val="false"/>
          <w:caps w:val="false"/>
          <w:smallCaps w:val="false"/>
          <w:color w:val="000000"/>
          <w:sz w:val="20"/>
        </w:rPr>
        <w:t>” beginning on page [  ] of this Proxy Statement for a description of each of the Publicis CEO Employment Agreement and the Jones Employment Agreement). As noted above, Mohsin Hussain ceased serving as Chief Technology Officer effective March 31, 2026 and is not entitled to receive any compensation or benefits in connection with the Merger, so he has been omitted from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amounts set forth below are estimates only based on multiple assumptions that may or may not actually occur, and the actual amounts to be received may differ materially. The table below does not reflect any reduction that may be required under the applicable “net better” 280G cutback approach, as the application of any such reduction will depend on facts and circumstances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dollar amounts have been rounded to the nearest whole dollar and certain totals may not foot due to rounding. For purposes of this disclosure, “single trigger” refers to payments and benefits that arise solely as a result of the consummation of the Merger and “double trigger” refers to payments and benefits that require two conditions, which are the consummation of the Merger and a qualifying termination of employment of each named executive officer within the two-year post-change in control period set forth in the Executive Officer Severance Policy and the LiveRamp CEO Employment Agreement, described in more detail (as applicable) in “</w:t>
      </w:r>
      <w:r>
        <w:rPr>
          <w:rFonts w:ascii="Arial;Helvetica;sans-serif" w:hAnsi="Arial;Helvetica;sans-serif"/>
          <w:b w:val="false"/>
          <w:i/>
          <w:caps w:val="false"/>
          <w:smallCaps w:val="false"/>
          <w:color w:val="000000"/>
          <w:sz w:val="20"/>
        </w:rPr>
        <w:t>The Merger Agreement (Proposal 1) — Interests of LiveRamp’s Directors and Executive Officers in the Merger — LiveRamp CEO Employment Agreement</w:t>
      </w:r>
      <w:r>
        <w:rPr>
          <w:rFonts w:ascii="Arial;Helvetica;sans-serif" w:hAnsi="Arial;Helvetica;sans-serif"/>
          <w:b w:val="false"/>
          <w:i w:val="false"/>
          <w:caps w:val="false"/>
          <w:smallCaps w:val="false"/>
          <w:color w:val="000000"/>
          <w:sz w:val="20"/>
        </w:rPr>
        <w:t>,” and “</w:t>
      </w:r>
      <w:r>
        <w:rPr>
          <w:rFonts w:ascii="Arial;Helvetica;sans-serif" w:hAnsi="Arial;Helvetica;sans-serif"/>
          <w:b w:val="false"/>
          <w:i/>
          <w:caps w:val="false"/>
          <w:smallCaps w:val="false"/>
          <w:color w:val="000000"/>
          <w:sz w:val="20"/>
        </w:rPr>
        <w:t>The Merger Agreement (Proposal 1) — Interests of LiveRamp’s Directors and Executive Officers in the Merger — Executive Officer Severance Policy</w:t>
      </w:r>
      <w:r>
        <w:rPr>
          <w:rFonts w:ascii="Arial;Helvetica;sans-serif" w:hAnsi="Arial;Helvetica;sans-serif"/>
          <w:b w:val="false"/>
          <w:i w:val="false"/>
          <w:caps w:val="false"/>
          <w:smallCaps w:val="false"/>
          <w:color w:val="000000"/>
          <w:sz w:val="20"/>
        </w:rPr>
        <w:t>” beginning on pages [  ] and [  ], respectively,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Golden Parachute Compensation</w:t>
      </w:r>
      <w:r>
        <w:rPr>
          <w:rFonts w:ascii="Arial;Helvetica;sans-serif" w:hAnsi="Arial;Helvetica;sans-serif"/>
          <w:b w:val="false"/>
          <w:i/>
          <w:caps w:val="false"/>
          <w:smallCaps w:val="false"/>
          <w:color w:val="000000"/>
          <w:spacing w:val="5"/>
          <w:sz w:val="24"/>
        </w:rPr>
        <w:t xml:space="preserve"> </w:t>
      </w:r>
    </w:p>
    <w:tbl>
      <w:tblPr>
        <w:tblW w:w="9525" w:type="dxa"/>
        <w:jc w:val="left"/>
        <w:tblInd w:w="680" w:type="dxa"/>
        <w:tblLayout w:type="fixed"/>
        <w:tblCellMar>
          <w:top w:w="0" w:type="dxa"/>
          <w:left w:w="0" w:type="dxa"/>
          <w:bottom w:w="0" w:type="dxa"/>
          <w:right w:w="0" w:type="dxa"/>
        </w:tblCellMar>
      </w:tblPr>
      <w:tblGrid>
        <w:gridCol w:w="124"/>
        <w:gridCol w:w="1523"/>
        <w:gridCol w:w="109"/>
        <w:gridCol w:w="109"/>
        <w:gridCol w:w="109"/>
        <w:gridCol w:w="226"/>
        <w:gridCol w:w="1204"/>
        <w:gridCol w:w="109"/>
        <w:gridCol w:w="109"/>
        <w:gridCol w:w="109"/>
        <w:gridCol w:w="109"/>
        <w:gridCol w:w="226"/>
        <w:gridCol w:w="1324"/>
        <w:gridCol w:w="109"/>
        <w:gridCol w:w="109"/>
        <w:gridCol w:w="109"/>
        <w:gridCol w:w="136"/>
        <w:gridCol w:w="283"/>
        <w:gridCol w:w="1110"/>
        <w:gridCol w:w="136"/>
        <w:gridCol w:w="109"/>
        <w:gridCol w:w="109"/>
        <w:gridCol w:w="109"/>
        <w:gridCol w:w="226"/>
        <w:gridCol w:w="1324"/>
        <w:gridCol w:w="109"/>
        <w:gridCol w:w="157"/>
      </w:tblGrid>
      <w:tr>
        <w:trPr/>
        <w:tc>
          <w:tcPr>
            <w:tcW w:w="124" w:type="dxa"/>
            <w:tcBorders/>
            <w:shd w:fill="000000" w:val="clear"/>
            <w:vAlign w:val="center"/>
          </w:tcPr>
          <w:p>
            <w:pPr>
              <w:pStyle w:val="TableContents"/>
              <w:bidi w:val="0"/>
              <w:spacing w:before="0" w:after="283"/>
              <w:jc w:val="left"/>
              <w:rPr/>
            </w:pPr>
            <w:r>
              <w:rPr/>
              <w:t>​</w:t>
            </w:r>
          </w:p>
        </w:tc>
        <w:tc>
          <w:tcPr>
            <w:tcW w:w="1523"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48" w:type="dxa"/>
            <w:gridSpan w:val="4"/>
            <w:tcBorders/>
            <w:shd w:fill="000000" w:val="clear"/>
            <w:vAlign w:val="center"/>
          </w:tcPr>
          <w:p>
            <w:pPr>
              <w:pStyle w:val="TableContents"/>
              <w:bidi w:val="0"/>
              <w:spacing w:lineRule="atLeast" w:line="142" w:before="0" w:after="0"/>
              <w:jc w:val="center"/>
              <w:rPr/>
            </w:pPr>
            <w:r>
              <w:rPr/>
              <w:t>Cash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68" w:type="dxa"/>
            <w:gridSpan w:val="4"/>
            <w:tcBorders/>
            <w:shd w:fill="000000" w:val="clear"/>
            <w:vAlign w:val="center"/>
          </w:tcPr>
          <w:p>
            <w:pPr>
              <w:pStyle w:val="TableContents"/>
              <w:bidi w:val="0"/>
              <w:spacing w:lineRule="atLeast" w:line="142" w:before="0" w:after="0"/>
              <w:jc w:val="center"/>
              <w:rPr/>
            </w:pPr>
            <w:r>
              <w:rPr/>
              <w:t>Equity ($)</w:t>
            </w:r>
            <w:r>
              <w:rPr>
                <w:sz w:val="13"/>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65" w:type="dxa"/>
            <w:gridSpan w:val="4"/>
            <w:tcBorders/>
            <w:shd w:fill="000000" w:val="clear"/>
            <w:vAlign w:val="center"/>
          </w:tcPr>
          <w:p>
            <w:pPr>
              <w:pStyle w:val="TableContents"/>
              <w:bidi w:val="0"/>
              <w:spacing w:lineRule="atLeast" w:line="142" w:before="0" w:after="0"/>
              <w:jc w:val="center"/>
              <w:rPr/>
            </w:pPr>
            <w:r>
              <w:rPr/>
              <w:t>Perquisites/Benefits ($)</w:t>
            </w:r>
            <w:r>
              <w:rPr>
                <w:sz w:val="13"/>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68" w:type="dxa"/>
            <w:gridSpan w:val="4"/>
            <w:tcBorders/>
            <w:shd w:fill="000000" w:val="clear"/>
            <w:vAlign w:val="center"/>
          </w:tcPr>
          <w:p>
            <w:pPr>
              <w:pStyle w:val="TableContents"/>
              <w:bidi w:val="0"/>
              <w:spacing w:before="0" w:after="0"/>
              <w:jc w:val="center"/>
              <w:rPr/>
            </w:pPr>
            <w:r>
              <w:rPr/>
              <w:t xml:space="preserve">Total ($)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23"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04"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5,298,150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27,183,079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3"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1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 — </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32,481,229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523"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204" w:type="dxa"/>
            <w:tcBorders>
              <w:bottom w:val="single" w:sz="2" w:space="0" w:color="016836"/>
            </w:tcBorders>
            <w:tcMar>
              <w:bottom w:w="50" w:type="dxa"/>
            </w:tcMar>
            <w:vAlign w:val="center"/>
          </w:tcPr>
          <w:p>
            <w:pPr>
              <w:pStyle w:val="TableContents"/>
              <w:bidi w:val="0"/>
              <w:spacing w:before="0" w:after="283"/>
              <w:jc w:val="right"/>
              <w:rPr/>
            </w:pPr>
            <w:r>
              <w:rPr/>
              <w:t xml:space="preserve">2,332,232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tcMar>
              <w:bottom w:w="50" w:type="dxa"/>
            </w:tcMar>
            <w:vAlign w:val="center"/>
          </w:tcPr>
          <w:p>
            <w:pPr>
              <w:pStyle w:val="TableContents"/>
              <w:bidi w:val="0"/>
              <w:spacing w:before="0" w:after="283"/>
              <w:jc w:val="right"/>
              <w:rPr/>
            </w:pPr>
            <w:r>
              <w:rPr/>
              <w:t xml:space="preserve">16,802,247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6" w:type="dxa"/>
            <w:tcBorders>
              <w:bottom w:val="single" w:sz="2" w:space="0" w:color="016836"/>
            </w:tcBorders>
            <w:tcMar>
              <w:bottom w:w="28" w:type="dxa"/>
            </w:tcMar>
            <w:vAlign w:val="center"/>
          </w:tcPr>
          <w:p>
            <w:pPr>
              <w:pStyle w:val="TableContents"/>
              <w:bidi w:val="0"/>
              <w:spacing w:before="0" w:after="283"/>
              <w:jc w:val="left"/>
              <w:rPr/>
            </w:pPr>
            <w:r>
              <w:rPr/>
              <w:t>​</w:t>
            </w:r>
          </w:p>
        </w:tc>
        <w:tc>
          <w:tcPr>
            <w:tcW w:w="283" w:type="dxa"/>
            <w:tcBorders>
              <w:bottom w:val="single" w:sz="2" w:space="0" w:color="016836"/>
            </w:tcBorders>
            <w:tcMar>
              <w:bottom w:w="50" w:type="dxa"/>
            </w:tcMar>
            <w:vAlign w:val="center"/>
          </w:tcPr>
          <w:p>
            <w:pPr>
              <w:pStyle w:val="TableContents"/>
              <w:bidi w:val="0"/>
              <w:spacing w:before="0" w:after="283"/>
              <w:jc w:val="right"/>
              <w:rPr/>
            </w:pPr>
            <w:r>
              <w:rPr/>
              <w:t>$</w:t>
            </w:r>
          </w:p>
        </w:tc>
        <w:tc>
          <w:tcPr>
            <w:tcW w:w="1110" w:type="dxa"/>
            <w:tcBorders>
              <w:bottom w:val="single" w:sz="2" w:space="0" w:color="016836"/>
            </w:tcBorders>
            <w:tcMar>
              <w:bottom w:w="50" w:type="dxa"/>
            </w:tcMar>
            <w:vAlign w:val="center"/>
          </w:tcPr>
          <w:p>
            <w:pPr>
              <w:pStyle w:val="TableContents"/>
              <w:bidi w:val="0"/>
              <w:spacing w:before="0" w:after="283"/>
              <w:jc w:val="right"/>
              <w:rPr/>
            </w:pPr>
            <w:r>
              <w:rPr/>
              <w:t xml:space="preserve">963 </w:t>
            </w:r>
          </w:p>
        </w:tc>
        <w:tc>
          <w:tcPr>
            <w:tcW w:w="13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tcMar>
              <w:bottom w:w="50" w:type="dxa"/>
            </w:tcMar>
            <w:vAlign w:val="center"/>
          </w:tcPr>
          <w:p>
            <w:pPr>
              <w:pStyle w:val="TableContents"/>
              <w:bidi w:val="0"/>
              <w:spacing w:before="0" w:after="283"/>
              <w:jc w:val="right"/>
              <w:rPr/>
            </w:pPr>
            <w:r>
              <w:rPr/>
              <w:t xml:space="preserve">19,135,442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23"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04"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2,313,946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9,525,093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3"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1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43,245</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11,882,284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523"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204" w:type="dxa"/>
            <w:tcBorders>
              <w:bottom w:val="single" w:sz="2" w:space="0" w:color="016836"/>
            </w:tcBorders>
            <w:tcMar>
              <w:bottom w:w="50" w:type="dxa"/>
            </w:tcMar>
            <w:vAlign w:val="center"/>
          </w:tcPr>
          <w:p>
            <w:pPr>
              <w:pStyle w:val="TableContents"/>
              <w:bidi w:val="0"/>
              <w:spacing w:before="0" w:after="283"/>
              <w:jc w:val="right"/>
              <w:rPr/>
            </w:pPr>
            <w:r>
              <w:rPr/>
              <w:t xml:space="preserve">2,528,236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tcMar>
              <w:bottom w:w="50" w:type="dxa"/>
            </w:tcMar>
            <w:vAlign w:val="center"/>
          </w:tcPr>
          <w:p>
            <w:pPr>
              <w:pStyle w:val="TableContents"/>
              <w:bidi w:val="0"/>
              <w:spacing w:before="0" w:after="283"/>
              <w:jc w:val="right"/>
              <w:rPr/>
            </w:pPr>
            <w:r>
              <w:rPr/>
              <w:t xml:space="preserve">9,469,422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6" w:type="dxa"/>
            <w:tcBorders>
              <w:bottom w:val="single" w:sz="2" w:space="0" w:color="016836"/>
            </w:tcBorders>
            <w:tcMar>
              <w:bottom w:w="28" w:type="dxa"/>
            </w:tcMar>
            <w:vAlign w:val="center"/>
          </w:tcPr>
          <w:p>
            <w:pPr>
              <w:pStyle w:val="TableContents"/>
              <w:bidi w:val="0"/>
              <w:spacing w:before="0" w:after="283"/>
              <w:jc w:val="left"/>
              <w:rPr/>
            </w:pPr>
            <w:r>
              <w:rPr/>
              <w:t>​</w:t>
            </w:r>
          </w:p>
        </w:tc>
        <w:tc>
          <w:tcPr>
            <w:tcW w:w="283" w:type="dxa"/>
            <w:tcBorders>
              <w:bottom w:val="single" w:sz="2" w:space="0" w:color="016836"/>
            </w:tcBorders>
            <w:tcMar>
              <w:bottom w:w="50" w:type="dxa"/>
            </w:tcMar>
            <w:vAlign w:val="center"/>
          </w:tcPr>
          <w:p>
            <w:pPr>
              <w:pStyle w:val="TableContents"/>
              <w:bidi w:val="0"/>
              <w:spacing w:before="0" w:after="283"/>
              <w:jc w:val="right"/>
              <w:rPr/>
            </w:pPr>
            <w:r>
              <w:rPr/>
              <w:t>$</w:t>
            </w:r>
          </w:p>
        </w:tc>
        <w:tc>
          <w:tcPr>
            <w:tcW w:w="1110" w:type="dxa"/>
            <w:tcBorders>
              <w:bottom w:val="single" w:sz="2" w:space="0" w:color="016836"/>
            </w:tcBorders>
            <w:tcMar>
              <w:bottom w:w="50" w:type="dxa"/>
            </w:tcMar>
            <w:vAlign w:val="center"/>
          </w:tcPr>
          <w:p>
            <w:pPr>
              <w:pStyle w:val="TableContents"/>
              <w:bidi w:val="0"/>
              <w:spacing w:before="0" w:after="283"/>
              <w:jc w:val="right"/>
              <w:rPr/>
            </w:pPr>
            <w:r>
              <w:rPr/>
              <w:t xml:space="preserve">— </w:t>
            </w:r>
          </w:p>
        </w:tc>
        <w:tc>
          <w:tcPr>
            <w:tcW w:w="13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tcMar>
              <w:bottom w:w="50" w:type="dxa"/>
            </w:tcMar>
            <w:vAlign w:val="center"/>
          </w:tcPr>
          <w:p>
            <w:pPr>
              <w:pStyle w:val="TableContents"/>
              <w:bidi w:val="0"/>
              <w:spacing w:before="0" w:after="283"/>
              <w:jc w:val="right"/>
              <w:rPr/>
            </w:pPr>
            <w:r>
              <w:rPr/>
              <w:t xml:space="preserve">11,997,657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23"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04"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2,330,908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4,809,497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3"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1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32,892 </w:t>
            </w:r>
          </w:p>
        </w:tc>
        <w:tc>
          <w:tcPr>
            <w:tcW w:w="13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24" w:type="dxa"/>
            <w:tcBorders>
              <w:bottom w:val="single" w:sz="2" w:space="0" w:color="016836"/>
            </w:tcBorders>
            <w:shd w:fill="D8D8D8" w:val="clear"/>
            <w:tcMar>
              <w:bottom w:w="50" w:type="dxa"/>
            </w:tcMar>
            <w:vAlign w:val="center"/>
          </w:tcPr>
          <w:p>
            <w:pPr>
              <w:pStyle w:val="TableContents"/>
              <w:bidi w:val="0"/>
              <w:spacing w:before="0" w:after="283"/>
              <w:jc w:val="right"/>
              <w:rPr/>
            </w:pPr>
            <w:r>
              <w:rPr/>
              <w:t>7,173,297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16"/>
        </w:rPr>
        <w:t>Cash</w:t>
      </w:r>
      <w:r>
        <w:rPr>
          <w:rFonts w:ascii="Arial;Helvetica;sans-serif" w:hAnsi="Arial;Helvetica;sans-serif"/>
          <w:b w:val="false"/>
          <w:i w:val="false"/>
          <w:caps w:val="false"/>
          <w:smallCaps w:val="false"/>
          <w:color w:val="000000"/>
          <w:sz w:val="16"/>
        </w:rPr>
        <w:t>.   The amounts included in the “Cash” column reflect the aggregate cash severance amount, including cash severance payments and pro rata annual bonus payments, that each named executive officer is eligible to receive under the LiveRamp CEO Employment Agreement and the Executive Severance Policy, as applicable, and described in the sections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LiveRamp CEO Employment Agreement</w:t>
      </w:r>
      <w:r>
        <w:rPr>
          <w:rFonts w:ascii="Arial;Helvetica;sans-serif" w:hAnsi="Arial;Helvetica;sans-serif"/>
          <w:b w:val="false"/>
          <w:i w:val="false"/>
          <w:caps w:val="false"/>
          <w:smallCaps w:val="false"/>
          <w:color w:val="000000"/>
          <w:sz w:val="16"/>
        </w:rPr>
        <w:t>” and “</w:t>
      </w:r>
      <w:r>
        <w:rPr>
          <w:rFonts w:ascii="Arial;Helvetica;sans-serif" w:hAnsi="Arial;Helvetica;sans-serif"/>
          <w:b w:val="false"/>
          <w:i/>
          <w:caps w:val="false"/>
          <w:smallCaps w:val="false"/>
          <w:color w:val="000000"/>
          <w:sz w:val="16"/>
        </w:rPr>
        <w:t>The Merger Agreement (Proposal 1) — Interests of LiveRamp’s Directors and Executive Officers in the Merger — Executive Officer Severance Policy</w:t>
      </w:r>
      <w:r>
        <w:rPr>
          <w:rFonts w:ascii="Arial;Helvetica;sans-serif" w:hAnsi="Arial;Helvetica;sans-serif"/>
          <w:b w:val="false"/>
          <w:i w:val="false"/>
          <w:caps w:val="false"/>
          <w:smallCaps w:val="false"/>
          <w:color w:val="000000"/>
          <w:sz w:val="16"/>
        </w:rPr>
        <w:t>,” respectively, beginning on pages [  ] and [  ], respectively of this proxy statement. The pro rata bonus payments reported in this column assume the target level of performance. The amounts in this column also include the amount of the retention award that each named executive officer is eligible to receive in connection with the Merger,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Cash Retention Awards</w:t>
      </w:r>
      <w:r>
        <w:rPr>
          <w:rFonts w:ascii="Arial;Helvetica;sans-serif" w:hAnsi="Arial;Helvetica;sans-serif"/>
          <w:b w:val="false"/>
          <w:i w:val="false"/>
          <w:caps w:val="false"/>
          <w:smallCaps w:val="false"/>
          <w:color w:val="000000"/>
          <w:sz w:val="16"/>
        </w:rPr>
        <w:t xml:space="preserve">,” beginning on page [  ] of this proxy statement. The </w:t>
      </w:r>
      <w:r>
        <mc:AlternateContent>
          <mc:Choice Requires="wps">
            <w:drawing>
              <wp:anchor behindDoc="0" distT="82550" distB="0" distL="0" distR="0" simplePos="0" locked="0" layoutInCell="1" allowOverlap="1" relativeHeight="323">
                <wp:simplePos x="0" y="0"/>
                <wp:positionH relativeFrom="column">
                  <wp:align>left</wp:align>
                </wp:positionH>
                <wp:positionV relativeFrom="line">
                  <wp:align>top</wp:align>
                </wp:positionV>
                <wp:extent cx="254000" cy="254000"/>
                <wp:effectExtent l="0" t="0" r="0" b="0"/>
                <wp:wrapSquare wrapText="right"/>
                <wp:docPr id="284" name="Frame2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LstPara1"/>
      <w:bookmarkEnd w:id="53"/>
      <w:r>
        <w:rPr>
          <w:rFonts w:ascii="calibri;arial;sans-serif" w:hAnsi="calibri;arial;sans-serif"/>
          <w:b w:val="false"/>
          <w:i w:val="false"/>
          <w:caps w:val="false"/>
          <w:smallCaps w:val="false"/>
          <w:color w:val="000000"/>
          <w:sz w:val="16"/>
        </w:rPr>
        <w:t>​</w:t>
      </w:r>
      <w:bookmarkStart w:id="54" w:name="LstPara2"/>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104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 in this column for Matthew Karasick includes approximately $518,103 attributable to the portion of his Habu Retention Amount that would become vested and payable upon a qualifying termination,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Habu Retention Amount</w:t>
      </w:r>
      <w:r>
        <w:rPr>
          <w:rFonts w:ascii="Arial;Helvetica;sans-serif" w:hAnsi="Arial;Helvetica;sans-serif"/>
          <w:b w:val="false"/>
          <w:i w:val="false"/>
          <w:caps w:val="false"/>
          <w:smallCaps w:val="false"/>
          <w:color w:val="000000"/>
          <w:sz w:val="16"/>
        </w:rPr>
        <w:t>,” beginning on page [  ] of this proxy statement. The “Cash Severance” and “Pro Rata Bonus” amounts included in the “Cash” column (which are payable pursuant to the LiveRamp CEO Employment Agreement and the Executive Severance Policy, as applicable) are double trigger amounts, the “Retention Award” amounts included in the “Cash” column are single trigger amounts and the amount attributable to the unvested portion of the Habu Retention Amount for Mr. Karasick is a double trigger amount (notwithstanding that such payment would vest as a result of a qualifying termination of employment, whether or not a change in control occurred). Details of the amounts in the “Cash” column (other than the amount reported for the Habu Retention Amount) are shown in the following supplementary table:</w:t>
      </w:r>
      <w:r>
        <w:rPr>
          <w:rFonts w:ascii="Arial;Helvetica;sans-serif" w:hAnsi="Arial;Helvetica;sans-serif"/>
          <w:b w:val="false"/>
          <w:i w:val="false"/>
          <w:caps w:val="false"/>
          <w:smallCaps w:val="false"/>
          <w:color w:val="000000"/>
          <w:spacing w:val="3"/>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2525"/>
        <w:gridCol w:w="109"/>
        <w:gridCol w:w="109"/>
        <w:gridCol w:w="128"/>
        <w:gridCol w:w="266"/>
        <w:gridCol w:w="1468"/>
        <w:gridCol w:w="128"/>
        <w:gridCol w:w="109"/>
        <w:gridCol w:w="109"/>
        <w:gridCol w:w="142"/>
        <w:gridCol w:w="294"/>
        <w:gridCol w:w="1390"/>
        <w:gridCol w:w="142"/>
        <w:gridCol w:w="109"/>
        <w:gridCol w:w="109"/>
        <w:gridCol w:w="140"/>
        <w:gridCol w:w="291"/>
        <w:gridCol w:w="1533"/>
        <w:gridCol w:w="140"/>
        <w:gridCol w:w="160"/>
      </w:tblGrid>
      <w:tr>
        <w:trPr/>
        <w:tc>
          <w:tcPr>
            <w:tcW w:w="124" w:type="dxa"/>
            <w:tcBorders/>
            <w:shd w:fill="000000" w:val="clear"/>
            <w:vAlign w:val="center"/>
          </w:tcPr>
          <w:p>
            <w:pPr>
              <w:pStyle w:val="TableContents"/>
              <w:bidi w:val="0"/>
              <w:spacing w:before="0" w:after="283"/>
              <w:jc w:val="left"/>
              <w:rPr/>
            </w:pPr>
            <w:r>
              <w:rPr/>
              <w:t>​</w:t>
            </w:r>
          </w:p>
        </w:tc>
        <w:tc>
          <w:tcPr>
            <w:tcW w:w="2525"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90" w:type="dxa"/>
            <w:gridSpan w:val="4"/>
            <w:tcBorders/>
            <w:shd w:fill="000000" w:val="clear"/>
            <w:vAlign w:val="center"/>
          </w:tcPr>
          <w:p>
            <w:pPr>
              <w:pStyle w:val="TableContents"/>
              <w:bidi w:val="0"/>
              <w:spacing w:before="0" w:after="0"/>
              <w:jc w:val="center"/>
              <w:rPr/>
            </w:pPr>
            <w:r>
              <w:rPr/>
              <w:t xml:space="preserve">Cash Severance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68" w:type="dxa"/>
            <w:gridSpan w:val="4"/>
            <w:tcBorders/>
            <w:shd w:fill="000000" w:val="clear"/>
            <w:vAlign w:val="center"/>
          </w:tcPr>
          <w:p>
            <w:pPr>
              <w:pStyle w:val="TableContents"/>
              <w:bidi w:val="0"/>
              <w:spacing w:before="0" w:after="0"/>
              <w:jc w:val="center"/>
              <w:rPr/>
            </w:pPr>
            <w:r>
              <w:rPr/>
              <w:t xml:space="preserve">Pro Rata Bonus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04" w:type="dxa"/>
            <w:gridSpan w:val="4"/>
            <w:tcBorders/>
            <w:shd w:fill="000000" w:val="clear"/>
            <w:vAlign w:val="center"/>
          </w:tcPr>
          <w:p>
            <w:pPr>
              <w:pStyle w:val="TableContents"/>
              <w:bidi w:val="0"/>
              <w:spacing w:before="0" w:after="0"/>
              <w:jc w:val="center"/>
              <w:rPr/>
            </w:pPr>
            <w:r>
              <w:rPr/>
              <w:t xml:space="preserve">Retention Award ($)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6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68"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4,633,902 </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9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164,248 </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500,000 </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6" w:type="dxa"/>
            <w:tcBorders>
              <w:bottom w:val="single" w:sz="2" w:space="0" w:color="016836"/>
            </w:tcBorders>
            <w:tcMar>
              <w:bottom w:w="50" w:type="dxa"/>
            </w:tcMar>
            <w:vAlign w:val="center"/>
          </w:tcPr>
          <w:p>
            <w:pPr>
              <w:pStyle w:val="TableContents"/>
              <w:bidi w:val="0"/>
              <w:spacing w:before="0" w:after="283"/>
              <w:jc w:val="right"/>
              <w:rPr/>
            </w:pPr>
            <w:r>
              <w:rPr/>
              <w:t>$</w:t>
            </w:r>
          </w:p>
        </w:tc>
        <w:tc>
          <w:tcPr>
            <w:tcW w:w="1468" w:type="dxa"/>
            <w:tcBorders>
              <w:bottom w:val="single" w:sz="2" w:space="0" w:color="016836"/>
            </w:tcBorders>
            <w:tcMar>
              <w:bottom w:w="50" w:type="dxa"/>
            </w:tcMar>
            <w:vAlign w:val="center"/>
          </w:tcPr>
          <w:p>
            <w:pPr>
              <w:pStyle w:val="TableContents"/>
              <w:bidi w:val="0"/>
              <w:spacing w:before="0" w:after="283"/>
              <w:jc w:val="right"/>
              <w:rPr/>
            </w:pPr>
            <w:r>
              <w:rPr/>
              <w:t xml:space="preserve">1,750,000 </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 w:type="dxa"/>
            <w:tcBorders>
              <w:bottom w:val="single" w:sz="2" w:space="0" w:color="016836"/>
            </w:tcBorders>
            <w:tcMar>
              <w:bottom w:w="28" w:type="dxa"/>
            </w:tcMar>
            <w:vAlign w:val="center"/>
          </w:tcPr>
          <w:p>
            <w:pPr>
              <w:pStyle w:val="TableContents"/>
              <w:bidi w:val="0"/>
              <w:spacing w:before="0" w:after="283"/>
              <w:jc w:val="left"/>
              <w:rPr/>
            </w:pPr>
            <w:r>
              <w:rPr/>
              <w:t>​</w:t>
            </w:r>
          </w:p>
        </w:tc>
        <w:tc>
          <w:tcPr>
            <w:tcW w:w="294" w:type="dxa"/>
            <w:tcBorders>
              <w:bottom w:val="single" w:sz="2" w:space="0" w:color="016836"/>
            </w:tcBorders>
            <w:tcMar>
              <w:bottom w:w="50" w:type="dxa"/>
            </w:tcMar>
            <w:vAlign w:val="center"/>
          </w:tcPr>
          <w:p>
            <w:pPr>
              <w:pStyle w:val="TableContents"/>
              <w:bidi w:val="0"/>
              <w:spacing w:before="0" w:after="283"/>
              <w:jc w:val="right"/>
              <w:rPr/>
            </w:pPr>
            <w:r>
              <w:rPr/>
              <w:t>$</w:t>
            </w:r>
          </w:p>
        </w:tc>
        <w:tc>
          <w:tcPr>
            <w:tcW w:w="1390" w:type="dxa"/>
            <w:tcBorders>
              <w:bottom w:val="single" w:sz="2" w:space="0" w:color="016836"/>
            </w:tcBorders>
            <w:tcMar>
              <w:bottom w:w="50" w:type="dxa"/>
            </w:tcMar>
            <w:vAlign w:val="center"/>
          </w:tcPr>
          <w:p>
            <w:pPr>
              <w:pStyle w:val="TableContents"/>
              <w:bidi w:val="0"/>
              <w:spacing w:before="0" w:after="283"/>
              <w:jc w:val="right"/>
              <w:rPr/>
            </w:pPr>
            <w:r>
              <w:rPr/>
              <w:t xml:space="preserve">82,232 </w:t>
            </w:r>
          </w:p>
        </w:tc>
        <w:tc>
          <w:tcPr>
            <w:tcW w:w="142"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tcMar>
              <w:bottom w:w="50" w:type="dxa"/>
            </w:tcMar>
            <w:vAlign w:val="center"/>
          </w:tcPr>
          <w:p>
            <w:pPr>
              <w:pStyle w:val="TableContents"/>
              <w:bidi w:val="0"/>
              <w:spacing w:before="0" w:after="283"/>
              <w:jc w:val="right"/>
              <w:rPr/>
            </w:pPr>
            <w:r>
              <w:rPr/>
              <w:t xml:space="preserve">500,000 </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6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68"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1,218,750 </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9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77,093 </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500,000 </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6" w:type="dxa"/>
            <w:tcBorders>
              <w:bottom w:val="single" w:sz="2" w:space="0" w:color="016836"/>
            </w:tcBorders>
            <w:tcMar>
              <w:bottom w:w="50" w:type="dxa"/>
            </w:tcMar>
            <w:vAlign w:val="center"/>
          </w:tcPr>
          <w:p>
            <w:pPr>
              <w:pStyle w:val="TableContents"/>
              <w:bidi w:val="0"/>
              <w:spacing w:before="0" w:after="283"/>
              <w:jc w:val="right"/>
              <w:rPr/>
            </w:pPr>
            <w:r>
              <w:rPr/>
              <w:t>$</w:t>
            </w:r>
          </w:p>
        </w:tc>
        <w:tc>
          <w:tcPr>
            <w:tcW w:w="1468" w:type="dxa"/>
            <w:tcBorders>
              <w:bottom w:val="single" w:sz="2" w:space="0" w:color="016836"/>
            </w:tcBorders>
            <w:tcMar>
              <w:bottom w:w="50" w:type="dxa"/>
            </w:tcMar>
            <w:vAlign w:val="center"/>
          </w:tcPr>
          <w:p>
            <w:pPr>
              <w:pStyle w:val="TableContents"/>
              <w:bidi w:val="0"/>
              <w:spacing w:before="0" w:after="283"/>
              <w:jc w:val="right"/>
              <w:rPr/>
            </w:pPr>
            <w:r>
              <w:rPr/>
              <w:t xml:space="preserve">1,921,286 </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 w:type="dxa"/>
            <w:tcBorders>
              <w:bottom w:val="single" w:sz="2" w:space="0" w:color="016836"/>
            </w:tcBorders>
            <w:tcMar>
              <w:bottom w:w="28" w:type="dxa"/>
            </w:tcMar>
            <w:vAlign w:val="center"/>
          </w:tcPr>
          <w:p>
            <w:pPr>
              <w:pStyle w:val="TableContents"/>
              <w:bidi w:val="0"/>
              <w:spacing w:before="0" w:after="283"/>
              <w:jc w:val="left"/>
              <w:rPr/>
            </w:pPr>
            <w:r>
              <w:rPr/>
              <w:t>​</w:t>
            </w:r>
          </w:p>
        </w:tc>
        <w:tc>
          <w:tcPr>
            <w:tcW w:w="294" w:type="dxa"/>
            <w:tcBorders>
              <w:bottom w:val="single" w:sz="2" w:space="0" w:color="016836"/>
            </w:tcBorders>
            <w:tcMar>
              <w:bottom w:w="50" w:type="dxa"/>
            </w:tcMar>
            <w:vAlign w:val="center"/>
          </w:tcPr>
          <w:p>
            <w:pPr>
              <w:pStyle w:val="TableContents"/>
              <w:bidi w:val="0"/>
              <w:spacing w:before="0" w:after="283"/>
              <w:jc w:val="right"/>
              <w:rPr/>
            </w:pPr>
            <w:r>
              <w:rPr/>
              <w:t>$</w:t>
            </w:r>
          </w:p>
        </w:tc>
        <w:tc>
          <w:tcPr>
            <w:tcW w:w="1390" w:type="dxa"/>
            <w:tcBorders>
              <w:bottom w:val="single" w:sz="2" w:space="0" w:color="016836"/>
            </w:tcBorders>
            <w:tcMar>
              <w:bottom w:w="50" w:type="dxa"/>
            </w:tcMar>
            <w:vAlign w:val="center"/>
          </w:tcPr>
          <w:p>
            <w:pPr>
              <w:pStyle w:val="TableContents"/>
              <w:bidi w:val="0"/>
              <w:spacing w:before="0" w:after="283"/>
              <w:jc w:val="right"/>
              <w:rPr/>
            </w:pPr>
            <w:r>
              <w:rPr/>
              <w:t xml:space="preserve">106,949 </w:t>
            </w:r>
          </w:p>
        </w:tc>
        <w:tc>
          <w:tcPr>
            <w:tcW w:w="142"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tcMar>
              <w:bottom w:w="50" w:type="dxa"/>
            </w:tcMar>
            <w:vAlign w:val="center"/>
          </w:tcPr>
          <w:p>
            <w:pPr>
              <w:pStyle w:val="TableContents"/>
              <w:bidi w:val="0"/>
              <w:spacing w:before="0" w:after="283"/>
              <w:jc w:val="right"/>
              <w:rPr/>
            </w:pPr>
            <w:r>
              <w:rPr/>
              <w:t xml:space="preserve">500,000 </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6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68"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1,256,250 </w:t>
            </w:r>
          </w:p>
        </w:tc>
        <w:tc>
          <w:tcPr>
            <w:tcW w:w="12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9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74,658 </w:t>
            </w:r>
          </w:p>
        </w:tc>
        <w:tc>
          <w:tcPr>
            <w:tcW w:w="14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1,000,000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16"/>
        </w:rPr>
        <w:t>Equity</w:t>
      </w:r>
      <w:r>
        <w:rPr>
          <w:rFonts w:ascii="Arial;Helvetica;sans-serif" w:hAnsi="Arial;Helvetica;sans-serif"/>
          <w:b w:val="false"/>
          <w:i w:val="false"/>
          <w:caps w:val="false"/>
          <w:smallCaps w:val="false"/>
          <w:color w:val="000000"/>
          <w:sz w:val="16"/>
        </w:rPr>
        <w:t>.   The amounts included in the “Equity” column reflect the aggregate value of unvested LiveRamp RSU Awards and LiveRamp PSU Awards that will either vest and be settled at the Effective Time or that will be canceled and exchanged for restricted cash awards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LiveRamp Equity Awards</w:t>
      </w:r>
      <w:r>
        <w:rPr>
          <w:rFonts w:ascii="Arial;Helvetica;sans-serif" w:hAnsi="Arial;Helvetica;sans-serif"/>
          <w:b w:val="false"/>
          <w:i w:val="false"/>
          <w:caps w:val="false"/>
          <w:smallCaps w:val="false"/>
          <w:color w:val="000000"/>
          <w:sz w:val="16"/>
        </w:rPr>
        <w:t>” beginning on page [  ] of this proxy statement. For purposes of these calculations, the amounts with respect to LiveRamp PSU Awards were determined by assuming achievement of applicable performance metrics (i) in the case of LiveRamp PSU Awards granted on or prior to December 31, 2025 that are subject to “Rule of 40” performance conditions at 128% of the target level of performance (in the case of fiscal year 2025 grants) and at 139% of the target level of performance (in the case of fiscal year 2026 grants), (ii) in the case of LiveRamp PSU Awards granted in fiscal year 2026 that are subject to relative total shareholder return performance conditions, at 114.89% of the target level of performance, and (iii) in the case of all other LiveRamp PSU Awards (whether granted before or after December 31, 2025), at 100%, the target level of performance. The amounts in the “Equity” column attributable to LiveRamp equity awards granted to the applicable named executive officer before May 2026 are single trigger because, pursuant to the Merger Agreement, LiveRamp may provide for the vesting at the Effective Time of all LiveRamp Equity Awards granted to the applicable executive officer prior to the date of the Merger Agreement that are outstanding immediately prior to the Effective Time in exchange for the Merger Consideration, and the amounts attributable to other outstanding LiveRamp equity awards held by the applicable named executive officer are double trigger. Details of the amounts in the “Equity” column are shown in the following supplementary tables: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324">
                <wp:simplePos x="0" y="0"/>
                <wp:positionH relativeFrom="column">
                  <wp:align>left</wp:align>
                </wp:positionH>
                <wp:positionV relativeFrom="line">
                  <wp:align>top</wp:align>
                </wp:positionV>
                <wp:extent cx="254000" cy="254000"/>
                <wp:effectExtent l="0" t="0" r="0" b="0"/>
                <wp:wrapSquare wrapText="right"/>
                <wp:docPr id="285" name="Frame2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8679" w:type="dxa"/>
        <w:jc w:val="left"/>
        <w:tblInd w:w="680" w:type="dxa"/>
        <w:tblLayout w:type="fixed"/>
        <w:tblCellMar>
          <w:top w:w="0" w:type="dxa"/>
          <w:left w:w="0" w:type="dxa"/>
          <w:bottom w:w="0" w:type="dxa"/>
          <w:right w:w="0" w:type="dxa"/>
        </w:tblCellMar>
      </w:tblPr>
      <w:tblGrid>
        <w:gridCol w:w="124"/>
        <w:gridCol w:w="2596"/>
        <w:gridCol w:w="109"/>
        <w:gridCol w:w="109"/>
        <w:gridCol w:w="173"/>
        <w:gridCol w:w="359"/>
        <w:gridCol w:w="1980"/>
        <w:gridCol w:w="173"/>
        <w:gridCol w:w="109"/>
        <w:gridCol w:w="109"/>
        <w:gridCol w:w="161"/>
        <w:gridCol w:w="335"/>
        <w:gridCol w:w="2027"/>
        <w:gridCol w:w="161"/>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85" w:type="dxa"/>
            <w:gridSpan w:val="4"/>
            <w:tcBorders/>
            <w:shd w:fill="000000" w:val="clear"/>
            <w:vAlign w:val="center"/>
          </w:tcPr>
          <w:p>
            <w:pPr>
              <w:pStyle w:val="TableContents"/>
              <w:bidi w:val="0"/>
              <w:spacing w:before="0" w:after="0"/>
              <w:jc w:val="center"/>
              <w:rPr/>
            </w:pPr>
            <w:r>
              <w:rPr/>
              <w:t>Value of LiveRamp RSU</w:t>
              <w:br/>
              <w:t xml:space="preserve">Awards ($) (single trigger)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84" w:type="dxa"/>
            <w:gridSpan w:val="4"/>
            <w:tcBorders/>
            <w:shd w:fill="000000" w:val="clear"/>
            <w:vAlign w:val="center"/>
          </w:tcPr>
          <w:p>
            <w:pPr>
              <w:pStyle w:val="TableContents"/>
              <w:bidi w:val="0"/>
              <w:spacing w:before="0" w:after="0"/>
              <w:jc w:val="center"/>
              <w:rPr/>
            </w:pPr>
            <w:r>
              <w:rPr/>
              <w:t>Value of LiveRamp PSU</w:t>
              <w:br/>
              <w:t xml:space="preserve">Awards ($) (single trigger)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5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8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3,990,294 </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3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27"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14,692,832 </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3" w:type="dxa"/>
            <w:tcBorders>
              <w:bottom w:val="single" w:sz="2" w:space="0" w:color="016836"/>
            </w:tcBorders>
            <w:tcMar>
              <w:bottom w:w="28" w:type="dxa"/>
            </w:tcMar>
            <w:vAlign w:val="center"/>
          </w:tcPr>
          <w:p>
            <w:pPr>
              <w:pStyle w:val="TableContents"/>
              <w:bidi w:val="0"/>
              <w:spacing w:before="0" w:after="283"/>
              <w:jc w:val="left"/>
              <w:rPr/>
            </w:pPr>
            <w:r>
              <w:rPr/>
              <w:t>​</w:t>
            </w:r>
          </w:p>
        </w:tc>
        <w:tc>
          <w:tcPr>
            <w:tcW w:w="359" w:type="dxa"/>
            <w:tcBorders>
              <w:bottom w:val="single" w:sz="2" w:space="0" w:color="016836"/>
            </w:tcBorders>
            <w:tcMar>
              <w:bottom w:w="50" w:type="dxa"/>
            </w:tcMar>
            <w:vAlign w:val="center"/>
          </w:tcPr>
          <w:p>
            <w:pPr>
              <w:pStyle w:val="TableContents"/>
              <w:bidi w:val="0"/>
              <w:spacing w:before="0" w:after="283"/>
              <w:jc w:val="right"/>
              <w:rPr/>
            </w:pPr>
            <w:r>
              <w:rPr/>
              <w:t>$</w:t>
            </w:r>
          </w:p>
        </w:tc>
        <w:tc>
          <w:tcPr>
            <w:tcW w:w="1980" w:type="dxa"/>
            <w:tcBorders>
              <w:bottom w:val="single" w:sz="2" w:space="0" w:color="016836"/>
            </w:tcBorders>
            <w:tcMar>
              <w:bottom w:w="50" w:type="dxa"/>
            </w:tcMar>
            <w:vAlign w:val="center"/>
          </w:tcPr>
          <w:p>
            <w:pPr>
              <w:pStyle w:val="TableContents"/>
              <w:bidi w:val="0"/>
              <w:spacing w:before="0" w:after="283"/>
              <w:jc w:val="right"/>
              <w:rPr/>
            </w:pPr>
            <w:r>
              <w:rPr/>
              <w:t xml:space="preserve">5,656,728 </w:t>
            </w:r>
          </w:p>
        </w:tc>
        <w:tc>
          <w:tcPr>
            <w:tcW w:w="17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c>
          <w:tcPr>
            <w:tcW w:w="335" w:type="dxa"/>
            <w:tcBorders>
              <w:bottom w:val="single" w:sz="2" w:space="0" w:color="016836"/>
            </w:tcBorders>
            <w:tcMar>
              <w:bottom w:w="50" w:type="dxa"/>
            </w:tcMar>
            <w:vAlign w:val="center"/>
          </w:tcPr>
          <w:p>
            <w:pPr>
              <w:pStyle w:val="TableContents"/>
              <w:bidi w:val="0"/>
              <w:spacing w:before="0" w:after="283"/>
              <w:jc w:val="right"/>
              <w:rPr/>
            </w:pPr>
            <w:r>
              <w:rPr/>
              <w:t>$</w:t>
            </w:r>
          </w:p>
        </w:tc>
        <w:tc>
          <w:tcPr>
            <w:tcW w:w="2027" w:type="dxa"/>
            <w:tcBorders>
              <w:bottom w:val="single" w:sz="2" w:space="0" w:color="016836"/>
            </w:tcBorders>
            <w:tcMar>
              <w:bottom w:w="50" w:type="dxa"/>
            </w:tcMar>
            <w:vAlign w:val="center"/>
          </w:tcPr>
          <w:p>
            <w:pPr>
              <w:pStyle w:val="TableContents"/>
              <w:bidi w:val="0"/>
              <w:spacing w:before="0" w:after="283"/>
              <w:jc w:val="right"/>
              <w:rPr/>
            </w:pPr>
            <w:r>
              <w:rPr/>
              <w:t xml:space="preserve">6,645,562 </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5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8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2,690,919 </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3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27"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3,834,215 </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3" w:type="dxa"/>
            <w:tcBorders>
              <w:bottom w:val="single" w:sz="2" w:space="0" w:color="016836"/>
            </w:tcBorders>
            <w:tcMar>
              <w:bottom w:w="28" w:type="dxa"/>
            </w:tcMar>
            <w:vAlign w:val="center"/>
          </w:tcPr>
          <w:p>
            <w:pPr>
              <w:pStyle w:val="TableContents"/>
              <w:bidi w:val="0"/>
              <w:spacing w:before="0" w:after="283"/>
              <w:jc w:val="left"/>
              <w:rPr/>
            </w:pPr>
            <w:r>
              <w:rPr/>
              <w:t>​</w:t>
            </w:r>
          </w:p>
        </w:tc>
        <w:tc>
          <w:tcPr>
            <w:tcW w:w="359" w:type="dxa"/>
            <w:tcBorders>
              <w:bottom w:val="single" w:sz="2" w:space="0" w:color="016836"/>
            </w:tcBorders>
            <w:tcMar>
              <w:bottom w:w="50" w:type="dxa"/>
            </w:tcMar>
            <w:vAlign w:val="center"/>
          </w:tcPr>
          <w:p>
            <w:pPr>
              <w:pStyle w:val="TableContents"/>
              <w:bidi w:val="0"/>
              <w:spacing w:before="0" w:after="283"/>
              <w:jc w:val="right"/>
              <w:rPr/>
            </w:pPr>
            <w:r>
              <w:rPr/>
              <w:t>$</w:t>
            </w:r>
          </w:p>
        </w:tc>
        <w:tc>
          <w:tcPr>
            <w:tcW w:w="1980" w:type="dxa"/>
            <w:tcBorders>
              <w:bottom w:val="single" w:sz="2" w:space="0" w:color="016836"/>
            </w:tcBorders>
            <w:tcMar>
              <w:bottom w:w="50" w:type="dxa"/>
            </w:tcMar>
            <w:vAlign w:val="center"/>
          </w:tcPr>
          <w:p>
            <w:pPr>
              <w:pStyle w:val="TableContents"/>
              <w:bidi w:val="0"/>
              <w:spacing w:before="0" w:after="283"/>
              <w:jc w:val="right"/>
              <w:rPr/>
            </w:pPr>
            <w:r>
              <w:rPr/>
              <w:t xml:space="preserve">2,989,448 </w:t>
            </w:r>
          </w:p>
        </w:tc>
        <w:tc>
          <w:tcPr>
            <w:tcW w:w="17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c>
          <w:tcPr>
            <w:tcW w:w="335" w:type="dxa"/>
            <w:tcBorders>
              <w:bottom w:val="single" w:sz="2" w:space="0" w:color="016836"/>
            </w:tcBorders>
            <w:tcMar>
              <w:bottom w:w="50" w:type="dxa"/>
            </w:tcMar>
            <w:vAlign w:val="center"/>
          </w:tcPr>
          <w:p>
            <w:pPr>
              <w:pStyle w:val="TableContents"/>
              <w:bidi w:val="0"/>
              <w:spacing w:before="0" w:after="283"/>
              <w:jc w:val="right"/>
              <w:rPr/>
            </w:pPr>
            <w:r>
              <w:rPr/>
              <w:t>$</w:t>
            </w:r>
          </w:p>
        </w:tc>
        <w:tc>
          <w:tcPr>
            <w:tcW w:w="2027" w:type="dxa"/>
            <w:tcBorders>
              <w:bottom w:val="single" w:sz="2" w:space="0" w:color="016836"/>
            </w:tcBorders>
            <w:tcMar>
              <w:bottom w:w="50" w:type="dxa"/>
            </w:tcMar>
            <w:vAlign w:val="center"/>
          </w:tcPr>
          <w:p>
            <w:pPr>
              <w:pStyle w:val="TableContents"/>
              <w:bidi w:val="0"/>
              <w:spacing w:before="0" w:after="283"/>
              <w:jc w:val="right"/>
              <w:rPr/>
            </w:pPr>
            <w:r>
              <w:rPr/>
              <w:t xml:space="preserve">3,980,015 </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5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80"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955,878 </w:t>
            </w:r>
          </w:p>
        </w:tc>
        <w:tc>
          <w:tcPr>
            <w:tcW w:w="17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3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27" w:type="dxa"/>
            <w:tcBorders>
              <w:bottom w:val="single" w:sz="2" w:space="0" w:color="016836"/>
            </w:tcBorders>
            <w:shd w:fill="D8D8D8" w:val="clear"/>
            <w:tcMar>
              <w:bottom w:w="50" w:type="dxa"/>
            </w:tcMar>
            <w:vAlign w:val="center"/>
          </w:tcPr>
          <w:p>
            <w:pPr>
              <w:pStyle w:val="TableContents"/>
              <w:bidi w:val="0"/>
              <w:spacing w:before="0" w:after="283"/>
              <w:jc w:val="right"/>
              <w:rPr/>
            </w:pPr>
            <w:r>
              <w:rPr/>
              <w:t>2,334,563</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tbl>
      <w:tblPr>
        <w:tblW w:w="8860" w:type="dxa"/>
        <w:jc w:val="left"/>
        <w:tblInd w:w="680" w:type="dxa"/>
        <w:tblLayout w:type="fixed"/>
        <w:tblCellMar>
          <w:top w:w="0" w:type="dxa"/>
          <w:left w:w="0" w:type="dxa"/>
          <w:bottom w:w="0" w:type="dxa"/>
          <w:right w:w="0" w:type="dxa"/>
        </w:tblCellMar>
      </w:tblPr>
      <w:tblGrid>
        <w:gridCol w:w="124"/>
        <w:gridCol w:w="2596"/>
        <w:gridCol w:w="109"/>
        <w:gridCol w:w="109"/>
        <w:gridCol w:w="179"/>
        <w:gridCol w:w="371"/>
        <w:gridCol w:w="2046"/>
        <w:gridCol w:w="179"/>
        <w:gridCol w:w="109"/>
        <w:gridCol w:w="109"/>
        <w:gridCol w:w="179"/>
        <w:gridCol w:w="371"/>
        <w:gridCol w:w="2046"/>
        <w:gridCol w:w="179"/>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75" w:type="dxa"/>
            <w:gridSpan w:val="4"/>
            <w:tcBorders/>
            <w:shd w:fill="000000" w:val="clear"/>
            <w:vAlign w:val="center"/>
          </w:tcPr>
          <w:p>
            <w:pPr>
              <w:pStyle w:val="TableContents"/>
              <w:bidi w:val="0"/>
              <w:spacing w:before="0" w:after="0"/>
              <w:jc w:val="center"/>
              <w:rPr/>
            </w:pPr>
            <w:r>
              <w:rPr/>
              <w:t>Value of LiveRamp RSU</w:t>
              <w:br/>
              <w:t xml:space="preserve">Awards ($) (double trigger)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75" w:type="dxa"/>
            <w:gridSpan w:val="4"/>
            <w:tcBorders/>
            <w:shd w:fill="000000" w:val="clear"/>
            <w:vAlign w:val="center"/>
          </w:tcPr>
          <w:p>
            <w:pPr>
              <w:pStyle w:val="TableContents"/>
              <w:bidi w:val="0"/>
              <w:spacing w:before="0" w:after="0"/>
              <w:jc w:val="center"/>
              <w:rPr/>
            </w:pPr>
            <w:r>
              <w:rPr/>
              <w:t>Value of LiveRamp PSU</w:t>
              <w:br/>
              <w:t xml:space="preserve">Awards ($) (double trigger)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3,399,974 </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 xml:space="preserve">5,099,980 </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tcMar>
              <w:bottom w:w="50" w:type="dxa"/>
            </w:tcMar>
            <w:vAlign w:val="center"/>
          </w:tcPr>
          <w:p>
            <w:pPr>
              <w:pStyle w:val="TableContents"/>
              <w:bidi w:val="0"/>
              <w:spacing w:before="0" w:after="283"/>
              <w:jc w:val="right"/>
              <w:rPr/>
            </w:pPr>
            <w:r>
              <w:rPr/>
              <w:t xml:space="preserve">2,249,979 </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tcMar>
              <w:bottom w:w="50" w:type="dxa"/>
            </w:tcMar>
            <w:vAlign w:val="center"/>
          </w:tcPr>
          <w:p>
            <w:pPr>
              <w:pStyle w:val="TableContents"/>
              <w:bidi w:val="0"/>
              <w:spacing w:before="0" w:after="283"/>
              <w:jc w:val="right"/>
              <w:rPr/>
            </w:pPr>
            <w:r>
              <w:rPr/>
              <w:t xml:space="preserve">2,249,979 </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1,499,999 </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1,499,960 </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tcMar>
              <w:bottom w:w="50" w:type="dxa"/>
            </w:tcMar>
            <w:vAlign w:val="center"/>
          </w:tcPr>
          <w:p>
            <w:pPr>
              <w:pStyle w:val="TableContents"/>
              <w:bidi w:val="0"/>
              <w:spacing w:before="0" w:after="283"/>
              <w:jc w:val="right"/>
              <w:rPr/>
            </w:pPr>
            <w:r>
              <w:rPr/>
              <w:t xml:space="preserve">1,249,980 </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tcMar>
              <w:bottom w:w="50" w:type="dxa"/>
            </w:tcMar>
            <w:vAlign w:val="center"/>
          </w:tcPr>
          <w:p>
            <w:pPr>
              <w:pStyle w:val="TableContents"/>
              <w:bidi w:val="0"/>
              <w:spacing w:before="0" w:after="283"/>
              <w:jc w:val="right"/>
              <w:rPr/>
            </w:pPr>
            <w:r>
              <w:rPr/>
              <w:t xml:space="preserve">1,249,980 </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744,128 </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46" w:type="dxa"/>
            <w:tcBorders>
              <w:bottom w:val="single" w:sz="2" w:space="0" w:color="016836"/>
            </w:tcBorders>
            <w:shd w:fill="D8D8D8" w:val="clear"/>
            <w:tcMar>
              <w:bottom w:w="50" w:type="dxa"/>
            </w:tcMar>
            <w:vAlign w:val="center"/>
          </w:tcPr>
          <w:p>
            <w:pPr>
              <w:pStyle w:val="TableContents"/>
              <w:bidi w:val="0"/>
              <w:spacing w:before="0" w:after="283"/>
              <w:jc w:val="right"/>
              <w:rPr/>
            </w:pPr>
            <w:r>
              <w:rPr/>
              <w:t>774,928</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16"/>
        </w:rPr>
        <w:t>Perquisites/Benefits</w:t>
      </w:r>
      <w:r>
        <w:rPr>
          <w:rFonts w:ascii="Arial;Helvetica;sans-serif" w:hAnsi="Arial;Helvetica;sans-serif"/>
          <w:b w:val="false"/>
          <w:i w:val="false"/>
          <w:caps w:val="false"/>
          <w:smallCaps w:val="false"/>
          <w:color w:val="000000"/>
          <w:sz w:val="16"/>
        </w:rPr>
        <w:t>.   The amounts in the “Perquisites/Benefits” column represent, for each named executive officer other than Mr. Howe and Mr. Sharma, the estimated cost of 18 months of continuation coverage under COBRA, pursuant to the terms of the Executive Severance Policy,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Executive Officer Severance Policy</w:t>
      </w:r>
      <w:r>
        <w:rPr>
          <w:rFonts w:ascii="Arial;Helvetica;sans-serif" w:hAnsi="Arial;Helvetica;sans-serif"/>
          <w:b w:val="false"/>
          <w:i w:val="false"/>
          <w:caps w:val="false"/>
          <w:smallCaps w:val="false"/>
          <w:color w:val="000000"/>
          <w:sz w:val="16"/>
        </w:rPr>
        <w:t>,” beginning on page [  ] of this proxy statement. The payment of amounts for continued coverage under COBRA are double trigger payments.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325">
                <wp:simplePos x="0" y="0"/>
                <wp:positionH relativeFrom="column">
                  <wp:align>left</wp:align>
                </wp:positionH>
                <wp:positionV relativeFrom="line">
                  <wp:align>top</wp:align>
                </wp:positionV>
                <wp:extent cx="254000" cy="254000"/>
                <wp:effectExtent l="0" t="0" r="0" b="0"/>
                <wp:wrapSquare wrapText="right"/>
                <wp:docPr id="286" name="Frame2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FOTM"/>
      <w:bookmarkEnd w:id="55"/>
      <w:r>
        <w:rPr>
          <w:rFonts w:ascii="calibri;arial;sans-serif" w:hAnsi="calibri;arial;sans-serif"/>
          <w:b w:val="false"/>
          <w:i w:val="false"/>
          <w:caps w:val="false"/>
          <w:smallCaps w:val="false"/>
          <w:color w:val="000000"/>
          <w:sz w:val="16"/>
        </w:rPr>
        <w:t>​</w:t>
      </w:r>
      <w:bookmarkStart w:id="56" w:name="tCAET"/>
      <w:bookmarkEnd w:id="56"/>
      <w:r>
        <w:rPr>
          <w:rFonts w:ascii="calibri;arial;sans-serif" w:hAnsi="calibri;arial;sans-serif"/>
          <w:b w:val="false"/>
          <w:i w:val="false"/>
          <w:caps w:val="false"/>
          <w:smallCaps w:val="false"/>
          <w:color w:val="000000"/>
          <w:sz w:val="16"/>
        </w:rPr>
        <w:t>​</w:t>
      </w:r>
      <w:bookmarkStart w:id="57" w:name="tRAAC"/>
      <w:bookmarkEnd w:id="57"/>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Financing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Closing is not subject to a financing condition. Parent has represented in the Merger Agreement that it has, and will have at the Closing, access to cash sufficient to pay the aggregate Merger Consideration and consummate the Transactions, and to perform all of its other obligations under the Merger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Closing and Effective Time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Closing will take place on the third (3rd) business day following the satisfaction or, to the extent permitted by applicable law, waiver of the closing conditions (described in the section entitled “</w:t>
      </w:r>
      <w:r>
        <w:rPr>
          <w:rFonts w:ascii="Arial;Helvetica;sans-serif" w:hAnsi="Arial;Helvetica;sans-serif"/>
          <w:b w:val="false"/>
          <w:i/>
          <w:caps w:val="false"/>
          <w:smallCaps w:val="false"/>
          <w:color w:val="000000"/>
          <w:sz w:val="20"/>
        </w:rPr>
        <w:t>The Merger Agreement — Conditions to the Completion of the Merger</w:t>
      </w:r>
      <w:r>
        <w:rPr>
          <w:rFonts w:ascii="Arial;Helvetica;sans-serif" w:hAnsi="Arial;Helvetica;sans-serif"/>
          <w:b w:val="false"/>
          <w:i w:val="false"/>
          <w:caps w:val="false"/>
          <w:smallCaps w:val="false"/>
          <w:color w:val="000000"/>
          <w:sz w:val="20"/>
        </w:rPr>
        <w:t>”) (other than those conditions that by their nature are to be satisfied at the Closing, but subject to the satisfaction or, to the extent permitted by applicable law, waiver of those conditions at the Closing) or at such other date, time or place as LiveRamp and Parent may agree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Assuming timely receipt of required regulatory approvals and clearances and satisfaction of other closing conditions, including obtaining the Requisite LiveRamp Stockholder Approval, we currently expect the Closing to occur by December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on the Closing Date, the parties will file a certificate of merger with respect to the Merger (the “Certificate of Merger”) with the Secretary of State of the State of Delaware, as provided under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will become effective upon the filing and acceptance of the Certificate of Merger with the Secretary of State of the State of Delaware (or at such later time as LiveRamp and Parent may agree in writing and specify in the Certificate of Merger in accordance with the relevant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the completion of the Merger, Common Stock will be delisted from the NYSE and will be deregistered under the Exchange Act, and LiveRamp will cease to be a public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Regulatory Approvals and Clearances Required for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Before the Merger may be completed, the parties are required to use reasonable best efforts to obtain the regulatory clearances, consents and approvals necessary or advisable to consummate the Merger and the other Transactions, including (i) the expiration or termination of the applicable waiting periods (and any extensions thereof) under the HSR Act and, if applicable, any agreements or commitments with a government entity, including the DOJ or the FTC relating to any agreements or commitments not to consummate the Transactions must have expired or been terminated, (ii) certain non-U.S. antitrust and FDI approvals, consents or clearances with respect to the Merger under certain other applicable antitrust laws and FDI laws of jurisdictions specified in the LiveRamp Disclosure Letter must have been obtained and (iii) the CFIUS Approval (as defined in the Merger Agreement) must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approvals that are granted may impose terms and conditions, limitations, obligations or costs, or place restrictions on Parent’s or Publicis’s conduct in operating the business following the Closing or require changes to the terms of the Merger Agreement. There can be no assurance that any such conditions, terms, obligations or restrictions will not result in the delay or abandonment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11, 2026, Publicis and LiveRamp filed their respective Premerger Notification and Report Forms in connection with the Merger with the DOJ and the FTC.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Under the Merger Agreement, LiveRamp and Parent have each agreed to use their respective reasonable best efforts to take, or cause to be taken, all actions necessary, proper or advisable on its part under the Merger Agreement and applicable laws to consummate the Transactions, including the Merger, as soon as practicable. These efforts include obtaining the required HSR, CFIUS and non-U.S. antitrust and FDI clearances and approvals. In furtherance of those efforts, each party has agreed, among other things, (i) to make the required notification and report form filing under the HSR Act within 20 business days after the execution date of the Merger Agreement, (ii) to make the required initial or draft filings under applicable non-U.S. antitrust laws and FDI laws within 25 business days after the execution date of the Merger Agreement, and (iii) to make the draft and final filings required in connection with the CFIUS Approval, which draft filing shall be made within thirty (30) business days after the execution date of the Merger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MUFI"/>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Agreement, unless otherwise agreed in writing, and provide information requested by CFIUS or any other applicable governmental entity in connection with the CFIUS review or investigation of the Transactions or other FDI filings.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limitations described below, each party has also agreed to use its reasonable best efforts to take or agree to take actions necessary to satisfy the regulatory closing conditions that relate to antitrust laws, including, selling, licensing, assigning, transferring, divesting, holding separate or otherwise disposing of assets, businesses or portions of businesses; changing, restricting or otherwise agreeing to limitations on the conduct, operation or investment in such assets or businesses; or accepting restrictions, requirements or limitations on the operation of such businesses except to the extent such actions would reasonably be expected to have, individually or in the aggregate, a material adverse effect on the business, assets, financial condition or results of operations of LiveRamp and its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CFIUS Approval and other FDI approvals, Parent and its affiliates are required to take any and all actions necessary to obtain the CFIUS Approval and any other consent, authorization or approval required under other applicable FDI laws, including by providing all such assurances and agreeing to all such conditions, limitations and restrictions as may be necessary to address national security or other concerns identified by CFIUS or such other applicable governmental entity (including by entering into a mitigation agreement, national security agreement or similar arrangement). However, neither Parent nor any of its affiliates is required to agree to any mitigation measure, condition, restriction or undertaking that would reasonably be expected to (i) require LiveRamp or any Company Subsidiary to operate as a U.S. direct or indirect subsidiary of Parent that is organized, structured and financed to be capable of operating as a viable business entity independent from Parent for longer than an interim, temporary basis, (ii) involve restrictions on, or require the divestiture of, material assets or material businesses of Parent or its affiliates (excluding LiveRamp and the Company Subsidiaries) that do not relate to the Transactions, or (iii) materially limit ordinary course and customary sharing or use of data among LiveRamp, Parent and Parent’s affiliates, or restrict Parent’s ability to substantially integrate the businesses and operations of LiveRamp and its Subsidiaries with those of Parent and its affiliates, in each case except to the extent reasonably necessary to address national security concerns with respect to identified categories of sensitive data and subject to the carve-outs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terms and conditions of the Merger Agreement, Parent controls the ultimate strategy for securing approvals and the expiration of relevant waiting periods under the antitrust laws and FDI laws; provided that Parent must consult with LiveRamp and consider LiveRamp’s views in good faith. In addition, unless the Merger Agreement has been terminated in accordance with its terms, LiveRamp may not (and must cause the Company Subsidiaries not to), without the prior written consent of Parent, (A) withdraw its filing under the HSR Act or (B) offer, negotiate or enter into any commitment or agreement, including any timing agreement, with the DOJ, the FTC or other governmental entity to delay the consummation of, or not to close before a certain date,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The Merger Agreement — Regulatory Filings and Efforts to Consummate</w:t>
      </w:r>
      <w:r>
        <w:rPr>
          <w:rFonts w:ascii="Arial;Helvetica;sans-serif" w:hAnsi="Arial;Helvetica;sans-serif"/>
          <w:b w:val="false"/>
          <w:i w:val="false"/>
          <w:caps w:val="false"/>
          <w:smallCaps w:val="false"/>
          <w:color w:val="000000"/>
          <w:sz w:val="20"/>
        </w:rPr>
        <w:t>” for a description of the parties’ obligations with respect to regulatory approvals related to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Material U.S. Federal Income Tax Consequences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DADO"/>
      <w:bookmarkEnd w:id="59"/>
      <w:r>
        <w:rPr>
          <w:rFonts w:ascii="calibri;arial;sans-serif" w:hAnsi="calibri;arial;sans-serif"/>
          <w:b w:val="false"/>
          <w:i w:val="false"/>
          <w:caps w:val="false"/>
          <w:smallCaps w:val="false"/>
          <w:color w:val="000000"/>
          <w:sz w:val="16"/>
        </w:rPr>
        <w:t>​</w:t>
      </w:r>
      <w:bookmarkStart w:id="60" w:name="tVRTA"/>
      <w:bookmarkEnd w:id="60"/>
      <w:r>
        <w:rPr>
          <w:rFonts w:ascii="calibri;arial;sans-serif" w:hAnsi="calibri;arial;sans-serif"/>
          <w:b w:val="false"/>
          <w:i w:val="false"/>
          <w:caps w:val="false"/>
          <w:smallCaps w:val="false"/>
          <w:color w:val="000000"/>
          <w:sz w:val="16"/>
        </w:rPr>
        <w:t>​</w:t>
      </w:r>
      <w:bookmarkStart w:id="61" w:name="tROTBO"/>
      <w:bookmarkEnd w:id="61"/>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and consult your tax advisor regarding the particular tax consequences of the Merger to you, including any tax consequences arising under any U.S. federal non-income tax laws or the laws of any state, local or foreign taxing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Delisting and Deregistration of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completion of the Merger, Common Stock currently listed on the NYSE will cease to be listed on the NYSE and will subsequently be deregistered under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Vote Required to Approve the Merger Agreement Proposal</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against approval of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[    ] shares of Common Stock (or about [    ]%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a vote “FOR” the Merger Agreement Proposal.</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TMA"/>
      <w:bookmarkEnd w:id="62"/>
      <w:r>
        <w:rPr>
          <w:rFonts w:ascii="calibri;arial;sans-serif" w:hAnsi="calibri;arial;sans-serif"/>
          <w:b w:val="false"/>
          <w:i w:val="false"/>
          <w:caps w:val="false"/>
          <w:smallCaps w:val="false"/>
          <w:color w:val="000000"/>
          <w:sz w:val="16"/>
        </w:rPr>
        <w:t>​</w:t>
      </w:r>
      <w:bookmarkStart w:id="63" w:name="tENRT"/>
      <w:bookmarkEnd w:id="63"/>
      <w:r>
        <w:rPr>
          <w:rFonts w:ascii="calibri;arial;sans-serif" w:hAnsi="calibri;arial;sans-serif"/>
          <w:b w:val="false"/>
          <w:i w:val="false"/>
          <w:caps w:val="false"/>
          <w:smallCaps w:val="false"/>
          <w:color w:val="000000"/>
          <w:sz w:val="16"/>
        </w:rPr>
        <w:t>​</w:t>
      </w:r>
      <w:bookmarkStart w:id="64" w:name="tSOTM"/>
      <w:bookmarkEnd w:id="64"/>
      <w:r>
        <w:rPr>
          <w:rFonts w:ascii="calibri;arial;sans-serif" w:hAnsi="calibri;arial;sans-serif"/>
          <w:b w:val="false"/>
          <w:i w:val="false"/>
          <w:caps w:val="false"/>
          <w:smallCaps w:val="false"/>
          <w:color w:val="000000"/>
          <w:sz w:val="16"/>
        </w:rPr>
        <w:t>​</w:t>
      </w:r>
      <w:bookmarkStart w:id="65" w:name="tCAET1"/>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The Merger Agreement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The following is a summary of the material terms and conditions of the Merger Agreement. The rights and obligations of the parties to the Merger Agreement are governed by the express terms and conditions of the Merger Agreement and not by this discussion, which is summary by nature. This summary does not purport to be complete and may not contain all of the information about the Merger Agreement that is important to you. This summary is qualified in its entirety by reference to the complete text of the Merger Agreement, a copy of which is attached to this proxy statement as </w:t>
      </w:r>
      <w:r>
        <w:rPr>
          <w:rFonts w:ascii="Arial;Helvetica;sans-serif" w:hAnsi="Arial;Helvetica;sans-serif"/>
          <w:b/>
          <w:i/>
          <w:caps w:val="false"/>
          <w:smallCaps w:val="false"/>
          <w:color w:val="000000"/>
          <w:sz w:val="20"/>
        </w:rPr>
        <w:t>Annex A</w:t>
      </w:r>
      <w:r>
        <w:rPr>
          <w:rFonts w:ascii="Arial;Helvetica;sans-serif" w:hAnsi="Arial;Helvetica;sans-serif"/>
          <w:b w:val="false"/>
          <w:i/>
          <w:caps w:val="false"/>
          <w:smallCaps w:val="false"/>
          <w:color w:val="000000"/>
          <w:sz w:val="20"/>
        </w:rPr>
        <w:t xml:space="preserve"> and which is incorporated by reference into this proxy statement. We encourage you to read the Merger Agreement carefully and in its entirety, as well as this proxy statement and any documents incorporated by reference herein, before making any decisions regarding the Merger. Additional information can be found elsewhere in this proxy statement and in the public filings we make with the SEC, as described in the section entitled “Where You Can Find More Information”.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Explanatory Note Regarding the Merger Agreement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and this summary of its terms have been included to provide you with information regarding the terms of the Merger Agreement and are not intended to provide any factual information about LiveRamp, Publicis, Parent or Merger Sub or to modify or supplement any factual disclosures about LiveRamp, Publicis, Parent or Merger Sub contained in this proxy statement or in LiveRamp’s public reports filed with the SEC. In particular, the Merger Agreement and this summary are not intended to be, and should not be relied upon as, disclosures regarding the actual state of any facts and circumstances relating to LiveRamp, Publicis, Parent or Merger Sub. The Merger Agreement contains representations and warranties by and covenants of LiveRamp, Publicis, Parent and Merger Sub that were made only for purposes of the Merger Agreement and as of specified dates. The representations, warranties and covenants in the Merger Agreement were made solely for the benefit of the parties to the Merger Agreement, were qualified and subject to important limitations in connection with negotiating the terms of the Merger Agreement (including by being qualified by confidential disclosure letters exchanged between the parties to the Merger Agreement) and may be subject to a contractual standard of materiality that may differ from what may be viewed as material by investors. In particular, in your review of the representations and warranties contained in the Merger Agreement and described in this summary, it is important to bear in mind that the representations and warranties were negotiated with the principal purpose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rather than establishing matters as facts. Information concerning the subject matter of the representations and warranties, which do not purport to be accurate as of the date of this proxy statement, may have changed since the date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 information about LiveRamp may be found elsewhere in this proxy statement and LiveRamp’s other public filings. See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Structure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terms and conditions of the Merger Agreement and in accordance with the DGCL, (a) at the Effective Time, Merger Sub will be merged with and into LiveRamp and the separate corporate existence of Merger Sub will thereupon cease, (b) LiveRamp will be the Surviving Company and, from and after the Effective Time, will be a wholly owned direct subsidiary of Parent and the separate corporate existence of LiveRamp will continue unaffected by the Merger, and (c) the Merger will have such other effects as set forth in the Merger Agreement and in the applicable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Closing and Effective Time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Closing will take place on the third (3rd) business day following the satisfaction or, to the extent permitted by applicable law, waiver of the closing conditions set forth in the Merger Agreement (described in the section entitled “</w:t>
      </w:r>
      <w:r>
        <w:rPr>
          <w:rFonts w:ascii="Arial;Helvetica;sans-serif" w:hAnsi="Arial;Helvetica;sans-serif"/>
          <w:b w:val="false"/>
          <w:i/>
          <w:caps w:val="false"/>
          <w:smallCaps w:val="false"/>
          <w:color w:val="000000"/>
          <w:sz w:val="20"/>
        </w:rPr>
        <w:t>The Merger Agreement — Conditions to the Completion of the Merger</w:t>
      </w:r>
      <w:r>
        <w:rPr>
          <w:rFonts w:ascii="Arial;Helvetica;sans-serif" w:hAnsi="Arial;Helvetica;sans-serif"/>
          <w:b w:val="false"/>
          <w:i w:val="false"/>
          <w:caps w:val="false"/>
          <w:smallCaps w:val="false"/>
          <w:color w:val="000000"/>
          <w:sz w:val="20"/>
        </w:rPr>
        <w:t>”) (other than those conditions that by their nature are to be satisfied at the Closing, but subject to the satisfaction or, to the extent permitted by applicable law, waiver of those conditions at the Closing) or at such other date, time or place as LiveRamp and Parent may agree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COIB"/>
      <w:bookmarkEnd w:id="66"/>
      <w:r>
        <w:rPr>
          <w:rFonts w:ascii="calibri;arial;sans-serif" w:hAnsi="calibri;arial;sans-serif"/>
          <w:b w:val="false"/>
          <w:i w:val="false"/>
          <w:caps w:val="false"/>
          <w:smallCaps w:val="false"/>
          <w:color w:val="000000"/>
          <w:sz w:val="16"/>
        </w:rPr>
        <w:t>​</w:t>
      </w:r>
      <w:bookmarkStart w:id="67" w:name="tTOCS"/>
      <w:bookmarkEnd w:id="67"/>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Assuming the timely receipt of required regulatory approvals and the satisfaction of other closing conditions, including obtaining the Requisite LiveRamp Stockholder Approval, we currently expect the closing to occur by December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Closing Date, the parties will cause the Certificate of Merger to be duly executed and filed with the Secretary of State of the State of Delaware as provided in Section 251 of the DGCL and the parties will deliver and tender any other filings, recordings or publications required to be made by LiveRamp or Merger Sub under the DGCL in connection with the Merger. The Merger will become effective at the time the Certificate of Merger is filed with and accepted by the Secretary of State of the State of Delaware or at such later time agreed to by Parent and LiveRamp and specified in the Certificate of Merger, which we refer to as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the Effective Time, LiveRamp and, following the Effective Time, Parent and the Surviving Company, will cooperate in taking, or causing to be taken, all actions reasonably necessary to cause Common Stock to be delisted from the NYSE and deregistered under the Exchange Act as soon as reasonably practicable following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Certificate of Incorporation; Bylaws; Directors and Officers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the Amended and Restated Certificate of Incorporation, as amended (the “Certificate of Incorporation”) and the Bylaws of LiveRamp as in effect immediately prior to the Effective Time will be amended and restated in its entirety as of the Effective Time to be in the form set forth in Annex A and Annex B to the Merger Agreement, respectively, and as so amended and restated will be the certificate of incorporation and bylaws of the Surviving Company, respectively, until thereafter duly amended, restated or amended and restated as provided therein or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directors of Merger Sub immediately prior to the Effective Time will, from and after the Effective Time, be the directors of the Surviving Company, each to hold office until such person’s successor has been duly elected or appointed and qualified or until such person’s earlier death, resignation or removal pursuant to the certificate of incorporation, the bylaws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determined by Parent prior to the Effective Time, the officers of Merger Sub immediately prior to the Effective Time will, from and after the Effective Time, be the officers of the Surviving Company, each to hold office until such person’s successor has been duly elected or appointed and qualified or until such person’s earlier death, resignation or removal pursuant to the certificate of incorporation, the bylaws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Treatment of Common Stock and Equity Awards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Common Stock.</w:t>
      </w:r>
      <w:r>
        <w:rPr>
          <w:rFonts w:ascii="Arial;Helvetica;sans-serif" w:hAnsi="Arial;Helvetica;sans-serif"/>
          <w:b w:val="false"/>
          <w:i w:val="false"/>
          <w:caps w:val="false"/>
          <w:smallCaps w:val="false"/>
          <w:color w:val="000000"/>
          <w:sz w:val="20"/>
        </w:rPr>
        <w:t> At the Effective Time, each share of Common Stock issued and outstanding immediately prior to the Effective Time (other than any (i) Common Stock owned by stockholders that have properly perfected their rights of appraisal within the meaning of Section 262 of the DGCL (the “Dissenting Shares”); (ii) Common Stock owned or held in treasury by LiveRamp or owned by Parent or Merger Sub (the “Cancelled Shares”); and (iii) Common Stock issued and outstanding immediately prior to the Effective Time that is owned by any direct or indirect wholly owned subsidiary of Parent (other than Merger Sub) or of LiveRamp (the “Converted Shares”)) will be converted, in accordance with the procedures set forth in the Merger Agreement, into the right to receive the Merger Consideration. From and after the Effective Time, all such shares of Common Stock will no longer be outstanding and will automatically be cancelled and cease to exist, and each applicable holder of such Common Stock will cease to have any rights with respect to such Common Stock, except the right to receive the Merger Consideration upon surrendering such shares of Common Stock. At the Effective Time, (i) each Cancelled Share will automatically be cancelled and retired and will cease to exist, and no consideration will be delivered in the Merger with respect to such Cancelled Shares; (ii) each Converted Share will be converted into such number of shares of common stock of the Surviving Company, such that the ownership percentage of any such subsidiary in the Surviving Company will equal the ownership percentage of such subsidiary in LiveRamp immediately prior to the Effective Time; and (iii) holders of each Dissenting Share will be entitled to payment of the appraised value of such Dissenting Share in accordance with Section 262 of the DGCL, as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APP"/>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Options.</w:t>
      </w:r>
      <w:r>
        <w:rPr>
          <w:rFonts w:ascii="Arial;Helvetica;sans-serif" w:hAnsi="Arial;Helvetica;sans-serif"/>
          <w:b w:val="false"/>
          <w:i w:val="false"/>
          <w:caps w:val="false"/>
          <w:smallCaps w:val="false"/>
          <w:color w:val="000000"/>
          <w:sz w:val="20"/>
        </w:rPr>
        <w:t> At the Effective Time,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Restricted Stock Awards.</w:t>
      </w:r>
      <w:r>
        <w:rPr>
          <w:rFonts w:ascii="Arial;Helvetica;sans-serif" w:hAnsi="Arial;Helvetica;sans-serif"/>
          <w:b w:val="false"/>
          <w:i w:val="false"/>
          <w:caps w:val="false"/>
          <w:smallCaps w:val="false"/>
          <w:color w:val="000000"/>
          <w:sz w:val="20"/>
        </w:rPr>
        <w:t> At the Effective Time,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RSU Awards and LiveRamp PSU Awards.</w:t>
      </w:r>
      <w:r>
        <w:rPr>
          <w:rFonts w:ascii="Arial;Helvetica;sans-serif" w:hAnsi="Arial;Helvetica;sans-serif"/>
          <w:b w:val="false"/>
          <w:i w:val="false"/>
          <w:caps w:val="false"/>
          <w:smallCaps w:val="false"/>
          <w:color w:val="000000"/>
          <w:sz w:val="20"/>
        </w:rPr>
        <w:t> At the Effective Time,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Surrendering and Payment Procedures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will designate a United States bank, trust company or other independent financial institution in the United States that is reasonably acceptable to LiveRamp to act as the paying agent in connection with the Merger (the “Paying Agent”) and to receive the funds to which holders of the Eligible Shares will become entitled in accordance with the Merger. Prior to the Effective Time, Parent will deposit, or cause to be deposited, with the Paying Agent, cash in immediately available funds in an amount sufficient to pay the aggregate Merger Consideration ( the “Payment Fund”) for the sole benefit of the holders of Common Stock. If the Payment Fund is insufficient to pay the Merger Consideration, Parent will promptly deposit, or cause to be deposited, additional funds with the Paying Agent in an amount equal to the shortfall that is required to make the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Common Stock Certificates.</w:t>
      </w:r>
      <w:r>
        <w:rPr>
          <w:rFonts w:ascii="Arial;Helvetica;sans-serif" w:hAnsi="Arial;Helvetica;sans-serif"/>
          <w:b w:val="false"/>
          <w:i w:val="false"/>
          <w:caps w:val="false"/>
          <w:smallCaps w:val="false"/>
          <w:color w:val="000000"/>
          <w:sz w:val="20"/>
        </w:rPr>
        <w:t> Promptly after the Effective Time, Parent will cause the Paying Agent to mail each holder of record of a certificate or certificates that, immediately prior to the Effective Time, represented any Eligible Shares (“Certificates”):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letter of transmittal specifying that delivery will be effected and the risk of loss and title to the Certificates will pass only upon the delivery of the Certificates (or affidavits of loss in lieu of the Certificates, and if required by Parent, an indemnity bond) to the Paying Agent (the “Letter of Transmittal”);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instructions for effecting the surrender of the Certificates (or affidavits of loss in lieu of the Certificates, and if required by Parent, an indemnity bond) for cancellation to the Paying Agent or to another agent as appointed by Parent in exchange for payment of the Merger Consideration with respect of such Certificates.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holder of such Certificate will, upon surrender of a Certificate for cancellation to the Paying Agent or to another agent as appointed by Parent with a completed and validly executed Letter of Transmittal in accordance with the instructions provided and any other documents as required under the instructions, and compliance with the Paying Agent’s reasonable terms and conditions for orderly exchange, be, in exchange, entitled to receive the Merger Consideration as provided in the Merger Agreement for each Eligible Share formerly represented by such Certificate.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WIT"/>
      <w:bookmarkEnd w:id="69"/>
      <w:r>
        <w:rPr>
          <w:rFonts w:ascii="calibri;arial;sans-serif" w:hAnsi="calibri;arial;sans-serif"/>
          <w:b w:val="false"/>
          <w:i w:val="false"/>
          <w:caps w:val="false"/>
          <w:smallCaps w:val="false"/>
          <w:color w:val="000000"/>
          <w:sz w:val="16"/>
        </w:rPr>
        <w:t>​</w:t>
      </w:r>
      <w:bookmarkStart w:id="70" w:name="tLRAW"/>
      <w:bookmarkEnd w:id="70"/>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surrendered Certificate will be cancelled forthwith. If the payment of the Merger Consideration is to be paid to a person other than the person in whose name the Certificate is surrendered, as a condition to the payment, (i) the Certificate must be properly endorsed or be otherwise in proper form for transfer and (ii) the person requesting such payment must have paid any transfer or any other similar taxes required for the payment of the Merger Consideration to a person other than the registered holder of the surrendered Certificate or establish to the satisfaction of Parent that such tax either has been paid or is not required to be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Book-Entry Shares.</w:t>
      </w:r>
      <w:r>
        <w:rPr>
          <w:rFonts w:ascii="Arial;Helvetica;sans-serif" w:hAnsi="Arial;Helvetica;sans-serif"/>
          <w:b w:val="false"/>
          <w:i w:val="false"/>
          <w:caps w:val="false"/>
          <w:smallCaps w:val="false"/>
          <w:color w:val="000000"/>
          <w:sz w:val="20"/>
        </w:rPr>
        <w:t> Any holder of Eligible Shares that are non-certificated Common Stock represented by book-entry (“Book-Entry Shares”) will not be required to deliver a Certificate or an executed Letter of Transmittal to the Paying Agent to receive the Merger Consideration. Instead, subject to compliance with the Paying Agent’s customary procedures, each registered holder of one or more Book-Entry Shares, upon the Effective Time, will be entitled to receive the Merger Consideration and the Parent will cause the Paying Agent to pay and deliver the Merger Consideration for each Eligible Share formerly represented by such Book-Entry Share promptly as reasonably practicable after the Effective Time. Such Book-Entry Share will be cancelled forthwith. Payment of the Merger Consideration with respect to Book-Entry Shares will only be made to the person in whose name such Book-Entry Shares are registered.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You should not return your Certificates with the enclosed proxy card, and you should not forward your Certificates to the Paying Agent without a Letter of Transmittal. Holders of Book-Entry Shares will not be required to deliver a Certificate or an executed Letter of Transmittal to the Paying Agent to receive the Merger Consideration that such holders are entitled to receive as a result of the Merger pursuant to the Merger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and after the Effective Time, the stock transfer books of LiveRamp will be closed, and thereafter there will be no further registration of transfers of Common Stock on the records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Certificate has been lost, stolen or destroyed, upon the making of an affidavit of loss and, and if required by Parent, an indemnity bond, the Paying Agent will, in exchange for such Certificate and such other documentation required pursuant to the Merger Agreement and subject to the terms and conditions of the Merger Agreement, pay the aggregate Merger Consideration to be paid with respect to the Eligible Shares represented by such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interest will be paid or accrue on any portion of the Merger Consideration payable upon surrender of any Certificate (or affidavit of loss in lieu of the Certificate, in accordance with the Merger Agreement) or with respect to any Book-Entry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following the first (1st) anniversary of the Effective Time, Parent will be entitled to require the Paying Agent to deliver any funds (including any interest received with respect to such funds) remaining in the Payment Fund that have not been disbursed, other than funds for which disbursement is pending subject only to the Paying Agent’s routine administrative procedures to holders of Certificates or Book-Entry Shares. Any holder of Eligible Shares who has not theretofore received the Merger Consideration in respect of such Eligible Shares from the Paying Agent pursuant to the Merger Agreement will thereafter look only to Parent (subject to abandoned property, escheat or other similar laws) for such payments.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Withholding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LiveRamp, Parent, the Surviving Company, Merger Sub and the Paying Agent and any other applicable withholding agent will be entitled to deduct and withhold from the consideration otherwise payable pursuant to the Merger Agreement to any person such amounts as it is required to deduct or withhold with respect to the making of such payment under the Internal Revenue Code of 1986, or any other applicable tax law. To the extent that amounts are so withheld and remitted to the applicable governmental entity, such amounts will be treated for all purposes of the Merger Agreement as having been paid to the person in respect of which such deduction or withholding was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LiveRamp Representations and Warranties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the Merger Agreement, LiveRamp makes representations and warranties, subject to certain exceptions in the Merger Agreement, in the confidential disclosure letter delivered by LiveRamp to Parent in connection with the Merger Agreement (the “LiveRamp Disclosure Letter”) and in certain of LiveRamp’s public filings, as to, among other things: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due organization, valid existence and good standing under their respective jurisdictions of organization, and their respective powers and authority to conduct their respective businesses as currently conducted;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28">
                <wp:simplePos x="0" y="0"/>
                <wp:positionH relativeFrom="column">
                  <wp:align>left</wp:align>
                </wp:positionH>
                <wp:positionV relativeFrom="line">
                  <wp:posOffset>635</wp:posOffset>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ownership of its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capital structure, including, among other things, the number of outstanding shares of Common Stock, preferred stock, options and other stock-based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indebtedness or convertible debt whose holders have the right to vote, or which are convertible into or exercisable for securities having the right to vote with LiveRamp stockholders on any matter;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voting trusts or similar agreements to which LiveRamp or any LiveRamp subsidiary (or to LiveRamp’s knowledge, a LiveRamp stockholder) is a party with respect to the voting of the capital stock or other equity interests of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rights, agreements or commitments to which LiveRamp or any LiveRamp subsidiary obligating LiveRamp or any LiveRamp subsidiary to provide funds or make an investment in any LiveRamp subsidiary not wholly owned, or in any other entity;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corporate power and authority related to the Merger Agreement, approval of the Merger Agreement and related matters by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required consents and approvals relating to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violations of, or conflicts with, LiveRamp’s organizational documents, applicable law and contracts as a result of LiveRamp’s entry into and performance under the Merger Agreement or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SEC filings, the financial statements included therein and LiveRamp’s disclosure controls and procedures and internal controls over financial reporting;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undisclosed liabilities;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conduct of LiveRamp’s business since December 31, 2025 and the absence of a Material Adverse Effect (as hereinafter defined);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compliance with applicable laws and the rules and regulations of the NYSE;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possession of and compliance with certain licenses, permits and other authorizations;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compliance with certain sanctions, trade control and anti-corruption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designing, testing, manufacturing, fabricating, or developing “critical technologies” as that term is defined in 31 C.F.R.§ 800.215 by LiveRamp, its subsidiaries or any of its affiliates;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certain legal proceedings;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employee benefits and compensation plans, policies, programs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employment and labor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environmental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certain contracts to which LiveRamp or any of its subsidiaries is a party, the validity, binding nature and effectiveness of such contracts and the absence of LiveRamp’s or its subsidiaries’ default under such contracts;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customers and suppliers;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insurance policies;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accuracy of information supplied or to be supplied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tax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DOMA"/>
      <w:bookmarkEnd w:id="71"/>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real property interests;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53">
                <wp:simplePos x="0" y="0"/>
                <wp:positionH relativeFrom="column">
                  <wp:align>left</wp:align>
                </wp:positionH>
                <wp:positionV relativeFrom="line">
                  <wp:posOffset>635</wp:posOffset>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intellectual property, information technology, data protection and privacy, practices, and the absence of material security breaches or violations of privacy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inapplicability of certain anti-takeover statutes or anti-takeover provisions;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receipt of opinions from LiveRamp’s financial advisor;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certain related party contracts;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undisclosed broker’s or finder’s fees.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Definition of  “Material Adverse Effect”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Many of the LiveRamp representations and warranties in the Merger Agreement are qualified by, among other things, exceptions relating to the absence of a “Company Material Adverse Effect”, which means any change, effect, development, circumstance, condition, fact, state of facts, event or occurrence (an “Effect”) that, individually or in the aggregate, has had or would reasonably be expected to have a material adverse effect on (1) the financial condition, business, assets, liabilities or operations of LiveRamp and its subsidiaries, taken as a whole or (2) the ability of LiveRamp to consummate the Transactions, including the Merger, prior to the Outside Date; provided, however, that, solely for purposes of clause (1),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United States or global economic conditions, including any changes affecting financial, credit, foreign exchange or capital market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conditions in any industry or industries or markets in which LiveRamp and its subsidiaries operate;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political or financial conditions or markets (including changes in interest rates, exchange rates, stock, bond and/or debt prices, or newly introduced tariffs or changes to existing tariffs);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generally accepted accounting principles (“GAAP”) or other applicable national or international accounting standards, or in the accounting rules and regulations of the SEC, or in any official interpretation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applicable law or the official interpretation of such laws by governmental entities;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decrease or decline in the market price or trading volume of the Common Stock or any failure by LiveRamp to meet any internal or published projections, estimates or expectations of LiveRamp’s revenue, earnings or other financial performance or results of operations for any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LiveRamp’s credit rating;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geopolitical conditions, acts of terrorism (including cyberterrorism) or sabotage, war (whether or not declared), the commencement, continuation or escalation of a war, acts of armed hostility, weather conditions, natural disasters or epidemics, pandemics or other outbreak of illness or public health event (whether human or animal), or other similar force majeure events, including any material worsening of such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execution and public announcement of the Merger Agreement or the Transactions, including the identity of Parent or its affiliates, the pendency or consummation of the Transactions, and the impact of such on the relationships of LiveRamp with its officers and other employees, customers, suppliers, distributors or other business partners;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action or inaction, expressly required by the terms of the Merger Agreement or which is taken or not taken at the express written request of Parent;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proceeding brought or threatened by LiveRamp stockholders (including on behalf of LiveRamp) asserting allegations of breach of fiduciary duty relating to the Merger Agreement or violations of securities laws in </w:t>
      </w:r>
      <w:r>
        <mc:AlternateContent>
          <mc:Choice Requires="wps">
            <w:drawing>
              <wp:anchor behindDoc="0" distT="7620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COBP"/>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connection with the proxy statement or any other document required to be filed by LiveRamp with the SEC or required to be distributed or otherwise disseminated to LiveRamp stockholders in connection with the Transactions;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failure of Parent to consent to any of the actions proscribed in the interim operating covenants under the Merger Agreement, where such failure to consent was unreasonable;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that, with respect to the first, second, third, fourth, fifth and eighth bullet points above, if such Effect has had a disproportionate adverse effect on LiveRamp or any of its subsidiaries relative to other companies operating in the same industry, then the incremental disproportionate adverse effect of such Effect will be taken into account for the purpose of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Conduct of Business Pending the Merger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agreed to certain covenants in the Merger Agreement restricting the conduct of its business between the date of the Merger Agreement and the Effective Time (or any earlier termination of the Merger Agreement). In general, unless approved in writing by Parent (which consent may not be unreasonably withheld) and except as otherwise required or expressly contemplated by the Merger Agreement, set forth in the LiveRamp Disclosure Letter or as required by applicable law, LiveRamp has agreed to, and to cause each of its subsidiaries to, conduct its business in all material respects in the ordinary course of business and use commercially reasonable efforts to (i) preserve intact its and their present business organizations, goodwill and ongoing businesses, (ii) keep available the services of its and their present officers and other key employees (other than where termination of such services is for cause), and (iii) preserve its and their present relationships with customers, suppliers, vendors, licensors, licensees, governmental entities, employees and other persons with whom it and they have material business relations.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further agreed that, in certain cases, subject to certain ordinary course of business exceptions, exceptions for actions between or among LiveRamp and its subsidiaries and other exceptions specified in the Merger Agreement, LiveRamp will not, and will cause its subsidiaries not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amend, modify, waive, rescind or otherwise change LiveRamp’s or any subsidiary’s certificate of incorporation, bylaws or equivalent organizational documents, except for changes to the organizational documents of a subsidiary that are not material;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32"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authorize, declare, set aside, make or pay any dividends on or make any distribution with respect to its outstanding shares of capital stock or other equity interests (whether in cash, assets, shares or other securities of LiveRamp or any of its subsidiaries), except for dividends and distributions paid or made by a wholly owned subsidiary to LiveRamp or another wholly owned subsidiary;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33"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 into any agreement or arrangement with respect to voting or registration, or file any registration statement with the SEC with respect to, any of its capital stock or other equity interests or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 split, combine, subdivide, reduce or reclassify any of its capital stock or other equity interests, or redeem, purchase or otherwise acquire any of its capital stock or other equity interests (other than repurchases of Common Stock in satisfaction of applicable tax withholdings or the exercise price upon the exercise or settlement of any LiveRamp equity award outstanding as of the date of the Merger Agreement or granted following the date thereof in accordance with the Merger Agreement),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issue, deliver, grant, sell, dispose of or encumber, or authorize the issuance, delivery, grant, sale, disposition or encumbrance of, any shares of the capital stock, voting securities or other equity interest in LiveRamp or 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equity award, subject to certain exceptions;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as required by applicable law or any LiveRamp benefit plan as in effect as of the date of the Merger Agreement, (i) increase the compensation or benefits payable or to become payable to any director, employee or other individual service provider, (ii) grant to any director, employee or other individual service provider any increase in severance or termination pay, (iii) pay or award, or commit to pay or award, any bonuses, retention or incentive compensation to any director, employee or other individual service provider, (iv) establish, adopt, enter into, amend, terminate or waive any of its rights under any collective bargaining agreement or LiveRamp benefit plan, (v) take any action to amend or waive any performance or vesting criteria or accelerate vesting, exercisability or funding under any LiveRamp benefit plan, (vi) terminate the employment or service of any employee or other individual service provider with annual base compensation of  $300,000 or more, in each case other than for cause, (vii) hire, engage or promote any employee or other individual service provider with annual base compensation of  $300,000 or more (including for clarity the promotion of any individual such that, after the promotion, the individual would have annual base compensation at such level or more), (viii) provide any funding for any rabbi trust or similar arrangement or take any other action to fund or in any other way secure the payment of compensation or benefits, or (ix) waive or release any noncompetition, nonsolicitation, nondisclosure, noninterference, nondisparagement or other restrictive covenant obligation of any current or former employee or other individual service provider;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76">
                <wp:simplePos x="0" y="0"/>
                <wp:positionH relativeFrom="column">
                  <wp:align>left</wp:align>
                </wp:positionH>
                <wp:positionV relativeFrom="line">
                  <wp:posOffset>635</wp:posOffset>
                </wp:positionV>
                <wp:extent cx="1270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or business combinations, except for (A) transactions solely between LiveRamp and a wholly owned subsidiary or solely between wholly owned subsidiaries in the ordinary course of business, (B) acquisitions of supplies or equipment in the ordinary course of business consistent with past practice, or (C) acquisitions not in excess of  $2,500,000 in the aggregate;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liquidate, dissolve, restructure, recapitalize or effect any other reorganization (including any reorganization or restructuring between or among any of LiveRamp and/or its subsidiaries), or adopt any plan or resolution providing for any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loans, advances or capital contributions to, or investments in, any other person, except for (A) loans solely among LiveRamp and wholly owned subsidiaries or solely among wholly owned subsidiaries, in each case, in the ordinary course of business, and (B) advances for reimbursable employee expenses, not to exceed $500,000 in the aggregate,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sell, lease, license, assign, cancel, abandon, fail to maintain, permit to lapse, transfer, exchange, swap or otherwise dispose of, or subject to any lien (other than permitted liens), any of its properties, rights or assets (including shares in the capital of subsidiaries), subject to certain ordinary course exceptions;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 into or become bound by, or amend, modify, terminate or waive any contract to the extent relating to the acquisition or disposition of, or granting of any license, covenant not to sue or similar right with respect to, intellectual property that is material to the business of LiveRamp and its subsidiaries, taken as a whole, including any covenant not to sue or covenant not to assert, other than non-exclusive licenses with respect to intellectual property or agreements with employees and independent contractors, in each case,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material reduction to (A) the security of, or any administrative, technical or physical safeguards related to, any LiveRamp information technology or privacy or data security or (B) any policies or procedures with respect to protected information or confidential or other sensitive information or privacy requirements, except as required by applicable law, any governmental entity or any contract in effect as of the date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enter into any contract that would, if entered into prior to the date of the Merger Agreement, be a material contract or (B) materially modify, materially amend, extend or terminate any material contract, or waive, release or assign any rights or claims under such contract;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capital expenditure, enter into agreements or arrangements providing for capital expenditure or otherwise commit to do so, other than in accordance with the capital expenditure budget specified in the LiveRamp Disclosure Letter;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waive, release, assign, compromise or settle any claim, litigation, investigation or proceeding (including with respect to matters in which LiveRamp or any of its subsidiaries is a plaintiff or in which any of their officers or directors in their capacities as such are parties), other than the compromise or settlement of claims, litigations, investigations or proceedings that: (A) are for an amount not to exceed for any such compromise or settlement, $500,000 individually or $2,500,000 in the aggregate, and (B) do not impose any injunctive or other non-monetary relief on LiveRamp or any subsidiary and do not involve the admission of wrongdoing by LiveRamp, any subsidiary or any of their respective officers or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85">
                <wp:simplePos x="0" y="0"/>
                <wp:positionH relativeFrom="column">
                  <wp:align>left</wp:align>
                </wp:positionH>
                <wp:positionV relativeFrom="line">
                  <wp:posOffset>635</wp:posOffset>
                </wp:positionV>
                <wp:extent cx="1270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material change in financial accounting policies, practices, principles or procedures or any of its methods of reporting income, deductions or other material items for financial accounting purposes, in each case, except as required by GAAP, other applicable national or international accounting standards, SEC rules and regulations or applicable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4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amend or modify any privacy statement of LiveRamp or any subsidiary in any material respect, other than as required by applicable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4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enter into any collective bargaining agreement or any material agreement with any labor organization, works council, trade union, labor association or other employee representative, except as required by applicable law;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49"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implement any closings or employee layoffs that would require notifications under the Worker Adjustment and Retraining Notification Act, or any similar state, local or foreign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50"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make, other than in the ordinary course of business consistent with past practice, change or revoke any material tax election, (B) change any tax accounting period or material method of tax accounting, (C) amend any material tax return, in the case of  (A), (B) and (C), if such action could reasonably be expected to result in any increase in the tax liability of LiveRamp or any subsidiary for any tax period, (D) amend any U.S. federal income tax return, (E) settle or compromise any material liability for taxes or any tax audit, claim or other proceeding relating to a material amount of taxes, (F) enter into any “closing agreement” within the meaning of Section 7121 of the Internal Revenue Code of 1986 (or any similar provision of state, local or non-U.S. law), (G) surrender any right to claim a material refund of taxes, (H) request any ruling, permission or approval from any governmental entity with respect to taxes, or (I) agree to an extension or waiver of the statute of limitations with respect to a material amount of taxes, other than any automatic or automatically granted extensions or waivers of the statute of limitations in respect of filing tax returns, in the case of  (I), if such action could reasonably be expected to result in any increase in the tax liability of LiveRamp or any subsidiary for any tax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51"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redeem, repurchase, repay, prepay, defease, incur, assume, endorse, guarantee or otherwise become liable for or modify in any material respect the terms of any indebtedness, or issue or sell any debt securities or calls, options, warrants or other rights to acquire any debt securities (directly, contingently or otherwise), except (i) any redemption, repurchase, repayment, prepayment or incurrence of indebtedness solely among LiveRamp and its wholly owned subsidiaries or solely among wholly owned subsidiaries or (ii) guarantees by LiveRamp of indebtedness of wholly owned subsidiaries or guarantees by wholly owned subsidiaries of indebtedness of LiveRamp or any other wholly owned subsidiary, which indebtedness is incurred prior to the date of the Merger Agreement and which guarantees are required by the terms of such indebtedness as in effect as of the date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52"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cancel any of LiveRamp’s or any LiveRamp subsidiary’s material insurance policies or fail to pay the premiums on LiveRamp’s or any subsidiary’s material insurance policies such that such failure causes a cancellation of such policy, other than in the ordinary course of business consistent with past practice, or fail to use commercially reasonable efforts to maintain in the ordinary course LiveRamp’s material insurance policies;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53"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terminate, or modify or waive in any material respect, any right under any material LiveRamp permit;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54"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agree or authorize, in writing or otherwise, to take any of the foregoing 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55"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is not intended to give to Parent, directly or indirectly, rights to control or direct LiveRamp’s or its subsidiaries’ operations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NSCI"/>
      <w:bookmarkEnd w:id="73"/>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No Solicitation; Change in Board Recommendation </w:t>
      </w:r>
    </w:p>
    <w:p>
      <w:pPr>
        <w:pStyle w:val="TextBody"/>
        <w:bidi w:val="0"/>
        <w:spacing w:lineRule="atLeast" w:line="280" w:before="240" w:after="283"/>
        <w:ind w:left="680" w:right="0" w:hanging="0"/>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 Solicitation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period commencing with the execution and delivery of the Merger Agreement and continuing until the earlier of the Effective Time and the termination of the Merger Agreement, except as expressly permitted by the Merger Agreement, LiveRamp has agreed that it will not, and will cause each of its subsidiaries, its and their respective officers, directors and other representatives (including the Board and any committee thereof) not to, directly or indirectly: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 initiate or knowingly encourage or facilitate (including by way of providing information or taking any other action) any inquiry, proposal or offer, or the making, submission or announcement of any inquiry, proposal or offer which constitutes or would reasonably be expected to lead to an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56"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participate in any negotiations regarding, or furnish to any person any information relating to LiveRamp or any of its subsidiaries in connection with an actual or potential Acquisition Proposal, other than solely to state that LiveRamp and its representatives are prohibited from engaging in any such discussions or negotiations;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57"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adopt, approve, endorse or recommend, or propose to adopt, approve, endorse or recommend, any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58"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withdraw, change, amend, modify or qualify, or otherwise propose to withdraw, change, amend, modify or qualify, in a manner adverse to Parent, the LiveRamp board recommendation or resolve or agree to take any such 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59"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Acquisition Proposal has been publicly disclosed, fail to publicly and without qualification recommend against any such Acquisition Proposal within ten (10) business days after the public disclosure of such Acquisition Proposal (or subsequently withdraw, change, amend, modify or qualify (or publicly propose to do so), in a manner adverse to Parent, such rejection) and reaffirm the LiveRamp board recommendation within such ten (10) business day period (or, with respect to any Acquisition Proposals or material amendments, revisions or changes to the terms of any such previously publicly disclosed Acquisition Proposal that are publicly disclosed within the last ten (10) business days prior to the then-scheduled Special Meeting, fail to take the foregoing actions, with references to the applicable ten (10) business day period being replaced with three (3) business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60"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fail to include the LiveRamp board recommendation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61"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approve or authorize, or cause or permit LiveRamp or any of its subsidiaries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62"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call or convene a meeting of LiveRamp’s stockholders to consider a proposal that would reasonably be expected to prevent or materially impair or delay the consummation of the Transactions;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63"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resolve, publicly propose or agree to do any of the foregoing (any act described in the third, fourth, fifth, sixth, seventh, eighth and/or this ninth bullet points in this section (to the extent related to third, fourth, fifth, sixth, seventh or eighth bullet points above), a “Change of Recommendation”).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64"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the Merger Agreement, “Acquisition Proposal” means any offer, proposal or indication of interest from a person (other than a proposal or offer by Parent or any of its subsidiaries) at any time relating to any transaction or series of related transactions (other than the Transactions contemplated by the Merger Agreement)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 pursuant to which the Company stockholders immediately preceding such transaction hold less than eighty five percent (85%) of the equity interests in the surviving or resulting entity of such transaction immediately following the consummation of such transaction (whether by voting power or number of shares); or (c) any sale, lease, exchange, transfer or other disposition to a person of more than fifteen percent (15%) of the consolidated assets of LiveRamp and its subsidiaries (measured by the fair market value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also agreed that it will not waive, terminate or modify, without Parent’s prior written consent, any confidentiality, standstill or similar provision in any confidentiality, standstill or other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LiveRamp agreed that, immediately following the execution of the Merger Agreement, it will, and will cause its subsidiaries and its and their respective officers, directors and other representatives (including the Board and any committee thereof) to, cease any and all solicitation, knowing encouragement, discussions or negotiations with any persons (or provision of any nonpublic information regarding LiveRamp or its subsidiaries to any persons) with respect to any inquiry, proposal or offer that constitutes, or would reasonably be expected to lead to, an Acquisition Proposal. Promptly after the date of the Merger Agreement (and in any event within one (1) business day), LiveRamp will (A) request in writing that each person (other than Parent) that has previously executed a confidentiality agreement in connection with its consideration of an Acquisition Proposal or potential Acquisition Proposal promptly destroy or return to LiveRamp all nonpublic information previously furnished to such person or its representatives in accordance with the terms of such confidentiality agreement, and (B) terminate access to any physical or electronic data rooms relating to a possible Acquisition Proposal by any such person and its representatives.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Non-Solicitation Exceptions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limitations described above, if LiveRamp receives, prior to obtaining the Requisite LiveRamp Stockholder Approval, a bona fide written Acquisition Proposal that did not result from a breach of the non-solicitation provisions of the Merger Agreement, which the Board determines in good faith (i) after consultation with LiveRamp’s outside legal counsel and financial advisors, constitutes a Superior Proposal or could reasonably be expected to lead to a Superior Proposal or (ii) after consultation with LiveRamp’s outside legal counsel, that the failure to take such action would reasonably be expected to be a breach of the directors’ fiduciary duties under applicable law, then the Company may take the following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furnish nonpublic information with respect to LiveRamp and its subsidiaries to the person making such Acquisition Proposal (and its representatives and sources of financing), if, and only if, prior to so furnishing such information, LiveRamp receives from such person an executed acceptable confidentiality agreement and LiveRamp also provides Parent, prior to or substantially concurrently with (and in any event within forty-eight (48) hours of) the time such information is provided or made available to such person or its representatives or sources of financing, any nonpublic information furnished to such other person or its representatives or sources of financing that was not previously furnished to Parent;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65"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engage in discussions or negotiations with such person (and its representatives and sources of financing) with respect to such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66"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the Merger Agreement, “Superior Proposal” means a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z w:val="20"/>
        </w:rPr>
        <w:t xml:space="preserve"> written Acquisition Proposal (with references in the definition of Acquisition Proposal to fifteen percent (15%) and eighty five percent (85%) being deemed to be replaced with references to fifty percent (50%) and fifty percent (50%), respectively) by a third party, which the Company Board of Directors determines in good faith after consultation with the Company’s outside legal and financial advisors to be more favorable to the Company’s stockholders from a financial point of view than the Merger, taking into account all relevant factors (including the transaction consideration, conditionality, timing, certainty of financing and/or regulatory approvals and likelihood of consummation) and the Merger Agreement (and any changes to the terms of the Merger Agreement proposed by Parent pursuant to its matching rights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Notification to Parent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promptly (and in any event within forty-eight (48) hours of receipt) notify Parent of the Company or any of its affiliates’ or its or their other representatives’ receipt of any Acquisition Proposal or any proposals or inquiries that could reasonably be expected to lead to an Acquisition Proposal. Such notice will indicate the identity of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 making the Acquisition Proposal or inquiry, and the material terms and conditions of such Acquisition Proposal and the nature of any information requested in connection with such proposal or inquiry, including unredacted copies of all written information requests or proposals, including proposed agreements and proposed financing commitments received by the Company or its representatives related to any Acquisition Proposal, or, if such Acquisition Proposal is not in writing, a reasonably detailed written description of the material terms and conditions thereof. The Company will keep Parent reasonably informed on a prompt and timely basis of the status and material terms (including any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LiveRamp with respect thereto, and will promptly (and in any event within forty-eight (48) hours of receipt) provide to Parent copies of all written proposals, offers and proposed agreements relating to an Acquisition Proposal received by LiveRamp or its representatives or, if such information or communication is not in writing, a reasonably detailed written description of the material contents thereof. LiveRamp will also promptly (and in any event within twenty-four (24) hours after such determination) inform Parent in writing if LiveRamp determines to begin providing information or to engage in discussions or negotiations concerning an Acquisition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Changes in Board Recommendation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no-solicitation and Change of Recommendation restrictions in the Merger Agreement, but subject to certain procedural requirements, at any time prior to obtaining the Requisite LiveRamp Stockholder Approval, the Board may (i) make a Change of Recommendation (only of the type contemplated by the fourth, sixth or ninth bullet points (to the extent related to fourth and sixth bullet points) of the Change of Recommendation definition) in response to an Intervening Event if the Board has determined in good faith, after consultation with the Company’s outside legal counsel and financial advisors, that the failure to take such action would reasonably be expected to be a breach of the directors’ fiduciary duties under applicable law, or (ii) make a Change of Recommendation and cause LiveRamp to terminate the Merger Agreement in order to enter into a definitive agreement providing for an Acquisition Proposal received after the date of the Merger Agreement (that did not result from a breach of the non-solicitation provisions), which the Board determines in good faith after consultation with the Company’s outside legal counsel and financial advisors constitutes a Superior Proposal, but only if the Board has determined in good faith, after consultation with the Company’s outside legal counsel and financial advisors, that the failure to take such action would reasonably be expected to be a breach of the directors’ fiduciary duties under applicable law. Notwithstanding anything to the contrary in the Merger Agreement, neither LiveRamp nor any of its subsidiaries may enter into any acquisition agreement unless the Merger Agreement has been validly terminated. Further, none of the foregoing actions may be taken unless and until: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case of a Change of Recommendation in response to a Superior Proposal, LiveRamp has provided Parent with four (4) business days’ prior written notice advising the Parent that the Board intends to take such action and specifying the material terms and conditions of the Acquisition Proposal, including a copy of any proposed definitive documentation; during such four (4) business day period, LiveRamp will cause its representatives (including its executive officers) to negotiate in good faith (to the extent Parent desires to negotiate) any proposal by Parent to amend the terms and conditions of the Merger Agreement such that such Acquisition Proposal would no longer constitute a Superior Proposal; and at the end of such four (4) business day period, the Board will again make all of the required determinations (after in good faith taking into account any amendments proposed by Parent);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67"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are any material amendments, revisions or changes to the terms of any such Superior Proposal (including any revision to the amount, form or mix of consideration that LiveRamp’s stockholders would receive as a result of the Superior Proposal), LiveRamp will comply again with the notice requirement described in the bullet above, with references to the four (4) business day period being replaced with two (2) business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68"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the foregoing, notwithstanding anything in the Merger Agreement to the contrary, the Board may, at any time prior to obtaining the Requisite LiveRamp Stockholder Approval, effect a Change of Recommendation (only of the type contemplated by the fourth, sixth or ninth bullet points, to the extent related to the fourth or sixth bullet points of the Change of Recommendation definition above in response to an Intervening Event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provides Parent with four (4) business days’ prior written notice advising Parent that the Board intends to effect a Change of Recommendation and specifying, in reasonable detail, the reasons therefor;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69"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TSM1"/>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such four (4) business day period, LiveRamp causes its representatives (including its executive officers) to negotiate in good faith (to the extent Parent desires to negotiate) any proposal by Parent to amend the terms and conditions of the Merger Agreement in a manner that would obviate the need to effect a Change of Recommendation;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09">
                <wp:simplePos x="0" y="0"/>
                <wp:positionH relativeFrom="column">
                  <wp:align>left</wp:align>
                </wp:positionH>
                <wp:positionV relativeFrom="line">
                  <wp:posOffset>635</wp:posOffset>
                </wp:positionV>
                <wp:extent cx="127000" cy="350520"/>
                <wp:effectExtent l="0" t="0" r="0" b="0"/>
                <wp:wrapSquare wrapText="right"/>
                <wp:docPr id="370"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end of such four (4) business day period, the Board again makes all of the required determinations for a Change of Recommendation in response to an Intervening Event (after in good faith taking into account any amendments proposed by Parent).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371"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Merger Agreement, “Intervening Event” means any event, change or development first occurring or arising after the date of the Merger Agreement that is material to LiveRamp and its subsidiaries (taken as a whole) and was not known by or reasonably foreseeable to the Board as of or prior to the date of the Merger Agreement; provided, however, that in no event will the following events, changes or developments constitute an Intervening Event: (A) the receipt, existence or terms of an Acquisition Proposal or any matter relating thereto or consequence thereof; (B) changes in the market price or trading volume of the Common Stock or any other securities of LiveRamp or its subsidiaries, or any change in credit rating or the fact that LiveRamp meets or exceeds internal or published estimates, projections, forecasts or predictions for any period (it being understood that the facts or occurrences giving rise or contributing to such changes may be taken into account to the extent not otherwise excluded);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The Special Meeting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the Merger Agreement is terminated in accordance with its terms, LiveRamp will, as promptly as reasonably practicable after the date of the Merger Agreement and in consultation with Parent, duly hold the Special Meeting, with a record date and meeting date to be selected after reasonable consultation with Parent. Subject to the occurrence of any Change of Recommendation in accordance with the Merger Agreement, LiveRamp will use its reasonable best efforts to obtain the Requisite LiveRamp Stockholder Approval. Within ten business days after the date of the Merger Agreement (and at reasonable times thereafter, upon the request of Parent), LiveRamp will conduct a “broker search” in accordance with Rule 14a-13 of the Exchange Act for a record date for the Special Meeting that is twenty (20) business days after the date of such “broker search.”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not postpone or adjourn the Special Meeting without Parent’s prior written consent; provided that, if at any time following the dissemination of this proxy statement, either LiveRamp or Parent reasonably determines in good faith that the Requisite LiveRamp Stockholder Approval is unlikely to be obtained at the Special Meeting, including due to an absence of quorum, then on no more than two occasions (for each of LiveRamp and Parent) and prior to the vote contemplated having been taken, each of LiveRamp and Parent will have the right to require an adjournment or postponement of the Special Meeting for the purpose of soliciting additional votes in favor of the Merger Agreement; provided, further, that no such adjournment or postponement may delay the Special Meeting by more than ten (10) days from the prior-scheduled date or to a date on or after the fifth (5th) business day preceding the Outside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the foregoing, LiveRamp may postpone or adjourn the Special Meeting if  (i) LiveRamp is required to postpone or adjourn the Special Meeting by applicable law or the rules or requirements of the New York Stock Exchange, or (ii) the Board or any authorized committee thereof determines in good faith (after consultation with outside legal counsel) that it is necessary or appropriate to postpone or adjourn the Special Meeting in order to give LiveRamp’s stockholders sufficient time to evaluate any information or disclosure that LiveRamp has sent or otherwise made available to such holders by issuing a press release, filing materials with the SEC or otherwise (including in connection with any Change of Recommendation) (in each case so long as any such information or disclosure was made in compliance with the Merger Agreement); provided, that LiveRamp will be permitted to postpone or adjourn the Special Meeting pursuant to the foregoing clause (ii) on no more than two (2) occasions and no such adjournment or postponement may delay the Special Meeting by more than fifteen (15) days in the aggregate (which need not run consecutively) from the prior-scheduled date or to a date on or after the fifth (5th) business day preceding the Outside Date. Unless there has been a Change of Recommendation in accordance with the Merger Agreement, LiveRamp will promptly provide Parent with all voting tabulation reports relating to the Special Meeting that have been prepared by LiveRamp or LiveRamp’s transfer agent, proxy solicitor or other representative, and will otherwise keep Parent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RFAE"/>
      <w:bookmarkEnd w:id="75"/>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reasonably informed regarding the status of the solicitation and any material oral or written communications from or to LiveRamp’s stockholders with respect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Regulatory Filings and Efforts to Consummate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LiveRamp and Parent are required to cooperate with each other and use (and will cause their respective controlled affiliates to use) their respective reasonable best efforts to take or cause to be taken all actions and to do, or cause to be done, all things necessary, proper or advisable on their part under the Merger Agreement and applicable laws to consummate the Merger and the other Transactions as promptly as practicable after the date of the Merger Agreement, including (i) preparing and filing or otherwise providing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or governmental entity in order to consummate the Merger and the other Transactions, (ii) contesting, defending and, where applicable, appealing any lawsuits or other legal proceedings, whether judicial or administrative, including injunctions and similar orders, challenging the Merger Agreement or the consummation of the Merger and the other Transactions, including seeking to have any stay or temporary restraining order entered by any court or other governmental entity vacated or reversed, and (iii) executing and delivering any additional instruments necessary to consummate the Merger and the other Transactions and to fully carry out the purposes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limiting the generality of, and in furtherance of the foregoing (but subject to the limitations set forth in the Merger Agreement), each of LiveRamp and Parent, as applicable, is required to (and is required to cause its respective controlled affiliates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prepare and file, with respect to the Merger and the other Transactions, a Notification and Report Form pursuant to the HSR Act within 20 business days after the date of the Merger Agreement (unless a later date is mutually agreed between the parties); and supply as promptly as practicable any additional information and documentary materials that may be requested pursuant to the HSR Act and take all other actions necessary to cause the expiration or termination of the applicable waiting periods under the HSR Act as soon as practicable;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all other necessary filings as promptly as practicable after the date of the Merger Agreement, and, in any event, submit the relevant form (or, in jurisdictions in which a draft form must be submitted prior to the final form, the draft form) for applicable non-U.S. FDI laws and antitrust laws within 25 business days after the date of the Merger Agreement; and supply as promptly as practicable and advisable any additional information and documentary materials that may be requested under any FDI laws or antitrust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 without the prior written consent of the other party (which consent will not be unreasonably conditioned, withheld or delayed), (A) cause any filing, delivery or submission applicable to it to be withdrawn, refiled, redelivered or resubmitted for any reason, including to provide the applicable governmental entities with additional time to review any or all of the Merger and the other Transactions or (B) consent to any voluntary extension of any statutory waiting period or, if applicable, consent to or enter into any timing agreement (or other contractual undertaking with respect to any waiting period) with a governmental entity applicable to the consummation of the Merger and the other Transactions or to any voluntary delay of the consummation of the Merger and the other Transactions at the behest of any governmental entity; provided that, unless the Merger Agreement has been terminated in accordance with its terms, LiveRamp may not (and must cause its subsidiaries not to), without the prior written consent of Parent, (1) withdraw its filing under the HSR Act or (2) offer, negotiate or enter into any commitment or agreement, including any timing agreement, with the DOJ, the FTC or any other governmental entity to delay the consummation of, or not to close before a certain date, the Merger and the other Transactions;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use its reasonable best efforts to take all necessary or advisable steps to (A) avoid the entry of and (B) resist, vacate, limit, reverse, suspend or prevent any actual, anticipated or threatened permanent, preliminary or temporary order, in each case, that becomes reasonably foreseeable to be entered, issued, made or rendered or is entered, issued, made or rendered, in the case of each of the foregoing clauses (A) and (B), that would reasonably be expected to prevent, delay or impair the consummation of the Merger and the other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Transactions, including (x) the defense through litigation on the merits of any proceeding seeking to prevent, delay or impair the consummation of the Merger and the other Transactions (and, if applicable, the appeal thereof and the posting of a bond in connection therewith) and (y) the proffer and agreement by Parent of its willingness to (I) sell, license, assign, transfer, divest, hold separate or otherwise dispose of, or hold separate pending such disposition, and promptly to effect the sale, license, assignment, transfer, divestiture or other disposition of, assets, operations, rights, product lines, licenses, businesses or interests therein of LiveRamp, Parent or any of their respective subsidiaries or (II) conduct, restrict, operate, invest or otherwise change the assets, business or portion of the business, or accept any other restriction, requirement or limitation on the operation, of any of LiveRamp, Parent, Merger Sub or any of their respective subsidiaries (clauses (I) and (II) collectively, the “Divestiture Actions”), and, in each case, the entry into agreements with, and submission to orders of, the relevant governmental entity giving effect thereto as promptly as practicable; provided, however, that neither Parent nor any Parent subsidiary (excluding LiveRamp and the LiveRamp subsidiaries) is required to take or commit to take any Divestiture Action with respect to Parent or any Parent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anything to the contrary in the Merger Agreement, (i) neither Parent nor Merger Sub nor any of their respective affiliates is required to, and LiveRamp will not, and will cause its subsidiaries not to, without the prior written consent of Parent, take any Divestiture Action or any other action (a) relating to Parent or any of its subsidiaries or any of their respective assets or businesses or (b) relating to LiveRamp or any of its subsidiaries or any of their respective assets or businesses that would reasonably be expected to have, individually or in the aggregate, a material adverse effect on the business, assets, financial condition or results of operations of LiveRamp and its subsidiaries, taken as a whole, and (ii) no such actions will be required unless the effectiveness of such action is contingent upon the occurrence of the Effective Time, and none of LiveRamp or any of LiveRamp’s affiliates will take any such action without Parent’s prior written consent (which consent will not be unreasonably conditioned, withheld or delayed). In addition, if requested by Parent, LiveRamp or any LiveRamp subsidiary must agree to become subject to, consent to or offer or agree to, or otherwise take any action with respect to, any such requirement, condition, limitation, understanding, agreement or order so long as such requirement, condition, limitation, understanding, agreement or order is only binding on LiveRamp or any LiveRamp subsidiary in the event the Closing occurs.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limiting Parent’s cooperation obligations described above, Parent, subject to the terms and conditions of the Merger Agreement, controls the ultimate strategy for securing approvals and the expiration of relevant waiting periods under the antitrust laws and FDI laws; provided that Parent must consult with LiveRamp and consider LiveRamp’s views in good faith. Each of LiveRamp and Parent must consult with the other party in a reasonable manner and consider in good faith the views and comments of the other party in connection with these efforts. LiveRamp and Parent will each (and will cause their respective subsidiaries to, and will instruct their respective representatives to), upon the reasonable request by the other, furnish to the other, as promptly as reasonably practicable, (i) all information concerning itself, its representatives and other matters as may be reasonably necessary or advisable to effect the expiration of all statutory waiting periods under applicable laws and, if applicable, any contractual waiting periods under any timing agreements with a governmental entity applicable to the consummation of the Merger and the other Transactions, and (ii) all filings, notices, reports, consents, registrations, approvals, permits and authorizations made or sought to be made by or on behalf of Parent, LiveRamp or any of their respective subsidiaries to or from any third party, including any governmental entity, in each case as necessary or advisable in connection with the Merger and the other Transactions. Each of Parent and LiveRamp has the right to review in advance and, to the extent practicable, each must consult with the other on and consider in good faith the views of the other in connection with all information relating to Parent or LiveRamp, as the case may be, any of their respective affiliates and any of their respective representatives, that appears in any filing made with, or written materials delivered or submitted to, any governmental entity in connection with the Merger and the other Transactions. Neither LiveRamp nor Parent will permit any of its controlled affiliates or any of its or their respective representatives to participate in any discussions or meetings with any governmental entity in respect of any filings, notices, reports, consents, registrations, approvals, permits or authorizations necessary or advisable in order to consummate the Merger and the other Transactions, unless it consults with the other in advance and, to the extent practical and permitted by such governmental entity, gives the other the opportunity to attend and participate thereat.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in furtherance of the foregoing, Parent and LiveRamp must, and must cause their respective affiliates to, take any and all actions necessary to obtain the CFIUS Approval and any other consent, authorization or approval required under other applicable FDI laws for the consummation of the Merger and the other Transactions. Those actions include promptly after the date of the Merger Agreement making any draft and final filings required in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DAOI"/>
      <w:bookmarkEnd w:id="76"/>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connection with CFIUS Approval (which draft filings must be made within 30 business days after the date of the Merger Agreement, unless the parties agree in writing otherwise, and under any applicable FDI laws which draft filings must be made within 25 business days after the date of the Merger Agreement unless the parties agree in writing otherwise) and, providing any information requested by CFIUS or any other agency or branch of the U.S. government in connection with the CFIUS review or investigation of the Transactions, or which is requested by any other governmental entity in connection with filings under other applicable FDI laws. With respect to Parent and its affiliates, those actions also include providing all assurances and agreeing to all conditions, limitations and restrictions as may be necessary to address any national security or other concerns identified by CFIUS or any other applicable governmental entity (including entering into a mitigation agreement, national security agreement or other similar arrangement or agreement); provided that neither Parent nor any of its affiliates is required to agree to any mitigation measure, condition, restriction or undertaking that would reasonably be expected to (i) require LiveRamp or any LiveRamp subsidiary to operate as a U.S. direct or indirect subsidiary of Parent that is organized, structured and financed to be capable of operating as a viable business entity independent from Parent for longer than an interim, temporary basis, (ii) involve restrictions on material assets or material businesses of Parent or its affiliates (excluding LiveRamp or any LiveRamp subsidiary) that do not relate to the Merger and the other Transactions or require the divestiture of any material business, assets or operations of Parent or its affiliates, or (iii) materially limit ordinary course and customary sharing or use of data among LiveRamp, Parent and Parent’s affiliates, or restrict Parent’s ability to substantially integrate the businesses and operations of LiveRamp and its subsidiaries with the businesses and operations of Parent and its affiliates, except, in each case, to the extent reasonably necessary to address national security concerns with respect to identified categories of sensitive data and subject to the additional limitations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Directors’ and Officers’ Indemnification and Insurance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six (6) years from and after the Effective Time, Parent and the Surviving Company will, and Parent will cause the Surviving Company to, indemnify and hold harmless all past and present directors and officers of LiveRamp and its subsidiaries (collectively, the “Indemnified Parties”) against any costs and expenses (including advancing costs prior to the final disposition of any actual or threatened claim, action, suit, proceeding, investigation or any other similar matter to each Indemnified Party to the fullest extent permitted by applicable law and LiveRamp’s organizational documents; provided that such Indemnified Party agrees in advance to return any such funds to which a court of competent jurisdiction determines in a final, nonappealable judgment that such Indemnified Party is not ultimately entitled), judgments, fines, penalties, losses, claims, damages, liabilities and amounts paid in settlement in connection with or relating to any actual or threatened claim, action, suit, proceeding, investigation, or any other similar matter in respect of acts, omissions, facts or events occurring or alleged to have occurred at or prior to the Effective Time (including acts, omissions, facts or events occurring in connection with the approval of the Merger Agreement and the consummation of the Merger or any of the other Transactions), whether asserted or claimed prior to, at or after the Effective Time, in connection with or relating to such Indemnified Parties serving or having served as an officer, director, employee or other fiduciary of LiveRamp, its subsidiaries or of any other person if such service was at the request or for the benefit of LiveRamp or its subsidiaries, to the fullest extent permitted by applicable law, the organizational documents of LiveRamp or the applicable LiveRamp subsidiary or indemnification agreements that were in place prior to the Merger Agreement and provided to Parent prior to the execution of the Merger Agreement.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At or prior to the Effective Time, LiveRamp will purchase six (6) year prepaid “tail” insurance on terms and conditions providing coverage retentions, limits and other material terms substantially equivalent to the current policies of directors’ and officers’ liability insurance, employment practice liability insurance and fiduciary liability insurance maintained by LiveRamp and its subsidiaries with respect to matters arising at or prior to the Effective Time (including acts, omissions, facts or events occurring in connection with the approval of the Merger Agreement and the consummation of the Merger or any of the other Transactions), from an insurance carrier with the same or better credit rating than LiveRamp’s current insurance carrier of each respective policy; provided that LiveRamp will not commit or spend on such “tail” insurance, in the aggregate, more than three hundred percent (300%) of the last aggregate annual premium incurred by LiveRamp prior to the date of the Merger Agreement for LiveRamp’s policies of directors’ and officers’ liability insurance, employment practices liability insurance and fiduciary liability insurance (the “Base Amount”), and if such “tail” insurance is not reasonably available for a cost not exceeding the Base Amount, LiveRamp will be permitted to purchase as much “tail” insurance coverage as reasonably practicable for the Base Amount. LiveRamp will in good faith cooperate with Parent prior to the Closing with respect to the procurement of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EMMA"/>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such “tail” insurance. Parent and the Surviving Company will maintain such “tail” insurance in full force and effect for a period of six (6) years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six (6) years after the Effective Time, Parent will cause to be maintained the provisions in LiveRamp’s and its subsidiaries’ organizational documents and any indemnification agreement of LiveRamp or a LiveRamp subsidiary with any Indemnified Party in existence prior to the execution of the Merger Agreement, except to the extent that such agreement provides for an earlier termination, in each case, regarding elimination of liability, indemnification of officers, directors and employees and advancement of expenses that are in existence prior to the execution of the Merger Agreement, and no such provision will be amended, modified or repealed in any manner that would adversely affect the rights or protections thereunder of any such Indemnified Party in respect of acts, omissions, facts or events occurring or alleged to have occurred at or prior to the Effective Time (including acts or omissions occurring in connection with the approval of the Merger Agreement and the consummation of the Merger or any of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Employee Matters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one year following the Effective Time, Parent will provide, or will cause the Surviving Company to provide, to each employee of LiveRamp and its subsidiaries who continues to be employed by Parent, the Surviving Company or its subsidiaries (a “Continuing Employee”), for so long as the Continuing Employee remains so employed, (i) base compensation no less favorable than that provided to such Continuing Employee immediately prior to the Effective Time, (ii) target short-term cash incentive compensation opportunities no less favorable than those provided to such Continuing Employee immediately prior to the Effective Time, (iii) employee benefits (excluding equity incentive compensation, defined benefit pension, retiree medical or welfare benefits, change in control or retention arrangements) that are substantially comparable in the aggregate to either (A) those provided to such Continuing Employee immediately prior to the Effective Time or (B) those provided by Parent or its affiliates to similarly situated employees and (iv) severance benefits that are no less favorable than the greater of the severance benefits provided (A) to such Continuing Employee immediately prior to the Effective Time and (B) by Parent or its affiliates to similarly-situated employees of Parent and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applicable law, applicable tax qualification requirements and certain exceptions, Continuing Employees generally will receive credit for their prior service with LiveRamp and its subsidiaries and their predecessors for purposes of vesting, eligibility to participate, benefit levels and benefit accruals under applicable employee benefit plans maintained by Parent and its subsidiaries following the Effective Time, as if such service had been performed with Parent. These service-credit provisions generally will not apply (i) with respect to equity incentive plans, defined benefit pension plans, post-retirement welfare plans, certain plans under which prior-service credit was not provided before the Effective Time or is not provided to similarly situated employees of Parent and its affiliates, grandfathered or frozen plans or (ii) to the extent doing so would result in a duplication of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or its affiliates will use commercially reasonable efforts to (i) ensure that Continuing Employees are eligible to participate, without any waiting period, in applicable Parent employee benefit plans that provide the same type of coverage as the LiveRamp employee benefit plans in which the Continuing Employees participated immediately before the Effective Time, (ii) cause to be waived any pre-existing condition exclusions and actively-at-work requirements under applicable medical, dental, pharmaceutical and vision plans for Continuing Employees and their covered dependents and (iii) give Continuing Employees and their covered dependents credit under applicable Parent health plans for eligible expenses incurred before they begin participating in the corresponding Parent plan for purposes of satisfying applicable deductibles, coinsurance requirements and annual out-of-pocket maximums for the applicable plan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may elect to have LiveRamp terminate its tax-qualified 401(k) plan immediately before the Effective Time. If Parent elects at least 10 business days prior to the Effective Time to terminate LiveRamp’s 401(k) plan, LiveRamp will terminate the plan effective as of the day immediately prior to the day on which the Effective Time occurs. In that event, Parent will permit Continuing Employees who were eligible to participate in the LiveRamp 401(k) plan immediately before its termination to participate in a Parent or affiliate 401(k) plan as soon as reasonably practicable following the Effective Time and will permit those employees to roll over eligible distributions from the LiveRamp 401(k) plan into the applicable Parent or affiliate 401(k)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TRLI"/>
      <w:bookmarkEnd w:id="78"/>
      <w:r>
        <w:rPr>
          <w:rFonts w:ascii="calibri;arial;sans-serif" w:hAnsi="calibri;arial;sans-serif"/>
          <w:b w:val="false"/>
          <w:i w:val="false"/>
          <w:caps w:val="false"/>
          <w:smallCaps w:val="false"/>
          <w:color w:val="000000"/>
          <w:sz w:val="16"/>
        </w:rPr>
        <w:t>​</w:t>
      </w:r>
      <w:bookmarkStart w:id="79" w:name="tOTCO"/>
      <w:bookmarkEnd w:id="79"/>
      <w:r>
        <w:rPr>
          <w:rFonts w:ascii="calibri;arial;sans-serif" w:hAnsi="calibri;arial;sans-serif"/>
          <w:b w:val="false"/>
          <w:i w:val="false"/>
          <w:caps w:val="false"/>
          <w:smallCaps w:val="false"/>
          <w:color w:val="000000"/>
          <w:sz w:val="16"/>
        </w:rPr>
        <w:t>​</w:t>
      </w:r>
      <w:bookmarkStart w:id="80" w:name="tCTTC"/>
      <w:bookmarkEnd w:id="80"/>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and its subsidiaries agreed to assume, honor and fulfill LiveRamp’s employee benefit plans in accordance with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Transaction Litigation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any litigation is brought by any stockholder of LiveRamp against LiveRamp, any of its subsidiaries and/or any of their respective directors or officers relating to the Merger or any of the other Transactions contemplated by the Merger Agreement or the Merger Agreement from and following the date of the Merger Agreement and prior to the Effective Time (“Transaction Litigation”), LiveRamp will (a) promptly (and in any event within forty-eight (48) hours) notify Parent of such Transaction Litigation and keep Parent reasonably informed on a prompt and timely basis with respect to the status of such Transaction Litigation, (b) give Parent the opportunity to participate (at Parent’s expense, and subject to a customary joint defense agreement) in, but not control, the defense or settlement of any Transaction Litigation and reasonably cooperate with Parent in conducting the defense or settlement of such Transaction Litigation and (c) not settle any Transaction Litigation without Parent’s prior written consent, which consent will not be unreasonably withheld, conditioned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litigation or which imposes an injunction or other equitable relief upon Parent or any of its affiliates (including the Surviving Company and its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Other Covenants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contains other covenants relating to the preparation and filing of this proxy statement, Section 16 matters, director resignations, financing cooperation, delisting and deregistration, access to information, publicity, notifications, takeover statutes and related party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Conditions to the Completion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respective obligations of LiveRamp, Parent and Merger Sub to effect the Closing are subject to the satisfaction or waiver at or prior to the Closing of each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Requisite LiveRamp Stockholder Approval must have been obtained;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governmental entity has (i) enacted, issued or promulgated any law that is in effect or (ii) issued or granted any order or injunction (whether temporary, preliminary or permanent) that is in effect, in each case which has the effect of restraining, enjoining or otherwise prohibiting the consummation of any of the Transactions; and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statutory waiting period (and any extensions thereof) applicable to the consummation of the Transactions under the HSR Act and any agreements or commitments with a governmental entity not to consummate the Transactions contemplated by the Merger Agreement will have expired or been terminated, (ii) any other required approvals, consents, or clearances under any antitrust laws or FDI laws of the jurisdictions set forth in LiveRamp’s confidential disclosure letter will have been obtained and (iii) CFIUS Approval will have been obtained.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obligations of Parent and Merger Sub to effect the Closing are also subject to the satisfaction or waiver by Parent at or prior to the Closing Date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certain of LiveRamp’s representations and warranties regarding its organization, capital structure, corporate authority and brokers’ and finders’ fees must be true and correct in all material respects at the date of the Merger Agreement and as of the Closing as though made as of the Closing (except to the extent that any such representation or warranty expressly speaks as of a particular date or period of time, in which case such representation or warranty must be true and correct as of such particular date or period of time and for certain </w:t>
      </w:r>
      <w:r>
        <w:rPr>
          <w:rFonts w:ascii="Arial;Helvetica;sans-serif" w:hAnsi="Arial;Helvetica;sans-serif"/>
          <w:b w:val="false"/>
          <w:i/>
          <w:caps w:val="false"/>
          <w:smallCaps w:val="false"/>
          <w:color w:val="000000"/>
          <w:sz w:val="20"/>
        </w:rPr>
        <w:t>de minimis</w:t>
      </w:r>
      <w:r>
        <w:rPr>
          <w:rFonts w:ascii="Arial;Helvetica;sans-serif" w:hAnsi="Arial;Helvetica;sans-serif"/>
          <w:b w:val="false"/>
          <w:i w:val="false"/>
          <w:caps w:val="false"/>
          <w:smallCaps w:val="false"/>
          <w:color w:val="000000"/>
          <w:sz w:val="20"/>
        </w:rPr>
        <w:t xml:space="preserve"> inaccuracies for certain representations, as set forth in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379"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representation and warranty regarding absence of a Company Material Adverse Effect must be true and correct in all respects at the date of the Merger Agreement and as of the Closing as though made as of the Closing;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TOTM"/>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other representations and warranties, without giving effect to any “materiality” or “Company Material Adverse Effect” qualifiers set forth therein, must be true and correct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as of such particular date or period of time), except where any failures of any such representation and warranty to be so true and correct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20">
                <wp:simplePos x="0" y="0"/>
                <wp:positionH relativeFrom="column">
                  <wp:align>left</wp:align>
                </wp:positionH>
                <wp:positionV relativeFrom="line">
                  <wp:posOffset>635</wp:posOffset>
                </wp:positionV>
                <wp:extent cx="1270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have performed or complied in all material respects, all obligations, covenants and agreements required to be performed by it under the Merger Agreement at or prior to the Closing;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 the date of the Merger Agreement, there has not occurred any Company Material Adverse Effect that is continuing;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will have received a certificate, dated as of the Closing, and duly executed by an executive officer of LiveRamp, certifying that the conditions set forth in the preceding five bullets have been satisfied.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obligation of LiveRamp to effect the Closing is also subject to the satisfaction or waiver by LiveRamp at or prior to the Closing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representations and warranties of Parent and Merger Sub regarding organization, good standing and corporate authority, due execution and the absence of finders and brokers must be true and correct in all material respects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in all material respects as of such particular date or period of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representations and warranties of Parent and Merger Sub regarding capitalization of Merger Sub must be true and correct other than for de minimis inaccuracies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other than for de minimis inaccuracies as of such particular date or period of time);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other representations and warranties of Parent and Merger Sub, without giving effect to any “materiality” qualifiers set forth therein, must be true and correct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as of such particular date or period of time), except where any failures of any such representations and warranties to be so true and correct would not reasonably be expected to have, individually or in the aggregate, a material adverse effect on the ability of Parent or Merger Sub to consummate the Transactions contemplated by the Merger Agreement, including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Parent and Merger Sub will have performed in all material respects all obligations required to be performed by it under the Merger Agreement at or prior to the Closing;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have received a certificate, dated as of the Closing, and duly executed on behalf of Parent and Merger Sub by an executive officer of Parent certifying that the conditions set forth in the preceding four bullets have been satisfied.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Termination of the Merger Agreement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certain obligations, the Merger Agreement may be terminated and the Merger and other Transactions may be abandoned at any time before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mutual written consent of Parent and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either Parent or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governmental entity of competent jurisdiction has issued a final, non-appealable order, injunction, decree or ruling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EOT"/>
      <w:bookmarkEnd w:id="8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Closing has not occurred on or prior to the Outside Date, or the extension thereto; provided that the terminating party is not the proximate cause of the failure of Closing to occur by the Outside Date and such action or failure constitutes a material breach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32">
                <wp:simplePos x="0" y="0"/>
                <wp:positionH relativeFrom="column">
                  <wp:align>left</wp:align>
                </wp:positionH>
                <wp:positionV relativeFrom="line">
                  <wp:posOffset>635</wp:posOffset>
                </wp:positionV>
                <wp:extent cx="1270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Requisite LiveRamp Stockholder Approval is not obtained at the Special Meeting duly convened therefor or at any adjournment or postponement thereof;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CFIUS notifies Parent and LiveRamp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Parent (for itself and Merger Sub):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LiveRamp of, or any inaccuracy in, any representation, warranty, covenant, agreement of LiveRamp set forth in the Merger Agreement that would result in a failure of certain conditions to Parent’s or Merger Sub’s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time prior to the receipt of the Requisite LiveRamp Stockholder Approval, there has been a Change of Recommendation or LiveRamp has materially breached the no solicitation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Parent or Merger Sub of, or any inaccuracy in, any representation, warranty, covenant or agreement of Parent or Merger Sub set forth in the Merger Agreement that would result in a failure of certain conditions to LiveRamp’s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prior to the receipt of the Requisite LiveRamp Stockholder Approval, in order to accept a Superior Proposal in accordance with the Merger agreement, provided that LiveRamp pays the Termination Fee.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Effect of Termination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a valid termination of the Merger Agreement by either LiveRamp or Parent as provided in the Merger Agreement, the terminating party must give written notice to the other party specifying the provision or provisions of the Merger Agreement pursuant to which such termination is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Agreement is validly terminated, the Merger Agreement will become null and void and there will be no liability on the part of LiveRamp, Parent or Merger Sub, except that (i) the confidentiality agreement and certain specified provisions of the Merger Agreement will survive such termination and (ii) no such termination will relieve any party from any liability or damages resulting from fraud or willful breach prior to such termination, which damages may include, subject to the terms of the Merger Agreement, damages based on the loss of the economic benefits of the transactions contemplated by the Merger Agreement to holders of Common Stock and Company equity awards entitled to receive the Merger Consideration pursuant to Section 261(a)(1)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Merger Agreement, “Willful Breach” means a deliberate action taken, or deliberate failure to act, by a party that such party intentionally takes (or intentionally fails to take) and actually knows would, or would reasonably be expected to, cause a material breach of the Merger Agreement. “Fraud” means Delaware common law fraud. “Fraud” does not include any claim for equitable fraud, promissory fraud, unfair dealings fraud, or any torts based on negligence or recklessness.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Termination Fee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termination fee equal to $32,350,000 (the “Termination Fee”) will be payable by LiveRamp to Parent in the following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(i) Parent terminates the Merger Agreement because (A) the Requisite LiveRamp Stockholder Approval is not obtained at the Special Meeting, (B) after the date of the Merger Agreement and prior to the date of the Special Meeting, an Acquisition Proposal was publicly disclosed and not publicly withdrawn at least three (3) business </w:t>
      </w:r>
      <w:r>
        <mc:AlternateContent>
          <mc:Choice Requires="wps">
            <w:drawing>
              <wp:anchor behindDoc="0" distT="7620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SPPE"/>
      <w:bookmarkEnd w:id="83"/>
      <w:r>
        <w:rPr>
          <w:rFonts w:ascii="calibri;arial;sans-serif" w:hAnsi="calibri;arial;sans-serif"/>
          <w:b w:val="false"/>
          <w:i w:val="false"/>
          <w:caps w:val="false"/>
          <w:smallCaps w:val="false"/>
          <w:color w:val="000000"/>
          <w:sz w:val="16"/>
        </w:rPr>
        <w:t>​</w:t>
      </w:r>
      <w:bookmarkStart w:id="84" w:name="tEX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days prior to the Special Meeting and (C) within twelve (12) months of such termination, an Acquisition Proposal is consummated or a definitive agreement providing for an Acquisition Proposal is entered into; or (ii) prior to obtaining the Requisite LiveRamp Stockholder Approval, (A) a Change of Recommendation has occurred or (B) LiveRamp has materially breached the no solicitation provisions of the Merger Agreement (provided that, for such purposes, the references to fifteen percent (“15%”) and eighty-five percent (“85%”) in the definition of Acquisition Proposal are deemed to be references to fifty percent (“50%”));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prior to obtaining the Requisite LiveRamp Stockholder Approval in order to effect a Change of Recommendation and enter into a definitive agreement providing for a Superior Proposal in accordance with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(i) after the date of the Merger Agreement and prior to the termination of the Merger Agreement, an Acquisition Proposal is made to the Board or LiveRamp’s management or becomes publicly disclosed and not withdrawn prior to such termination, (ii) Parent or LiveRamp terminates the Merger Agreement because (A) the Closing has not occurred by the Outside Date or (B) Parent terminates the Merger Agreement due to (x) a breach of, or LiveRamp’s failure to perform or comply with the covenants or agreements under the Merger Agreement following the making of such Acquisition Proposal or (y) there has been a Change of Recommendation (if LiveRamp has materially breached the no solicitation covenant under the Merger Agreement); and (iii) within twelve (12) months of such termination, an Acquisition Proposal is consummated or a definitive agreement providing for an Acquisition Proposal is entered into (provided that, for such purposes, the references to fifteen percent (“15%”) and eighty-five percent (“85%”) in the definition of Acquisition Proposal are deemed to be references to “50%”).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no event will LiveRamp be required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Regulatory Termination Fee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regulatory termination fee equal to $32,350,000 (the “Regulatory Termination Fee”) will be payable by Parent to LiveRamp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or Parent terminates the Merger Agreement at a time when LiveRamp would have been permitted to do so, because the merger has not been completed by the Outside Date (or an extension thereto) at a time when all conditions to Closing have been satisfied or validly waived (other than those conditions that by their nature are to be satisfied at the Closing and certain regulatory conditions);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either party terminates the Merger Agreement because a governmental entity of competent jurisdiction has issued a final, non-appealable order permanently restraining, enjoining or otherwise prohibiting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Regulatory Termination Fee payable by Parent must be paid by wire transfer of immediately available funds. In no event will Parent be required to pay the Regulatory Termination Fee more than once.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Specific Performance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have agreed that irreparable injury would occur if any provision of the Merger Agreement were not performed in accordance with its specific terms or were otherwise breached and that, accordingly, prior to any valid termination of the Merger Agreement in accordance with its terms, each party would be entitled to equitable remedies, including injunctions to prevent or remedy breaches or threatened breaches of the Merger Agreement and specific performance to enforce the terms and provisions of the Merger Agreement, including the parties’ obligations to consummate the Merger and the other Transactions contemplated by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Expenses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Except as otherwise expressly provided in the Merger Agreement, all costs and expenses incurred in connection with the Merger Agreement and the Merger shall be paid by the party incurring such costs and expenses. All expenses incurred in connection with the filing, printing and mailing of this proxy statement will be borne by LiveRamp and all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AME"/>
      <w:bookmarkEnd w:id="85"/>
      <w:r>
        <w:rPr>
          <w:rFonts w:ascii="calibri;arial;sans-serif" w:hAnsi="calibri;arial;sans-serif"/>
          <w:b w:val="false"/>
          <w:i w:val="false"/>
          <w:caps w:val="false"/>
          <w:smallCaps w:val="false"/>
          <w:color w:val="000000"/>
          <w:sz w:val="16"/>
        </w:rPr>
        <w:t>​</w:t>
      </w:r>
      <w:bookmarkStart w:id="86" w:name="tGLJ"/>
      <w:bookmarkEnd w:id="86"/>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filing fees in connection with (i) HSR Act filings will be borne by Parent and LiveRamp for their respective HSR Act filings, (ii) CFIUS filings will be borne jointly by Parent and LiveRamp and (iii) FDI and other antitrust filings will be borne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Amendment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applicable law and except as otherwise provided in the Merger Agreement, the Merger Agreement may be amended, modified and supplemented by written agreement of each of the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and from time to time prior to the Effective Time, either LiveRamp, on the one hand, or Parent and Merger Sub, on the other hand, may, to the extent legally allowed and except as otherwise set forth in the Merger Agreement, (i) extend the time for the performance of any of the obligations or other acts of the other parties, as applicable, (ii) waive any inaccuracies in the representations and warranties made by the other parties contained therein or in any document delivered pursuant thereto and (iii) waive compliance with any of the agreements or conditions for their respective benefit contained therein. Any agreement on the part of Parent, Merger Sub or LiveRamp to any such extension or waiver shall be valid only if set forth in an instrument in writing signed on behalf of Parent or LiveRamp, as applicable. No failure or delay by LiveRamp, Parent or Merger Sub in exercising any right thereunder shall operate as a waiver thereof nor shall any single or partial exercise thereof preclude any other or further exercise of any other right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Governing Law; Jurisdiction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agreed that the Merger Agreement and all claims, causes of action (whether in contract, tort or statute) or other matters that may directly or indirectly arise out of, relate to or be connected with the Merger Agreement, the Merger or the other Transactions contemplated by the Merger Agreement will be governed by and construed in accordance with the laws of the State of Delaware, without giving effect to principles of conflicts of laws that would result in the application of the laws of another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also agreed to submit to the exclusive jurisdiction of the Court of Chancery of the State of Delaware or, if such court finds that it lacks jurisdiction, the federal court of the United States sitting in Delaware, and any appellate court thereof, in connection with any action or proceeding arising out of or relating to the Merger Agreement, the Merger or the other Transactions contemplated by the Merger Agreement. Each party also agreed not to bring any such action or proceeding in any other court and waived any objection to venue in such courts, including any claim that such proceeding has been brought in an inconvenient forum.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each party agreed that a final judgment in any such action or proceeding may be enforced in other jurisdictions in accordance with applicable law and consented to service of process in the manner provided in the notice provisions of the Merger Agreement, although nothing in the Merger Agreement limits any other lawful manner of service of process.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AOTS"/>
      <w:bookmarkEnd w:id="87"/>
      <w:r>
        <w:rPr>
          <w:rFonts w:ascii="calibri;arial;sans-serif" w:hAnsi="calibri;arial;sans-serif"/>
          <w:b w:val="false"/>
          <w:i w:val="false"/>
          <w:caps w:val="false"/>
          <w:smallCaps w:val="false"/>
          <w:color w:val="000000"/>
          <w:sz w:val="16"/>
        </w:rPr>
        <w:t>​</w:t>
      </w:r>
      <w:bookmarkStart w:id="88" w:name="tREOFTB"/>
      <w:bookmarkEnd w:id="88"/>
      <w:r>
        <w:rPr>
          <w:rFonts w:ascii="calibri;arial;sans-serif" w:hAnsi="calibri;arial;sans-serif"/>
          <w:b w:val="false"/>
          <w:i w:val="false"/>
          <w:caps w:val="false"/>
          <w:smallCaps w:val="false"/>
          <w:color w:val="000000"/>
          <w:sz w:val="16"/>
        </w:rPr>
        <w:t xml:space="preserve">​ </w:t>
      </w:r>
    </w:p>
    <w:tbl>
      <w:tblPr>
        <w:tblW w:w="4687" w:type="dxa"/>
        <w:jc w:val="left"/>
        <w:tblInd w:w="440" w:type="dxa"/>
        <w:tblLayout w:type="fixed"/>
        <w:tblCellMar>
          <w:top w:w="0" w:type="dxa"/>
          <w:left w:w="0" w:type="dxa"/>
          <w:bottom w:w="0" w:type="dxa"/>
          <w:right w:w="0" w:type="dxa"/>
        </w:tblCellMar>
      </w:tblPr>
      <w:tblGrid>
        <w:gridCol w:w="124"/>
        <w:gridCol w:w="226"/>
        <w:gridCol w:w="109"/>
        <w:gridCol w:w="109"/>
        <w:gridCol w:w="109"/>
        <w:gridCol w:w="385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3856"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Adjournment(s) of the Special Meeting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2)</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asking our stockholders to approve a proposal for one or more adjournments of the Special Meeting, if necessary or appropriate, to solicit additional proxies if we have not obtained sufficient affirmative stockholder votes to adopt the Merger Agreement Proposal. If our stockholders approve this Adjournment Proposal, we could adjourn the Special Meeting, and any adjourned session(s) of the Special Meeting, and use the additional time to solicit additional proxies.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Special Meeting, the number of outstanding shares of Common Stock present virtually via the internet or represented by proxy and voting in favor of the Merger Agreement Proposal is not sufficient to adopt the Merger Agreement and approve the Transactions contemplated thereby, including the Merger, we may move to adjourn the Special Meeting in order to enable our directors, officers and employees to solicit additional proxies for the approval of the Merger Agreement Proposal. In that event, we will ask our stockholders to vote on the proposals set forth in this Proxy Statement, other than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relates only to an adjournment of the Special Meeting, and any adjourned session of the Special Meeting, occurring for purposes of soliciting additional proxies to approve the Merger Agreement Proposal in the event that there are insufficient votes to approve the Merger Agreement Proposal. We retain full authority to the extent set forth in our Bylaws and the DGCL (subject to the terms of the Merger Agreement) to adjourn the Special Meeting for any other purpose without the consent of any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stockholders vote “FOR” the approval of the Adjournment Proposal.</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EODP"/>
      <w:bookmarkEnd w:id="89"/>
      <w:r>
        <w:rPr>
          <w:rFonts w:ascii="calibri;arial;sans-serif" w:hAnsi="calibri;arial;sans-serif"/>
          <w:b w:val="false"/>
          <w:i w:val="false"/>
          <w:caps w:val="false"/>
          <w:smallCaps w:val="false"/>
          <w:color w:val="000000"/>
          <w:sz w:val="16"/>
        </w:rPr>
        <w:t xml:space="preserve">​ </w:t>
      </w:r>
    </w:p>
    <w:tbl>
      <w:tblPr>
        <w:tblW w:w="2962" w:type="dxa"/>
        <w:jc w:val="left"/>
        <w:tblInd w:w="440" w:type="dxa"/>
        <w:tblLayout w:type="fixed"/>
        <w:tblCellMar>
          <w:top w:w="0" w:type="dxa"/>
          <w:left w:w="0" w:type="dxa"/>
          <w:bottom w:w="0" w:type="dxa"/>
          <w:right w:w="0" w:type="dxa"/>
        </w:tblCellMar>
      </w:tblPr>
      <w:tblGrid>
        <w:gridCol w:w="124"/>
        <w:gridCol w:w="226"/>
        <w:gridCol w:w="109"/>
        <w:gridCol w:w="109"/>
        <w:gridCol w:w="109"/>
        <w:gridCol w:w="213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13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Election of Directors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3)</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members of the LiveRamp Board is currently set at seven and may be fixed from time to time by the Board in the manner provided in the Company’s Bylaws. Our Certificate of Incorporation and Bylaws provide for three classes of directors serving staggered three-year terms, with each class to be as nearly equal in number as possible. The terms of three current directors, Timothy R. Cadogan, Vivian Chow and Scott E. Howe, expire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recommendation of the Governance/Nominating Committee of the Board (the “GNC”), the Board has nominated Mr. Cadogan, Ms. Chow and Mr. Howe to stand for election as directors at the Special Meeting. Each of the current Board nominees was most recently elected to the Board at the 2023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directed, the individuals named as proxies will vote that proxy for the election of the nominees, with each to hold office for a term of three years until the 2029 Annual Meeting of Stockholders or until their respective successors are duly elected and qualified, or until their earlier resignation, removal or death. The Board expects that each of the nominees will be available for election, but in the event that any of them is not available, proxies received will be voted for substitute nominees to be designated by the Board or, in the event no such designation is made, proxies will be voted for a lesser number of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potential nominees for service on the Board, the GNC strives to identify individuals who are the best possible candidates to serve. Candidates are selected on the basis of their breadth of experience, wisdom, integrity, ability to make independent analytical inquiries, understanding of our business and our business environment, and willingness to devote adequate time to Board duties. Board members are expected to have the highest personal and professional ethics, integrity and values, and to be committed to representing the long-term interests of the Company and its stockholders. They are also expected to have an inquisitive and objective perspective, practical wisdom, mature judgment, and a commitment to serve on the Board for an extended period of time in order to develop an in-depth knowledge of LiveRamp, its strategy, and its principal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and Board seek candidates who demonstrate a willingness to evaluate management’s performance objectively and who have no activities or interests that could conflict with their responsibilities to LiveRamp. The GNC annually assesses the appropriate balance of skills and characteristics that are desired for the Board, and together with the full Board, strives to create a diversified membership. With respect to vacancies on the Board, the GNC believes that it is of paramount importance to seek qualified candidates who will provide more gender and ethnic diversity to the Board. Of our current Board members, 43% are women, one of whom is the chair of our Audit/Finance Committee. In addition, 14% of our current directors are of underrepresented ethnicities.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connection with each nominee recommendation, the GNC considers the issue of continuing director tenure and attempts to ensure that the Board maintains an openness to new ideas and a willingness to critically examine the status quo. The Board does not believe that there should be term or age limits for directors. While such limits could help ensure that there are fresh ideas and viewpoints available to the Board, term and age limits nevertheless have the disadvantage of forcing the loss of the considerable contributions of those directors who have developed, over a period of time, a deep understanding of the Company and its operations and who are thus able to make increasingly valuable contributions to the Board. In addition, due to their familiarity with the Company, longer-term directors may not need to devote as much time to effectively execute their responsibilities as shorter-tenured Board members who may need to spend more time becoming familiar with the business of the Company and the industry within which it operates. In lieu of term or age limits, the GNC, as part of its annual board evaluation process, assesses each sitting director’s potential continuing contributions to the Board based upon the results of annual individual peer-to-peer reviews.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NOCODI"/>
      <w:bookmarkEnd w:id="90"/>
      <w:r>
        <w:rPr>
          <w:rFonts w:ascii="calibri;arial;sans-serif" w:hAnsi="calibri;arial;sans-serif"/>
          <w:b w:val="false"/>
          <w:i w:val="false"/>
          <w:caps w:val="false"/>
          <w:smallCaps w:val="false"/>
          <w:color w:val="000000"/>
          <w:sz w:val="16"/>
        </w:rPr>
        <w:t>​</w:t>
      </w:r>
      <w:bookmarkStart w:id="91" w:name="tNOCODIEX"/>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Nominees and Continuing Directors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Set forth below is biographical information for each nominee standing for election at the Special Meeting, as well as for each director who will continue to serve as a director of the Company after the Special Meeting. The following descriptions also outline each person’s background and qualifications that qualify him or her to serve on the Company’s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Nominees for Director with Terms Expiring in 2026</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568"/>
        <w:gridCol w:w="109"/>
        <w:gridCol w:w="109"/>
        <w:gridCol w:w="7460"/>
        <w:gridCol w:w="155"/>
      </w:tblGrid>
      <w:tr>
        <w:trPr/>
        <w:tc>
          <w:tcPr>
            <w:tcW w:w="124" w:type="dxa"/>
            <w:tcBorders/>
            <w:vAlign w:val="center"/>
          </w:tcPr>
          <w:p>
            <w:pPr>
              <w:pStyle w:val="TableContents"/>
              <w:bidi w:val="0"/>
              <w:spacing w:before="0" w:after="283"/>
              <w:jc w:val="left"/>
              <w:rPr/>
            </w:pPr>
            <w:r>
              <w:rPr/>
              <w:t>​</w:t>
            </w:r>
          </w:p>
        </w:tc>
        <w:tc>
          <w:tcPr>
            <w:tcW w:w="1568"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5" descr=""/>
                          <pic:cNvPicPr>
                            <a:picLocks noChangeAspect="1" noChangeArrowheads="1"/>
                          </pic:cNvPicPr>
                        </pic:nvPicPr>
                        <pic:blipFill>
                          <a:blip r:embed="rId6"/>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60" w:type="dxa"/>
            <w:vMerge w:val="restart"/>
            <w:tcBorders/>
            <w:vAlign w:val="center"/>
          </w:tcPr>
          <w:p>
            <w:pPr>
              <w:pStyle w:val="TableContents"/>
              <w:bidi w:val="0"/>
              <w:spacing w:lineRule="atLeast" w:line="222" w:before="0" w:after="283"/>
              <w:jc w:val="both"/>
              <w:rPr/>
            </w:pPr>
            <w:r>
              <w:rPr/>
              <w:t>Mr. Cadogan became CEO of GoFundMe in March 2020 and is focused on accelerating the company’s mission to help people help each other. Before joining GoFundMe, he was CEO of OpenX, a leading provider of digital advertising technology. Mr. Cadogan continues to serve OpenX as its chairman of the board. Mr. Cadogan previously held various leadership positions at Yahoo! and Overture. He began his career at The Boston Consulting Group in London. He holds a BSc from the London School of Economics, an MPhil from Oxford University, and an MBA from Stanford University. Mr. Cadogan is a widely recognized voice in the media on giving and innovation, being recognized as a leading innovator in TIME’s 2025 List of the 100 Most Influential People in the World. He has been profiled by The New York Times, The Wall Street Journal, Fortune, and The Financial Times.</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Mr. Cadogan’s qualifications to serve on the Board include his extensive experience in the fields of digital advertising and technology as well as his years of management experience. His 18 years as a chief executive officer qualify him to serve as chair of the Talent and Compensation Committee and provide extensive insight into managing complex business operations and overseeing business risk.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68"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Timothy R. Cadogan</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68" w:type="dxa"/>
            <w:tcBorders/>
            <w:shd w:fill="00BC6F" w:val="clear"/>
            <w:vAlign w:val="center"/>
          </w:tcPr>
          <w:p>
            <w:pPr>
              <w:pStyle w:val="TableContents"/>
              <w:bidi w:val="0"/>
              <w:spacing w:before="0" w:after="0"/>
              <w:ind w:left="80" w:right="0" w:hanging="0"/>
              <w:jc w:val="left"/>
              <w:rPr/>
            </w:pPr>
            <w:r>
              <w:rPr/>
              <w:t>Age 55</w:t>
              <w:br/>
              <w:t>Director since 2012</w:t>
            </w:r>
          </w:p>
          <w:p>
            <w:pPr>
              <w:pStyle w:val="TableContents"/>
              <w:bidi w:val="0"/>
              <w:spacing w:before="240" w:after="283"/>
              <w:ind w:left="80" w:right="0" w:hanging="0"/>
              <w:jc w:val="left"/>
              <w:rPr/>
            </w:pPr>
            <w:r>
              <w:rPr/>
              <w:t>Committees:</w:t>
              <w:br/>
              <w:t xml:space="preserve">Talent and </w:t>
              <w:br/>
              <w:t>Compensation (Chair), GNC</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tbl>
      <w:tblPr>
        <w:tblW w:w="9525" w:type="dxa"/>
        <w:jc w:val="left"/>
        <w:tblInd w:w="680" w:type="dxa"/>
        <w:tblLayout w:type="fixed"/>
        <w:tblCellMar>
          <w:top w:w="0" w:type="dxa"/>
          <w:left w:w="0" w:type="dxa"/>
          <w:bottom w:w="0" w:type="dxa"/>
          <w:right w:w="0" w:type="dxa"/>
        </w:tblCellMar>
      </w:tblPr>
      <w:tblGrid>
        <w:gridCol w:w="124"/>
        <w:gridCol w:w="1541"/>
        <w:gridCol w:w="109"/>
        <w:gridCol w:w="109"/>
        <w:gridCol w:w="7487"/>
        <w:gridCol w:w="155"/>
      </w:tblGrid>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6" descr=""/>
                          <pic:cNvPicPr>
                            <a:picLocks noChangeAspect="1" noChangeArrowheads="1"/>
                          </pic:cNvPicPr>
                        </pic:nvPicPr>
                        <pic:blipFill>
                          <a:blip r:embed="rId7"/>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87" w:type="dxa"/>
            <w:vMerge w:val="restart"/>
            <w:tcBorders/>
            <w:vAlign w:val="center"/>
          </w:tcPr>
          <w:p>
            <w:pPr>
              <w:pStyle w:val="TableContents"/>
              <w:bidi w:val="0"/>
              <w:spacing w:lineRule="atLeast" w:line="222" w:before="0" w:after="283"/>
              <w:jc w:val="both"/>
              <w:rPr/>
            </w:pPr>
            <w:r>
              <w:rPr/>
              <w:t>Ms. Chow served as SVP, Strategic Execution &amp; Operations of DocuSign, Inc. (NASDAQ: DOCU), an agreement cloud company, from March 2021-February 2022, in which role she was responsible for priority projects including the delivery, assessment, solution design, process and workflow optimization. From 2013-2021, she served as DocuSign’s Chief Accounting Officer and was responsible for accounting, sales compensation, internal audit, tax and treasury. Prior to joining DocuSign in 2013, she served for five years as the VP, Worldwide Controller for Electronic Arts Inc. (NASDAQ: EA), a leading publisher of video games. Prior to that, she held VP and Corporate Controller positions at Restoration Hardware (NYSE: RH), a home furnishings retailer, and Thermage, Inc., a medical device manufacturer. Previously, she held leadership positions at Fair, Isaac &amp; Company, Inc. (NYSE: FICO), Calypte Biomedical Corporation and Nextel Communications. Ms. Chow started her career at Arthur Andersen &amp; Co., a public accounting partnership, where she served various clients in the audit and financial services consulting practices. Ms. Chow is also the Board Chair and Audit Committee Chair of Powerlaw Corp., a closed-ended management investment company. Ms. Chow holds a Bachelor of Science degree in accounting from Lehigh University. She is a certified public accountant (inactive) in the State of California.</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Chow’s extensive background in financial management and accounting, tax, treasury and internal audit functions qualifies her to serve on the Board and as chair of the Company’s Audit/Finance Committee. Based on her experience and expertise, Ms. Chow is deemed to be an “audit committee financial expert”, as defined by the rules of the SEC.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41"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Vivian Chow</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41" w:type="dxa"/>
            <w:tcBorders/>
            <w:shd w:fill="00BC6F" w:val="clear"/>
            <w:vAlign w:val="center"/>
          </w:tcPr>
          <w:p>
            <w:pPr>
              <w:pStyle w:val="TableContents"/>
              <w:bidi w:val="0"/>
              <w:spacing w:before="0" w:after="0"/>
              <w:ind w:left="80" w:right="0" w:hanging="0"/>
              <w:jc w:val="left"/>
              <w:rPr/>
            </w:pPr>
            <w:r>
              <w:rPr/>
              <w:t>Age 59</w:t>
              <w:br/>
              <w:t>Director since 2020</w:t>
            </w:r>
          </w:p>
          <w:p>
            <w:pPr>
              <w:pStyle w:val="TableContents"/>
              <w:bidi w:val="0"/>
              <w:spacing w:before="240" w:after="283"/>
              <w:ind w:left="80" w:right="0" w:hanging="0"/>
              <w:jc w:val="left"/>
              <w:rPr/>
            </w:pPr>
            <w:r>
              <w:rPr/>
              <w:t>Committees:</w:t>
              <w:br/>
              <w:t>Audit/Finance (Chair), Executive</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DITEG"/>
      <w:bookmarkEnd w:id="92"/>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Election of Directors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489"/>
        <w:gridCol w:w="109"/>
        <w:gridCol w:w="109"/>
        <w:gridCol w:w="7539"/>
        <w:gridCol w:w="155"/>
      </w:tblGrid>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7" descr=""/>
                          <pic:cNvPicPr>
                            <a:picLocks noChangeAspect="1" noChangeArrowheads="1"/>
                          </pic:cNvPicPr>
                        </pic:nvPicPr>
                        <pic:blipFill>
                          <a:blip r:embed="rId8"/>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39" w:type="dxa"/>
            <w:vMerge w:val="restart"/>
            <w:tcBorders/>
            <w:vAlign w:val="center"/>
          </w:tcPr>
          <w:p>
            <w:pPr>
              <w:pStyle w:val="TableContents"/>
              <w:bidi w:val="0"/>
              <w:spacing w:lineRule="atLeast" w:line="222" w:before="0" w:after="283"/>
              <w:jc w:val="both"/>
              <w:rPr/>
            </w:pPr>
            <w:r>
              <w:rPr/>
              <w:t>Mr. Howe joined the Company in 2011 as its Chief Executive Officer (“CEO”) and President. Prior to joining the Company, he served as corporate vice president of Microsoft Advertising Business Group from 2007-2010. In this role, he managed a multi-billion-dollar business encompassing all emerging businesses related to online advertising, including search, display, ad networks, in-game, mobile, digital cable and a variety of enterprise software applications. Mr. Howe was employed from 1999-2007 as an executive and later as a corporate officer at aQuantive, Inc. where he managed three lines of business, including Avenue A | Razorfish (a leading Seattle-based global consultancy in digital marketing and technology), DRIVE Performance Media (now Microsoft Media Network), and Atlas International (an adserving technology now owned by Facebook). Earlier in his career, he was with The Boston Consulting Group and Kidder, Peabody &amp; Company, Inc. He is a member of the board of the Internet Advertising Bureau (IAB) and previously served on the board of Blue Nile, Inc., a leading online retailer of diamonds and fine jewelry. He is a magna cum laude graduate of Princeton University, where he earned a degree in economics, and he holds an MBA from Harvard University.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The Board believes it is important for LiveRamp’s CEO to serve as a member of the Board, as the CEO is in a unique position to understand the challenges and issues facing the Company. Among Mr. Howe’s qualifications are his demonstrated leadership skills and his prior work experience, including over a decade of corporate leadership in the digital advertising industry, which qualify him to serve both as CEO and as a director.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489"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Scott E. Howe</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9" w:type="dxa"/>
            <w:tcBorders/>
            <w:shd w:fill="00BC6F" w:val="clear"/>
            <w:vAlign w:val="center"/>
          </w:tcPr>
          <w:p>
            <w:pPr>
              <w:pStyle w:val="TableContents"/>
              <w:bidi w:val="0"/>
              <w:spacing w:lineRule="atLeast" w:line="180" w:before="0" w:after="0"/>
              <w:ind w:left="80" w:right="0" w:hanging="0"/>
              <w:jc w:val="left"/>
              <w:rPr/>
            </w:pPr>
            <w:r>
              <w:rPr/>
              <w:t>Age 58</w:t>
              <w:br/>
              <w:t>Director since 2011</w:t>
            </w:r>
          </w:p>
          <w:p>
            <w:pPr>
              <w:pStyle w:val="TableContents"/>
              <w:bidi w:val="0"/>
              <w:spacing w:lineRule="atLeast" w:line="200" w:before="240" w:after="283"/>
              <w:ind w:left="80" w:right="0" w:hanging="0"/>
              <w:jc w:val="left"/>
              <w:rPr/>
            </w:pPr>
            <w:r>
              <w:rPr/>
              <w:t>Committees:</w:t>
              <w:br/>
              <w:t>Executive (Chair)</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20" w:before="264"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Directors with Terms Expiring in 2027</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509"/>
        <w:gridCol w:w="109"/>
        <w:gridCol w:w="109"/>
        <w:gridCol w:w="7519"/>
        <w:gridCol w:w="155"/>
      </w:tblGrid>
      <w:tr>
        <w:trPr/>
        <w:tc>
          <w:tcPr>
            <w:tcW w:w="124"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lineRule="atLeast" w:line="222" w:before="0" w:after="0"/>
              <w:jc w:val="center"/>
              <w:rPr/>
            </w:pPr>
            <w:r>
              <w:rPr/>
              <w:drawing>
                <wp:inline distT="0" distB="0" distL="0" distR="0">
                  <wp:extent cx="866775" cy="942975"/>
                  <wp:effectExtent l="0" t="0" r="0" b="0"/>
                  <wp:docPr id="4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8" descr=""/>
                          <pic:cNvPicPr>
                            <a:picLocks noChangeAspect="1" noChangeArrowheads="1"/>
                          </pic:cNvPicPr>
                        </pic:nvPicPr>
                        <pic:blipFill>
                          <a:blip r:embed="rId9"/>
                          <a:stretch>
                            <a:fillRect/>
                          </a:stretch>
                        </pic:blipFill>
                        <pic:spPr bwMode="auto">
                          <a:xfrm>
                            <a:off x="0" y="0"/>
                            <a:ext cx="866775"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19" w:type="dxa"/>
            <w:vMerge w:val="restart"/>
            <w:tcBorders/>
            <w:vAlign w:val="center"/>
          </w:tcPr>
          <w:p>
            <w:pPr>
              <w:pStyle w:val="TableContents"/>
              <w:bidi w:val="0"/>
              <w:spacing w:lineRule="atLeast" w:line="222" w:before="0" w:after="283"/>
              <w:jc w:val="both"/>
              <w:rPr/>
            </w:pPr>
            <w:r>
              <w:rPr/>
              <w:t>Mr. Battelle is an entrepreneur, journalist, professor and author who has founded or co-founded various media and technology-based businesses. He is the co-founder of DOC, a health media and events business, and founded Recount Media Inc., a NY-based media platform, sold in 2023 to The News Movement. He currently serves as chair of the board of directors of Sovrn Holdings, Inc., a programmatic advertising and publisher. He has served as Distinguished Professor of Practice at Northeastern as well as Adjunct Professor and Senior Research Scholar at Columbia University, and serves as director at the UC Berkeley Graduate School of Journalism. Previously, he was the founder and CEO of NewCo Platform, Inc., a disruptive conference and media platform. In 2005, Mr. Battelle founded the internet media company Federated Media Publishing, where he served as chairman and CEO until its sale to LIN Media in 2014.</w:t>
            </w:r>
          </w:p>
          <w:p>
            <w:pPr>
              <w:pStyle w:val="TableContents"/>
              <w:bidi w:val="0"/>
              <w:spacing w:lineRule="atLeast" w:line="222" w:before="120" w:after="283"/>
              <w:jc w:val="both"/>
              <w:rPr/>
            </w:pPr>
            <w:r>
              <w:rPr/>
              <w:t>Mr. Battelle founded and served as executive producer of the Web 2 Summit and maintains Searchblog, an ongoing daily site which covers the intersection of media, technology and culture. From 2001-2004 he occupied the Bloomberg chair in Business Journalism for the Graduate School of Journalism at the University of California, Berkeley. He was the founder and served from 1997-2001 as chairman and CEO of Standard Media International (SMI) and as publisher of The Industry Standard and TheStandard.com. Prior to that, he was a co-founding editor of Wired magazine and Wired Ventures. Mr. Battelle previously served on the board of directors of the MMA, and the Internet Advertising Bureau, and he was the founding board member of the Online Publishers Association. In 2005, he authored The Search: How Google and Its Rivals Rewrote the Rules of Business and Transformed Our Culture (Penguin/Portfolio), an international bestseller published in more than 25 languages. He is considered to be an expert in the field of media and technology, and has appeared on national and international news channels such as CBS, BBC, CNN, PBS, Discovery and CNBC. Honors and awards include: “Global Leader for Tomorrow” and “Young Global Leader” by the World Economic Forum in Davos, Switzerland; a finalist in the 2000 “Entrepreneur of the Year” competition by Ernst &amp; Young; “Innovator — One of Ten Best Marketers in the Business” by Advertising Age; and one of the “Most Important People on The Web” by PCWorld. Mr. Battelle holds a bachelor’s degree in anthropology and a master’s degree in journalism from the University of California, Berkeley.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As an entrepreneur with an extensive background in digital publishing and digital advertising, Mr. Battelle provides the Board with a unique blend of media-related and digital experience that assists the Company in executing its growth strategy. In addition, his operational and advisory roles with various media businesses qualify him to serve on the Board. His extensive experience as a director and long tenure on the Board qualify him to serve as chair of the Company’s Governance/Nominating Committee.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09"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John L. Battelle</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9" w:type="dxa"/>
            <w:tcBorders/>
            <w:shd w:fill="00BC6F" w:val="clear"/>
            <w:vAlign w:val="center"/>
          </w:tcPr>
          <w:p>
            <w:pPr>
              <w:pStyle w:val="TableContents"/>
              <w:bidi w:val="0"/>
              <w:spacing w:lineRule="atLeast" w:line="180" w:before="0" w:after="0"/>
              <w:ind w:left="80" w:right="0" w:hanging="0"/>
              <w:jc w:val="left"/>
              <w:rPr/>
            </w:pPr>
            <w:r>
              <w:rPr/>
              <w:t>Age 60</w:t>
              <w:br/>
              <w:t>Director since 2012</w:t>
            </w:r>
          </w:p>
          <w:p>
            <w:pPr>
              <w:pStyle w:val="TableContents"/>
              <w:bidi w:val="0"/>
              <w:spacing w:lineRule="atLeast" w:line="200" w:before="240" w:after="283"/>
              <w:ind w:left="80" w:right="0" w:hanging="0"/>
              <w:jc w:val="left"/>
              <w:rPr/>
            </w:pPr>
            <w:r>
              <w:rPr/>
              <w:t>Committees:</w:t>
              <w:br/>
              <w:t>GNC (Chair),</w:t>
              <w:br/>
              <w:t>Talent and Compensation</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DIWITE"/>
      <w:bookmarkEnd w:id="93"/>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1507"/>
        <w:gridCol w:w="109"/>
        <w:gridCol w:w="109"/>
        <w:gridCol w:w="7521"/>
        <w:gridCol w:w="155"/>
      </w:tblGrid>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lineRule="atLeast" w:line="222" w:before="0" w:after="0"/>
              <w:jc w:val="center"/>
              <w:rPr/>
            </w:pPr>
            <w:r>
              <w:rPr/>
              <w:drawing>
                <wp:inline distT="0" distB="0" distL="0" distR="0">
                  <wp:extent cx="866775" cy="942975"/>
                  <wp:effectExtent l="0" t="0" r="0" b="0"/>
                  <wp:docPr id="4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9" descr=""/>
                          <pic:cNvPicPr>
                            <a:picLocks noChangeAspect="1" noChangeArrowheads="1"/>
                          </pic:cNvPicPr>
                        </pic:nvPicPr>
                        <pic:blipFill>
                          <a:blip r:embed="rId10"/>
                          <a:stretch>
                            <a:fillRect/>
                          </a:stretch>
                        </pic:blipFill>
                        <pic:spPr bwMode="auto">
                          <a:xfrm>
                            <a:off x="0" y="0"/>
                            <a:ext cx="866775"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21" w:type="dxa"/>
            <w:vMerge w:val="restart"/>
            <w:tcBorders/>
            <w:vAlign w:val="center"/>
          </w:tcPr>
          <w:p>
            <w:pPr>
              <w:pStyle w:val="TableContents"/>
              <w:bidi w:val="0"/>
              <w:spacing w:lineRule="atLeast" w:line="222" w:before="0" w:after="283"/>
              <w:jc w:val="both"/>
              <w:rPr/>
            </w:pPr>
            <w:r>
              <w:rPr/>
              <w:t>Ms. Tomlin is a member of the board of directors of Weave Communications, Inc. (NYSE: WEAV), a leading customer communications and engagement software platform. She also serves as an advisor to Blumberg Capital, a venture capital firm and is a former independent director of Nexla, Inc., a venture-backed data fabric architecture company. She was chief marketing officer and head of global communications at NortonLifeLock Inc. (NASDAQ: NLOK), formerly Symantec (NASDAQ: SYMC) until September 2020. Prior to joining Symantec, Ms. Tomlin served from 2012-2019 as EVP, chief marketing, distribution and customer officer for CSAA Insurance Group (“CSAA”), a major provider of AAA-branded insurance, leading all aspects of marketing, sales/distribution, customer experience, enterprise strategy, and data intelligence.</w:t>
            </w:r>
          </w:p>
          <w:p>
            <w:pPr>
              <w:pStyle w:val="TableContents"/>
              <w:bidi w:val="0"/>
              <w:spacing w:lineRule="atLeast" w:line="222" w:before="120" w:after="283"/>
              <w:jc w:val="both"/>
              <w:rPr/>
            </w:pPr>
            <w:r>
              <w:rPr/>
              <w:t>From 2007-2012, Ms. Tomlin held several senior leadership positions, including vice president of marketing at Capital One Financial Corp. (NYSE: COF), where she led commercial banking, retail, national small business credit card and sponsorship marketing. Before joining Capital One, Ms. Tomlin held the roles of senior marketing officer, head of life insurance product management and corporate brand at USAA, a Fortune 500 diversified financial services group. Prior to USAA, she held numerous marketing positions, including chief marketing officer at LOMA, an international organization providing products for distribution, operations and education training for global financial services companies.</w:t>
            </w:r>
          </w:p>
          <w:p>
            <w:pPr>
              <w:pStyle w:val="TableContents"/>
              <w:bidi w:val="0"/>
              <w:spacing w:lineRule="atLeast" w:line="222" w:before="120" w:after="283"/>
              <w:jc w:val="both"/>
              <w:rPr/>
            </w:pPr>
            <w:r>
              <w:rPr/>
              <w:t>Ms. Tomlin is a former member of the board of directors of the YMCA of San Francisco and the Amyotrophic Lateral Sclerosis (ALS) Society of Georgia. She has been repeatedly honored by the San Francisco Business Times as one of the Bay Area’s Most Influential Women in Business. Ms. Tomlin holds a bachelor’s degree in English from Siena College and a master’s degree in political science from North Carolina State University.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Tomlin’s prior experience as chief marketing officer and head of global communications of one of the world’s leading cyber security firms and as CMO of one of the country’s top insurance companies qualifies her to serve on our Board. In addition, her in-depth knowledge of two of the Company’s primary client industries, insurance and banking, provides insight into the Company’s strategies from a customer perspective.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07"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Debora B. Tomlin</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7" w:type="dxa"/>
            <w:tcBorders/>
            <w:shd w:fill="00BC6F" w:val="clear"/>
            <w:vAlign w:val="center"/>
          </w:tcPr>
          <w:p>
            <w:pPr>
              <w:pStyle w:val="TableContents"/>
              <w:bidi w:val="0"/>
              <w:spacing w:lineRule="atLeast" w:line="180" w:before="0" w:after="0"/>
              <w:ind w:left="80" w:right="0" w:hanging="0"/>
              <w:jc w:val="left"/>
              <w:rPr/>
            </w:pPr>
            <w:r>
              <w:rPr/>
              <w:t>Age 57</w:t>
              <w:br/>
              <w:t>Director since 2016</w:t>
            </w:r>
          </w:p>
          <w:p>
            <w:pPr>
              <w:pStyle w:val="TableContents"/>
              <w:bidi w:val="0"/>
              <w:spacing w:lineRule="atLeast" w:line="200" w:before="240" w:after="283"/>
              <w:ind w:left="80" w:right="0" w:hanging="0"/>
              <w:jc w:val="left"/>
              <w:rPr/>
            </w:pPr>
            <w:r>
              <w:rPr/>
              <w:t>Committees:</w:t>
              <w:br/>
              <w:t>Audit/Finance,</w:t>
              <w:br/>
              <w:t>Talent and</w:t>
              <w:br/>
              <w:t>Compensation</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20" w:before="216"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Directors with Terms Expiring in 2028</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488"/>
        <w:gridCol w:w="109"/>
        <w:gridCol w:w="109"/>
        <w:gridCol w:w="7540"/>
        <w:gridCol w:w="155"/>
      </w:tblGrid>
      <w:tr>
        <w:trPr/>
        <w:tc>
          <w:tcPr>
            <w:tcW w:w="124"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0" descr=""/>
                          <pic:cNvPicPr>
                            <a:picLocks noChangeAspect="1" noChangeArrowheads="1"/>
                          </pic:cNvPicPr>
                        </pic:nvPicPr>
                        <pic:blipFill>
                          <a:blip r:embed="rId11"/>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40" w:type="dxa"/>
            <w:vMerge w:val="restart"/>
            <w:tcBorders/>
            <w:vAlign w:val="center"/>
          </w:tcPr>
          <w:p>
            <w:pPr>
              <w:pStyle w:val="TableContents"/>
              <w:bidi w:val="0"/>
              <w:spacing w:lineRule="atLeast" w:line="222" w:before="0" w:after="283"/>
              <w:jc w:val="both"/>
              <w:rPr/>
            </w:pPr>
            <w:r>
              <w:rPr/>
              <w:t>Ms. Argyilan has served as the Global Head of Uber Advertising since December 2024, where she leads the global expansion of Uber’s omni-channel advertising platform, powered by the strength of Uber’s mobility and delivery ecosystem. By leveraging Uber’s vast data insights and the loyal relationships with Uber users, Ms. Argyilan drives the creation of innovative advertising solutions that deliver measurable impact for brands and meaningful experiences for consumers. Before joining Uber, Ms. Argyilan served as Senior Vice President of Albertsons Media Collective from 2021 to 2024, where she built and led the company’s in-house Retail Media Network. Under her leadership, Albertsons’ network was founded on advanced AdTech/MarTech platforms, rich first-party data, and strong collaborative partnerships, driving deep client relationships and advocating for advancements across the retail media industry. Earlier in her career, during her tenure at Target, she served as Senior Vice President of Media and President of Roundel, establishing Target’s retail media network and spearheading its enterprise media strategy. Ms. Argyilan’s career also includes leadership roles at IPG MEDIABRANDS and top creative agencies, where she worked with renowned brands including Microsoft, Nike, Starbucks, Fidelity, Dunkin’ Donuts, and eBay.</w:t>
            </w:r>
          </w:p>
          <w:p>
            <w:pPr>
              <w:pStyle w:val="TableContents"/>
              <w:bidi w:val="0"/>
              <w:spacing w:lineRule="atLeast" w:line="222" w:before="120" w:after="283"/>
              <w:jc w:val="both"/>
              <w:rPr/>
            </w:pPr>
            <w:r>
              <w:rPr/>
              <w:t>A recognized thought leader and innovator in retail media and advertising, Kristi has earned numerous accolades, including Path to Purchase Institute’s Industry Trailblazer and Woman of Excellence, CSA Top Women in Tech, Digital 40 Over 40, IAB Service Excellence Award and Brand Innovators Top 100 Women in Brand Marketing. She has also been celebrated by Ad Age as both a Media Maven and a Woman to Watch. In addition to her professional achievements, Kristi serves on the boards of the Interactive Advertising Bureau (IAB) and ZEFR, contributing her expertise to advancing the advertising and marketing industries.</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Argyilan’s qualifications to serve on our Board include her background in retail media and advertising as well as her years of management experience. Her unique perspective and experience regarding retail media and advertising assist the Company in developing and executing its growth strategy.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488"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Kristi Argyilan</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8" w:type="dxa"/>
            <w:tcBorders/>
            <w:shd w:fill="00BC6F" w:val="clear"/>
            <w:vAlign w:val="center"/>
          </w:tcPr>
          <w:p>
            <w:pPr>
              <w:pStyle w:val="TableContents"/>
              <w:bidi w:val="0"/>
              <w:spacing w:lineRule="atLeast" w:line="180" w:before="0" w:after="0"/>
              <w:ind w:left="80" w:right="0" w:hanging="0"/>
              <w:jc w:val="left"/>
              <w:rPr/>
            </w:pPr>
            <w:r>
              <w:rPr/>
              <w:t>Age 67</w:t>
              <w:br/>
              <w:t>Director since 2026</w:t>
            </w:r>
          </w:p>
          <w:p>
            <w:pPr>
              <w:pStyle w:val="TableContents"/>
              <w:bidi w:val="0"/>
              <w:spacing w:lineRule="atLeast" w:line="200" w:before="240" w:after="283"/>
              <w:ind w:left="80" w:right="0" w:hanging="0"/>
              <w:jc w:val="left"/>
              <w:rPr/>
            </w:pPr>
            <w:r>
              <w:rPr/>
              <w:t>Committees:</w:t>
              <w:br/>
              <w:t>GNC</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REOFBO"/>
      <w:bookmarkEnd w:id="94"/>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Election of Directors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596"/>
        <w:gridCol w:w="109"/>
        <w:gridCol w:w="109"/>
        <w:gridCol w:w="7432"/>
        <w:gridCol w:w="155"/>
      </w:tblGrid>
      <w:tr>
        <w:trPr/>
        <w:tc>
          <w:tcPr>
            <w:tcW w:w="124" w:type="dxa"/>
            <w:tcBorders/>
            <w:vAlign w:val="center"/>
          </w:tcPr>
          <w:p>
            <w:pPr>
              <w:pStyle w:val="TableContents"/>
              <w:bidi w:val="0"/>
              <w:spacing w:before="0" w:after="283"/>
              <w:jc w:val="left"/>
              <w:rPr/>
            </w:pPr>
            <w:r>
              <w:rPr/>
              <w:t>​</w:t>
            </w:r>
          </w:p>
        </w:tc>
        <w:tc>
          <w:tcPr>
            <w:tcW w:w="1596"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1" descr=""/>
                          <pic:cNvPicPr>
                            <a:picLocks noChangeAspect="1" noChangeArrowheads="1"/>
                          </pic:cNvPicPr>
                        </pic:nvPicPr>
                        <pic:blipFill>
                          <a:blip r:embed="rId12"/>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32" w:type="dxa"/>
            <w:vMerge w:val="restart"/>
            <w:tcBorders/>
            <w:vAlign w:val="center"/>
          </w:tcPr>
          <w:p>
            <w:pPr>
              <w:pStyle w:val="TableContents"/>
              <w:bidi w:val="0"/>
              <w:spacing w:lineRule="atLeast" w:line="222" w:before="0" w:after="283"/>
              <w:jc w:val="both"/>
              <w:rPr/>
            </w:pPr>
            <w:r>
              <w:rPr/>
              <w:t>Mr. Kokich, the Non-Executive Chairman of the Board, is currently working as a consultant. He served as executive chairman of the board of directors of Marchex, Inc. (NASDAQ: MCHX), a mobile and online advertising company based in Seattle, from 2015-2016 and as chief strategy officer of Marchex from 2013-2015. For the prior 14 years, Mr. Kokich was an executive at Razorfish, a leading Seattle-based global consultancy in digital marketing and technology, serving most recently as chairman of the board. Prior to joining Razorfish, he was CEO of Calla Bay, Inc. and was previously director of sales and marketing for a division of McCaw Cellular Communications. In his early career, he spent 12 years in traditional advertising, including serving as executive vice president/managing director for Cole &amp; Weber, a division of Ogilvy &amp; Mather. He previously served as a director of Childhaven, a Seattle children’s charity, Power Digital Marketing, a full service digital marketing consultancy based in San Diego, until its sale in 2021, and Rocket Fuel Inc. (NASDAQ: FUEL), an advertising technology company, until its merger in 2017 into Sizmek, a privately held company. Mr. Kokich holds a bachelor’s degree in finance from the University of Oregon.</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Mr. Kokich’s qualifications to serve on our Board include his background in the field of digital marketing and technology, his experience in traditional marketing, and his years of management experience. This combination of experience in both management and marketing allows him to understand the Company’s challenges in a global marketplace. Mr. Kokich also brings technological expertise to the Board gained through his service with Marchex, Inc., Rocket Fuel Inc., Razorfish and other technology companies. His long-term experience as a director qualifies him to serve as the Non-Executive Chairman of the Board.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96"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Clark M. Kokich</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96" w:type="dxa"/>
            <w:tcBorders/>
            <w:shd w:fill="00BC6F" w:val="clear"/>
            <w:vAlign w:val="center"/>
          </w:tcPr>
          <w:p>
            <w:pPr>
              <w:pStyle w:val="TableContents"/>
              <w:bidi w:val="0"/>
              <w:spacing w:before="0" w:after="0"/>
              <w:ind w:left="80" w:right="0" w:hanging="0"/>
              <w:jc w:val="left"/>
              <w:rPr/>
            </w:pPr>
            <w:r>
              <w:rPr/>
              <w:t>Age 74</w:t>
              <w:br/>
              <w:t>Director since 2009 Chairman of the Board</w:t>
              <w:br/>
              <w:t>since 2019</w:t>
            </w:r>
          </w:p>
          <w:p>
            <w:pPr>
              <w:pStyle w:val="TableContents"/>
              <w:bidi w:val="0"/>
              <w:spacing w:before="240" w:after="283"/>
              <w:ind w:left="80" w:right="0" w:hanging="0"/>
              <w:jc w:val="left"/>
              <w:rPr/>
            </w:pPr>
            <w:r>
              <w:rPr/>
              <w:t>Committees:</w:t>
              <w:br/>
              <w:t>Audit/Finance, GNC, Executive</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00" w:before="240" w:after="283"/>
        <w:ind w:left="680" w:right="0" w:hanging="0"/>
        <w:jc w:val="left"/>
        <w:rPr>
          <w:rFonts w:ascii="Arial;Helvetica;sans-serif" w:hAnsi="Arial;Helvetica;sans-serif"/>
          <w:b/>
          <w:i w:val="false"/>
          <w:caps w:val="false"/>
          <w:smallCaps w:val="false"/>
          <w:color w:val="1724A9"/>
          <w:sz w:val="26"/>
        </w:rPr>
      </w:pPr>
      <w:r>
        <w:rPr>
          <w:rFonts w:ascii="Arial;Helvetica;sans-serif" w:hAnsi="Arial;Helvetica;sans-serif"/>
          <w:b/>
          <w:i w:val="false"/>
          <w:caps w:val="false"/>
          <w:smallCaps w:val="false"/>
          <w:color w:val="1724A9"/>
          <w:sz w:val="26"/>
        </w:rPr>
        <w:t>Recommendation of the Board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stockholders vote “FOR” the election of Mr. Cadogan, Ms. Chow and Mr. Howe at the Special Meeting.</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COGO"/>
      <w:bookmarkEnd w:id="95"/>
      <w:r>
        <w:rPr>
          <w:rFonts w:ascii="calibri;arial;sans-serif" w:hAnsi="calibri;arial;sans-serif"/>
          <w:b w:val="false"/>
          <w:i w:val="false"/>
          <w:caps w:val="false"/>
          <w:smallCaps w:val="false"/>
          <w:color w:val="000000"/>
          <w:sz w:val="16"/>
        </w:rPr>
        <w:t>​</w:t>
      </w:r>
      <w:bookmarkStart w:id="96" w:name="tDIINDE"/>
      <w:bookmarkEnd w:id="96"/>
      <w:r>
        <w:rPr>
          <w:rFonts w:ascii="calibri;arial;sans-serif" w:hAnsi="calibri;arial;sans-serif"/>
          <w:b w:val="false"/>
          <w:i w:val="false"/>
          <w:caps w:val="false"/>
          <w:smallCaps w:val="false"/>
          <w:color w:val="000000"/>
          <w:sz w:val="16"/>
        </w:rPr>
        <w:t>​</w:t>
      </w:r>
      <w:bookmarkStart w:id="97" w:name="tBOLEST"/>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Corporate Governance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Board believes that good corporate governance is important to ensure that LiveRamp is managed for the long-term benefit of our stockholders. This section describes key corporate governance practices that we have adopted. Complete copies of our corporate governance principles, Board committee charters, codes of conduct, and stock ownership guidelines are available in the “Corporate Governance  —  Governance Overview”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or you may request a printed copy of them by sending a written request to the Corporate Secretary at LiveRamp Holdings, Inc., 301 Main Street, 2</w:t>
      </w:r>
      <w:r>
        <w:rPr>
          <w:rFonts w:ascii="Arial;Helvetica;sans-serif" w:hAnsi="Arial;Helvetica;sans-serif"/>
          <w:b w:val="false"/>
          <w:i w:val="false"/>
          <w:caps w:val="false"/>
          <w:smallCaps w:val="false"/>
          <w:color w:val="000000"/>
          <w:sz w:val="15"/>
        </w:rPr>
        <w:t>nd</w:t>
      </w:r>
      <w:r>
        <w:rPr>
          <w:rFonts w:ascii="Arial;Helvetica;sans-serif" w:hAnsi="Arial;Helvetica;sans-serif"/>
          <w:b w:val="false"/>
          <w:i w:val="false"/>
          <w:caps w:val="false"/>
          <w:smallCaps w:val="false"/>
          <w:color w:val="000000"/>
          <w:sz w:val="20"/>
        </w:rPr>
        <w:t xml:space="preserve"> Floor, Little Rock, AR 72201. LiveRamp’s management and the Board closely monitor corporate governance developments and will continue to evaluate their duties and responsibilities with the intention of complying with all applicable laws, rules and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Director Independence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principles require that a majority of the Board be “independent” as defined by the rules of the NYSE. To be considered independent under our corporate governance principles and the NYSE rules, the Board must affirmatively determine that a director does not, except as a director or stockholder, have a direct or indirect material relationship with the Company (either directly or as a partner, stockholder or officer of an organization that has a relationship with the Company). In making that determination, the Board must consider all relevant facts and circumstances, including information provided by the directors and the Company with regard to each director’s business and personal activities as they may relate to the Company and the Company’s management. To assist the Board in determining whether a particular relationship a director has with the Company is a material relationship that would impair the director’s independence, the Board has established the following categorical standards and determined that the following relationships are deemed to be immaterial and would not in and of themselves impair a director’s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 or his or her family member, is a partner, stockholder, officer, employee or director of a company that makes payments to, or receives payments from, the Company or any of its subsidiaries for property or services (other than accounting, consulting, legal, investment banking or financial advisory services) in the ordinary course of business and on substantially the same terms and conditions, including price, as would be available either to similarly situated customers or current employees in an amount which, in any of the last three fiscal years, does not exceed the greater of  $1 million or 2% of such other company’s consolidated gross revenue;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14"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 or his or her family member, serves as an executive officer, director or trustee of a charitable organization and the charitable contributions made or pledged by the Company, its subsidiaries and any foundation sponsored by or associated with the Company or its subsidiaries to such charitable organization in any of the last three fiscal years do not exceed, in the aggregate, the greater of  $1 million or 2% of the charitable organization’s consolidated gross revenues;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15"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director’s relationship arising from (i) only such director’s position as a director of another corporation or organization; (ii) only such director’s direct or indirect ownership of a 5% or less equity interest in another corporation or organization (other than a partnership); (iii) both such position and such ownership; or (iv) such director’s position only as a limited partner in a partnership in which he or she has an interest of 5% or less.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16"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has determined that all of the Company’s current non-employee directors qualify as independent directors under applicable NYSE listing standards and SEC rules. In making these determinations, the Board reviewed the directors’ relationships, if any, with LiveRamp and affirmatively determined that there are no relationships or other factors which would impair any director’s ability to exercise independent judgment in carrying out his or her responsibilities as a director. In determining the independence of each non-employee director, the Board considered and deemed immaterial to such individual’s independence any transactions that met the categorical standards set forth above. There are no family relationships among any of our directors or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Board Leadership Structure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corporate governance principles give the Board the discretion to either separate or combine the positions of CEO and chairman. Since 2007, these positions have been separated. The Board believes that separating the positions improves the ability of the Board to exercise its oversight role over management by having a director who is not an officer or member of management serve in the role of chairman. Appointing an independent chairman also simplifies our corporate governance structure by allowing the chairman to convene executive sessions with the independent directors and dispensing with the need for another director to discharge the role of lead independent director.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BOLEST1"/>
      <w:bookmarkEnd w:id="98"/>
      <w:r>
        <w:rPr>
          <w:rFonts w:ascii="calibri;arial;sans-serif" w:hAnsi="calibri;arial;sans-serif"/>
          <w:b w:val="false"/>
          <w:i w:val="false"/>
          <w:caps w:val="false"/>
          <w:smallCaps w:val="false"/>
          <w:color w:val="000000"/>
          <w:sz w:val="16"/>
        </w:rPr>
        <w:t>​</w:t>
      </w:r>
      <w:bookmarkStart w:id="99" w:name="tBOLEST2"/>
      <w:bookmarkEnd w:id="99"/>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Separation of the two roles also enhances our corporate governance profile. Mr. Kokich is currently serving as the non-executive chairman of the Board. His previous executive and board experience provides him with key skills in working with the other directors, understanding board processes and functions, responding to the financial, strategic and operational challenges and opportunities of our business, and overseeing management.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Board and Stockholder Meetings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Quarterly meetings of the Board are held to review the Company’s strategy, financial performance, enterprise risks and significant developments, and to act on matters requiring Board approval. If issues arise that require the full Board’s attention between regularly scheduled meetings, special meetings are called or action is taken by written consent. Time is allotted at the end of each Board and committee meeting for the independent directors to meet in executive session outside the presence of management. Directors are expected to spend the time needed and to meet as frequently as necessary to properly discharge their responsibilities and to attend and fully participate in Board meetings and meetings of committees on which they serve. For all non-telephonic meetings, directors are expected to attend in person in the absence of extraordinary circumstances. Likewise, directors are expected to attend the annual meetings of stockholders, either virtually or in person. In the event of a director’s repeated lack of attendance or failure to fully participate in meetings of the Board and/or the committees upon which he or she serves, the Chairman of the Board and/or the chair of the GNC will discuss the matter with the director in question. Following such discussion, the GNC will review the continued appropriateness of Board membership under the circumstances, and the affected director is expected to act in accordance with the recommendation of the GNC. During the last fiscal year, the Board met nine times and took action by unanimous written consent three times. All of the incumbent directors attended 75% or more of the meetings of the Board and of the committees on which they served, during the period in which he or she served, during the past fiscal year. At the 2025 annual meeting of stockholders, all directors serving at such time were in attendance.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Committees of the Board of Directors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currently has four standing committees: Audit/Finance, Talent and Compensation, Executive, and Governance/Nominating. A description of each committee is set forth below. Current members of each standing committee and the number of meetings held (or actions taken by unanimous written consent in lieu of a meeting) by each committee during fiscal 2026 are as follows:</w:t>
      </w:r>
      <w:r>
        <w:rPr>
          <w:rFonts w:ascii="Arial;Helvetica;sans-serif" w:hAnsi="Arial;Helvetica;sans-serif"/>
          <w:b w:val="false"/>
          <w:i w:val="false"/>
          <w:caps w:val="false"/>
          <w:smallCaps w:val="false"/>
          <w:color w:val="000000"/>
          <w:spacing w:val="4"/>
          <w:sz w:val="20"/>
        </w:rPr>
        <w:t xml:space="preserve"> </w:t>
      </w:r>
    </w:p>
    <w:tbl>
      <w:tblPr>
        <w:tblW w:w="9210" w:type="dxa"/>
        <w:jc w:val="left"/>
        <w:tblInd w:w="680" w:type="dxa"/>
        <w:tblLayout w:type="fixed"/>
        <w:tblCellMar>
          <w:top w:w="0" w:type="dxa"/>
          <w:left w:w="0" w:type="dxa"/>
          <w:bottom w:w="28" w:type="dxa"/>
          <w:right w:w="0" w:type="dxa"/>
        </w:tblCellMar>
      </w:tblPr>
      <w:tblGrid>
        <w:gridCol w:w="124"/>
        <w:gridCol w:w="3181"/>
        <w:gridCol w:w="109"/>
        <w:gridCol w:w="109"/>
        <w:gridCol w:w="916"/>
        <w:gridCol w:w="109"/>
        <w:gridCol w:w="109"/>
        <w:gridCol w:w="1531"/>
        <w:gridCol w:w="109"/>
        <w:gridCol w:w="109"/>
        <w:gridCol w:w="1111"/>
        <w:gridCol w:w="109"/>
        <w:gridCol w:w="109"/>
        <w:gridCol w:w="132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318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5533" w:type="dxa"/>
            <w:gridSpan w:val="10"/>
            <w:tcBorders>
              <w:bottom w:val="single" w:sz="6" w:space="0" w:color="FEFEFE"/>
            </w:tcBorders>
            <w:shd w:fill="000000" w:val="clear"/>
            <w:tcMar>
              <w:bottom w:w="53" w:type="dxa"/>
            </w:tcMar>
            <w:vAlign w:val="center"/>
          </w:tcPr>
          <w:p>
            <w:pPr>
              <w:pStyle w:val="TableContents"/>
              <w:bidi w:val="0"/>
              <w:spacing w:before="0" w:after="0"/>
              <w:jc w:val="center"/>
              <w:rPr/>
            </w:pPr>
            <w:r>
              <w:rPr/>
              <w:t xml:space="preserve">Committee Memberships </w:t>
            </w:r>
          </w:p>
        </w:tc>
        <w:tc>
          <w:tcPr>
            <w:tcW w:w="154" w:type="dxa"/>
            <w:tcBorders>
              <w:bottom w:val="single" w:sz="6" w:space="0" w:color="FEFEFE"/>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3181" w:type="dxa"/>
            <w:tcBorders/>
            <w:shd w:fill="000000" w:val="clear"/>
            <w:tcMar>
              <w:bottom w:w="0" w:type="dxa"/>
            </w:tcMar>
            <w:vAlign w:val="center"/>
          </w:tcPr>
          <w:p>
            <w:pPr>
              <w:pStyle w:val="TableContents"/>
              <w:bidi w:val="0"/>
              <w:spacing w:before="0" w:after="0"/>
              <w:jc w:val="left"/>
              <w:rPr/>
            </w:pPr>
            <w:r>
              <w:rPr/>
              <w:t xml:space="preserve">Board Member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16" w:type="dxa"/>
            <w:tcBorders/>
            <w:shd w:fill="000000" w:val="clear"/>
            <w:tcMar>
              <w:bottom w:w="0" w:type="dxa"/>
            </w:tcMar>
            <w:vAlign w:val="center"/>
          </w:tcPr>
          <w:p>
            <w:pPr>
              <w:pStyle w:val="TableContents"/>
              <w:bidi w:val="0"/>
              <w:spacing w:before="0" w:after="0"/>
              <w:jc w:val="center"/>
              <w:rPr/>
            </w:pPr>
            <w:r>
              <w:rPr/>
              <w:t>Audit/​</w:t>
              <w:br/>
              <w:t xml:space="preserve">Finance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31" w:type="dxa"/>
            <w:tcBorders/>
            <w:shd w:fill="000000" w:val="clear"/>
            <w:tcMar>
              <w:bottom w:w="0" w:type="dxa"/>
            </w:tcMar>
            <w:vAlign w:val="center"/>
          </w:tcPr>
          <w:p>
            <w:pPr>
              <w:pStyle w:val="TableContents"/>
              <w:bidi w:val="0"/>
              <w:spacing w:before="0" w:after="0"/>
              <w:jc w:val="center"/>
              <w:rPr/>
            </w:pPr>
            <w:r>
              <w:rPr/>
              <w:t>Talent and</w:t>
              <w:br/>
              <w:t xml:space="preserve">Compensation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11" w:type="dxa"/>
            <w:tcBorders/>
            <w:shd w:fill="000000" w:val="clear"/>
            <w:tcMar>
              <w:bottom w:w="0" w:type="dxa"/>
            </w:tcMar>
            <w:vAlign w:val="center"/>
          </w:tcPr>
          <w:p>
            <w:pPr>
              <w:pStyle w:val="TableContents"/>
              <w:bidi w:val="0"/>
              <w:spacing w:before="0" w:after="0"/>
              <w:jc w:val="center"/>
              <w:rPr/>
            </w:pPr>
            <w:r>
              <w:rPr/>
              <w:t xml:space="preserve">Executive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1" w:type="dxa"/>
            <w:tcBorders/>
            <w:shd w:fill="000000" w:val="clear"/>
            <w:tcMar>
              <w:bottom w:w="0" w:type="dxa"/>
            </w:tcMar>
            <w:vAlign w:val="center"/>
          </w:tcPr>
          <w:p>
            <w:pPr>
              <w:pStyle w:val="TableContents"/>
              <w:bidi w:val="0"/>
              <w:spacing w:before="0" w:after="0"/>
              <w:jc w:val="center"/>
              <w:rPr/>
            </w:pPr>
            <w:r>
              <w:rPr/>
              <w:t>Governance/​</w:t>
              <w:br/>
              <w:t xml:space="preserve">Nominating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Kristi Argyilan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2" descr=""/>
                          <pic:cNvPicPr>
                            <a:picLocks noChangeAspect="1" noChangeArrowheads="1"/>
                          </pic:cNvPicPr>
                        </pic:nvPicPr>
                        <pic:blipFill>
                          <a:blip r:embed="rId13"/>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John L. Battelle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3" descr=""/>
                          <pic:cNvPicPr>
                            <a:picLocks noChangeAspect="1" noChangeArrowheads="1"/>
                          </pic:cNvPicPr>
                        </pic:nvPicPr>
                        <pic:blipFill>
                          <a:blip r:embed="rId14"/>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14300" cy="180975"/>
                  <wp:effectExtent l="0" t="0" r="0" b="0"/>
                  <wp:docPr id="4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4" descr=""/>
                          <pic:cNvPicPr>
                            <a:picLocks noChangeAspect="1" noChangeArrowheads="1"/>
                          </pic:cNvPicPr>
                        </pic:nvPicPr>
                        <pic:blipFill>
                          <a:blip r:embed="rId15"/>
                          <a:stretch>
                            <a:fillRect/>
                          </a:stretch>
                        </pic:blipFill>
                        <pic:spPr bwMode="auto">
                          <a:xfrm>
                            <a:off x="0" y="0"/>
                            <a:ext cx="114300" cy="180975"/>
                          </a:xfrm>
                          <a:prstGeom prst="rect">
                            <a:avLst/>
                          </a:prstGeom>
                        </pic:spPr>
                      </pic:pic>
                    </a:graphicData>
                  </a:graphic>
                </wp:inline>
              </w:drawing>
            </w:r>
            <w:r>
              <w:rPr/>
              <w:t xml:space="preserve">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Timothy R. Cadogan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14300" cy="180975"/>
                  <wp:effectExtent l="0" t="0" r="0" b="0"/>
                  <wp:docPr id="4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5" descr=""/>
                          <pic:cNvPicPr>
                            <a:picLocks noChangeAspect="1" noChangeArrowheads="1"/>
                          </pic:cNvPicPr>
                        </pic:nvPicPr>
                        <pic:blipFill>
                          <a:blip r:embed="rId16"/>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6" descr=""/>
                          <pic:cNvPicPr>
                            <a:picLocks noChangeAspect="1" noChangeArrowheads="1"/>
                          </pic:cNvPicPr>
                        </pic:nvPicPr>
                        <pic:blipFill>
                          <a:blip r:embed="rId17"/>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Vivian Chow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14300" cy="180975"/>
                  <wp:effectExtent l="0" t="0" r="0" b="0"/>
                  <wp:docPr id="4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7" descr=""/>
                          <pic:cNvPicPr>
                            <a:picLocks noChangeAspect="1" noChangeArrowheads="1"/>
                          </pic:cNvPicPr>
                        </pic:nvPicPr>
                        <pic:blipFill>
                          <a:blip r:embed="rId18"/>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8" descr=""/>
                          <pic:cNvPicPr>
                            <a:picLocks noChangeAspect="1" noChangeArrowheads="1"/>
                          </pic:cNvPicPr>
                        </pic:nvPicPr>
                        <pic:blipFill>
                          <a:blip r:embed="rId19"/>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Scott E. Howe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14300" cy="180975"/>
                  <wp:effectExtent l="0" t="0" r="0" b="0"/>
                  <wp:docPr id="4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9" descr=""/>
                          <pic:cNvPicPr>
                            <a:picLocks noChangeAspect="1" noChangeArrowheads="1"/>
                          </pic:cNvPicPr>
                        </pic:nvPicPr>
                        <pic:blipFill>
                          <a:blip r:embed="rId20"/>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Clark M. Kokich, </w:t>
            </w:r>
            <w:r>
              <w:rPr>
                <w:i/>
              </w:rPr>
              <w:t>Chairman</w:t>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0" descr=""/>
                          <pic:cNvPicPr>
                            <a:picLocks noChangeAspect="1" noChangeArrowheads="1"/>
                          </pic:cNvPicPr>
                        </pic:nvPicPr>
                        <pic:blipFill>
                          <a:blip r:embed="rId21"/>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1" descr=""/>
                          <pic:cNvPicPr>
                            <a:picLocks noChangeAspect="1" noChangeArrowheads="1"/>
                          </pic:cNvPicPr>
                        </pic:nvPicPr>
                        <pic:blipFill>
                          <a:blip r:embed="rId22"/>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2" descr=""/>
                          <pic:cNvPicPr>
                            <a:picLocks noChangeAspect="1" noChangeArrowheads="1"/>
                          </pic:cNvPicPr>
                        </pic:nvPicPr>
                        <pic:blipFill>
                          <a:blip r:embed="rId23"/>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Debora B. Tomlin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3" descr=""/>
                          <pic:cNvPicPr>
                            <a:picLocks noChangeAspect="1" noChangeArrowheads="1"/>
                          </pic:cNvPicPr>
                        </pic:nvPicPr>
                        <pic:blipFill>
                          <a:blip r:embed="rId24"/>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4" descr=""/>
                          <pic:cNvPicPr>
                            <a:picLocks noChangeAspect="1" noChangeArrowheads="1"/>
                          </pic:cNvPicPr>
                        </pic:nvPicPr>
                        <pic:blipFill>
                          <a:blip r:embed="rId25"/>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before="0" w:after="0"/>
              <w:jc w:val="left"/>
              <w:rPr>
                <w:b/>
              </w:rPr>
            </w:pPr>
            <w:r>
              <w:rPr>
                <w:b/>
              </w:rPr>
              <w:t>Meetings held in fiscal 2026</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50" w:type="dxa"/>
            </w:tcMar>
            <w:vAlign w:val="center"/>
          </w:tcPr>
          <w:p>
            <w:pPr>
              <w:pStyle w:val="TableContents"/>
              <w:bidi w:val="0"/>
              <w:spacing w:before="0" w:after="0"/>
              <w:jc w:val="center"/>
              <w:rPr/>
            </w:pPr>
            <w:r>
              <w:rPr/>
              <w:t xml:space="preserve">7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before="0" w:after="0"/>
              <w:jc w:val="center"/>
              <w:rPr/>
            </w:pPr>
            <w:r>
              <w:rPr/>
              <w:t xml:space="preserve">4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50" w:type="dxa"/>
            </w:tcMar>
            <w:vAlign w:val="center"/>
          </w:tcPr>
          <w:p>
            <w:pPr>
              <w:pStyle w:val="TableContents"/>
              <w:bidi w:val="0"/>
              <w:spacing w:before="0" w:after="0"/>
              <w:jc w:val="center"/>
              <w:rPr/>
            </w:pPr>
            <w:r>
              <w:rPr/>
              <w:t xml:space="preserve">4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before="0" w:after="0"/>
              <w:jc w:val="left"/>
              <w:rPr>
                <w:b/>
              </w:rPr>
            </w:pPr>
            <w:r>
              <w:rPr>
                <w:b/>
              </w:rPr>
              <w:t>Written consents in fiscal 2026</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2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bl>
    <w:p>
      <w:pPr>
        <w:pStyle w:val="TextBody"/>
        <w:bidi w:val="0"/>
        <w:spacing w:before="144" w:after="283"/>
        <w:ind w:left="1080" w:right="0" w:hanging="0"/>
        <w:jc w:val="left"/>
        <w:rPr>
          <w:caps w:val="false"/>
          <w:smallCaps w:val="false"/>
          <w:color w:val="000000"/>
        </w:rPr>
      </w:pPr>
      <w:r>
        <w:rPr>
          <w:caps w:val="false"/>
          <w:smallCaps w:val="false"/>
          <w:color w:val="000000"/>
        </w:rPr>
        <w:drawing>
          <wp:inline distT="0" distB="0" distL="0" distR="0">
            <wp:extent cx="114300" cy="177165"/>
            <wp:effectExtent l="0" t="0" r="0" b="0"/>
            <wp:docPr id="4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5" descr=""/>
                    <pic:cNvPicPr>
                      <a:picLocks noChangeAspect="1" noChangeArrowheads="1"/>
                    </pic:cNvPicPr>
                  </pic:nvPicPr>
                  <pic:blipFill>
                    <a:blip r:embed="rId26"/>
                    <a:stretch>
                      <a:fillRect/>
                    </a:stretch>
                  </pic:blipFill>
                  <pic:spPr bwMode="auto">
                    <a:xfrm>
                      <a:off x="0" y="0"/>
                      <a:ext cx="114300" cy="177165"/>
                    </a:xfrm>
                    <a:prstGeom prst="rect">
                      <a:avLst/>
                    </a:prstGeom>
                  </pic:spPr>
                </pic:pic>
              </a:graphicData>
            </a:graphic>
          </wp:inline>
        </w:drawing>
      </w:r>
      <w:r>
        <w:rPr>
          <w:caps w:val="false"/>
          <w:smallCaps w:val="false"/>
          <w:color w:val="000000"/>
        </w:rPr>
        <w:t xml:space="preserve">  </w:t>
      </w:r>
      <w:r>
        <w:rPr>
          <w:rFonts w:ascii="Arial;Helvetica;sans-serif" w:hAnsi="Arial;Helvetica;sans-serif"/>
          <w:b w:val="false"/>
          <w:i w:val="false"/>
          <w:caps w:val="false"/>
          <w:smallCaps w:val="false"/>
          <w:color w:val="000000"/>
          <w:sz w:val="16"/>
        </w:rPr>
        <w:t>Member   </w:t>
      </w:r>
      <w:r>
        <w:rPr>
          <w:rFonts w:ascii="Arial;Helvetica;sans-serif" w:hAnsi="Arial;Helvetica;sans-serif"/>
          <w:b w:val="false"/>
          <w:i w:val="false"/>
          <w:caps w:val="false"/>
          <w:smallCaps w:val="false"/>
          <w:color w:val="000000"/>
          <w:sz w:val="16"/>
        </w:rPr>
        <w:drawing>
          <wp:inline distT="0" distB="0" distL="0" distR="0">
            <wp:extent cx="114300" cy="177165"/>
            <wp:effectExtent l="0" t="0" r="0" b="0"/>
            <wp:docPr id="4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6" descr=""/>
                    <pic:cNvPicPr>
                      <a:picLocks noChangeAspect="1" noChangeArrowheads="1"/>
                    </pic:cNvPicPr>
                  </pic:nvPicPr>
                  <pic:blipFill>
                    <a:blip r:embed="rId27"/>
                    <a:stretch>
                      <a:fillRect/>
                    </a:stretch>
                  </pic:blipFill>
                  <pic:spPr bwMode="auto">
                    <a:xfrm>
                      <a:off x="0" y="0"/>
                      <a:ext cx="114300" cy="177165"/>
                    </a:xfrm>
                    <a:prstGeom prst="rect">
                      <a:avLst/>
                    </a:prstGeom>
                  </pic:spPr>
                </pic:pic>
              </a:graphicData>
            </a:graphic>
          </wp:inline>
        </w:drawing>
      </w:r>
      <w:r>
        <w:rPr>
          <w:rFonts w:ascii="Arial;Helvetica;sans-serif" w:hAnsi="Arial;Helvetica;sans-serif"/>
          <w:b w:val="false"/>
          <w:i w:val="false"/>
          <w:caps w:val="false"/>
          <w:smallCaps w:val="false"/>
          <w:color w:val="000000"/>
          <w:sz w:val="16"/>
        </w:rPr>
        <w:t>  Chairperson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Audit/Finance Committee.</w:t>
      </w:r>
      <w:r>
        <w:rPr>
          <w:rFonts w:ascii="Arial;Helvetica;sans-serif" w:hAnsi="Arial;Helvetica;sans-serif"/>
          <w:b w:val="false"/>
          <w:i w:val="false"/>
          <w:caps w:val="false"/>
          <w:smallCaps w:val="false"/>
          <w:color w:val="000000"/>
          <w:sz w:val="20"/>
        </w:rPr>
        <w:t xml:space="preserve"> The members of the Audit/Finance Committee currently are Ms. Chow (Chair), Mr. Kokich and Ms. Tomlin, each of whom is deemed independent under NYSE listing standards and SEC rules. The Board has determined that each member of the Audit/Finance Committee meets the NYSE financial literacy requirements and that Ms. Chow qualifies as an “audit committee financial expert” as defined by SEC rules. None of the members of our Audit/Finance Committee currently serve on more than three public company audit committees.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assists the Board in overseeing LiveRamp’s financial statements and financial reporting process; systems of internal accounting and financial controls; independent auditors’ engagement, performance, independence, and qualifications; internal audit function; disclosure controls and procedures; and legal, regulatory compliance, and ethics programs as established by management and the Board. In addition, the committee monitors all major financial matters pertaining to the Company, assists the Board in long-range financial planning, and makes recommendations regarding the Company’s capital and debt structure. It oversees the management of certain of LiveRamp’s risks, including the Company’s exposures in the areas of finance and accounting, legal, regulatory and ethical compliance, internal controls, IT security, cybersecurity, insurance coverages, business continuity plans, and the implications, if any, on the civil rights of protected classes of individuals and the potential impact of such issues on the Company’s business, operations and reputation. It recommends and prioritizes capital and financial commitments, monitors related performance measurements, and reviews annual operating and capital budgets. The committee also reviews the Company’s large capital and unbudgeted expenditures, proposed acquisitions and divestitures, and hedging, dividend and tax policies. In addition, the committee is charged with reviewing and approving any transaction required to be disclosed as a related-party transaction under SEC rules and regulations. The committee’s charter specifies that no related-party transaction will be approved unless it is deemed by the committee to be commercially reasonable and in the best interests of, or not inconsistent with the best interests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Talent and Compensation Committee.</w:t>
      </w:r>
      <w:r>
        <w:rPr>
          <w:rFonts w:ascii="Arial;Helvetica;sans-serif" w:hAnsi="Arial;Helvetica;sans-serif"/>
          <w:b w:val="false"/>
          <w:i w:val="false"/>
          <w:caps w:val="false"/>
          <w:smallCaps w:val="false"/>
          <w:color w:val="000000"/>
          <w:sz w:val="20"/>
        </w:rPr>
        <w:t> The members of the Talent and Compensation Committee currently are Mr. Cadogan (Chair), Mr. Battelle and Ms. Tomlin, each of whom is deemed independent under NYSE listing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assists the Board in fulfilling its oversight responsibility related to human capital management, the compensation of the Company’s senior executives and the Company’s stock-based plans. The committee reviews and makes recommendations to the independent members of our Board regarding the annual goals and objectives for the CEO and makes a recommendation to the independent members of our Board regarding the CEO’s compensation. The committee annually sets the compensation of the Company’s executive officers, and it reviews all of the Company’s compensation plans periodically. The committee also considers any risks associated with the plans and determines whether they are philosophically aligned with the executive officers’ compensation programs. In addition, the Talent and Compensation Committee establishes the share ownership guidelines applicable to the Company’s senior executives and the Board; evaluates the competitiveness and appropriateness of the Company’s change of control policies, severance practices, retirement plans, deferred compensation programs, and senior leadership benefits and perquisites; oversees the creation or revision of any clawback policies allowing the Company to recoup compensation paid to employees; designates which companies are to be included in the Company’s annual compensation peer group; considers the impact of tax and accounting rule changes upon the Company’s compensation plans and policies; and oversees the Company’s compliance with SEC rules and regulations regarding stockholder approval of executive compensation matters. The committee has the authority to retain advisors to assist with the work of the committee as it deems necessary and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Executive Committee.</w:t>
      </w:r>
      <w:r>
        <w:rPr>
          <w:rFonts w:ascii="Arial;Helvetica;sans-serif" w:hAnsi="Arial;Helvetica;sans-serif"/>
          <w:b w:val="false"/>
          <w:i w:val="false"/>
          <w:caps w:val="false"/>
          <w:smallCaps w:val="false"/>
          <w:color w:val="000000"/>
          <w:sz w:val="20"/>
        </w:rPr>
        <w:t> The members of the Executive Committee currently are Mr. Howe (Chair), Ms. Chow and Mr. Kokich. While the Executive Committee is authorized under its charter to implement the policy decisions of the full Board and to handle routine matters that arise during the interim periods between Board meetings, in practice this committee acts only when specifically instructed by the full Board to handle a specific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Governance/Nominating Committee.</w:t>
      </w:r>
      <w:r>
        <w:rPr>
          <w:rFonts w:ascii="Arial;Helvetica;sans-serif" w:hAnsi="Arial;Helvetica;sans-serif"/>
          <w:b w:val="false"/>
          <w:i w:val="false"/>
          <w:caps w:val="false"/>
          <w:smallCaps w:val="false"/>
          <w:color w:val="000000"/>
          <w:sz w:val="20"/>
        </w:rPr>
        <w:t> The members of the GNC currently are Mr. Battelle (Chair), Ms. Argyilan, Mr. Cadogan, and Mr. Kokich, each of whom is deemed independent under NYSE listing standards. The GNC is responsible for reviewing and making recommendations to the Board with regard to corporate governance principles, management succession planning, structure of Board committees, compensation of directors, ethics compliance programs, director orientation, and director education programs. In addition, the GNC reviews the adequacy of the Company’s ethics compliance programs, and it oversees the management of the Company’s risks related to governance and executive succession planning. The GNC evaluates the independence of directors and director nominees vis-à-vis the independence requirements of the NYSE, the rules and regulations of the SEC, and other applicable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conducts an annual evaluation process whereby individual interviews are conducted with each Board member to assess the performance of  (i) the Board as a whole, (ii) the committees of the Board, (iii) the Board and committee chairs, and (iv) individual directors, including peer-to-peer evaluations and self-evaluations. The Chairman of the Board then provides feedback to the individual directors, and the recommendations resulting from each annual evaluation are discussed at the next quarterly Board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is also responsible for screening and recommending qualified candidates to the Board for membership and for annually recommending to the Board the nominees for director to be submitted for election at each annual meeting of the Company’s stockholders. All nominations or appointments to the Board are approved by the full Board. Potential Board candidates are identified through various methods, including recommendations from directors, management and stockholders. The committee has the authority to retain search firms to identify director candidates and to approve the search firm’s fees and other retention terms. The committee regularly reviews the appropriate skills and characteristics required of Board members. In reviewing potential candidates, the GNC considers applicable board and committee independence requirements imposed by the various committee charters, NYSE listing standards and applicable law. The committee also considers the number of other boards and committees on which a director candidate serves.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noted previously under the section entitled “</w:t>
      </w:r>
      <w:r>
        <w:rPr>
          <w:rFonts w:ascii="Arial;Helvetica;sans-serif" w:hAnsi="Arial;Helvetica;sans-serif"/>
          <w:b w:val="false"/>
          <w:i/>
          <w:caps w:val="false"/>
          <w:smallCaps w:val="false"/>
          <w:color w:val="000000"/>
          <w:sz w:val="20"/>
        </w:rPr>
        <w:t>Election of Directors (Proposal 3)</w:t>
      </w:r>
      <w:r>
        <w:rPr>
          <w:rFonts w:ascii="Arial;Helvetica;sans-serif" w:hAnsi="Arial;Helvetica;sans-serif"/>
          <w:b w:val="false"/>
          <w:i w:val="false"/>
          <w:caps w:val="false"/>
          <w:smallCaps w:val="false"/>
          <w:color w:val="000000"/>
          <w:sz w:val="20"/>
        </w:rPr>
        <w:t>”, the GNC and Board seek directors who possess the highest personal and professional integrity, ethics and values, are committed to representing the long-term interests of the stockholders and have an objective perspective and mature judgment. Among the various criteria for selection as a Board member are the level of a potential candidate’s experience, wisdom, integrity, ability to make independent analytical inquiries, understanding of our business environment, willingness to devote adequate time to Board duties, and a commitment to serve on the Board for an extended period of time in order to develop an in-depth knowledge of the Company, its strategy and its principal operations. The GNC and Board seek candidates who demonstrate a willingness to evaluate management’s performance objectively and who have no activities or interests that conflict with their responsibilities to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GNC is responsible for assessing the appropriate balance of skills and characteristics required of Board members. Nominees for director must meet the qualifications set forth in our corporate governance principles and the GNC charter, pursuant to which the Board and committee are mandated to use reasonable efforts to attract a diversified membership and to endeavor to have a Board representing diverse experience at policy-making levels in business, government, education and technology. The GNC continually seeks to identify potential candidates who would enhance the gender and ethnic diversity of the Board. All director nominees must agree to comply with the Board’s Code of Business Conduct and Ethics, a copy of which is posted in the “Corporate Governance  —  Governance Overview”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terms of the Company’s corporate governance principles, any nominees proposed by stockholders will be evaluated by the GNC in the same manner as nominees proposed by other sources. To be considered by the GNC, a stockholder nomination must be submitted to the Corporate Secretary at the address and within the time frame specified under the section of this proxy statement below entitled “</w:t>
      </w:r>
      <w:r>
        <w:rPr>
          <w:rFonts w:ascii="Arial;Helvetica;sans-serif" w:hAnsi="Arial;Helvetica;sans-serif"/>
          <w:b w:val="false"/>
          <w:i/>
          <w:caps w:val="false"/>
          <w:smallCaps w:val="false"/>
          <w:color w:val="000000"/>
          <w:sz w:val="20"/>
        </w:rPr>
        <w:t>Stockholder Proposals</w:t>
      </w:r>
      <w:r>
        <w:rPr>
          <w:rFonts w:ascii="Arial;Helvetica;sans-serif" w:hAnsi="Arial;Helvetica;sans-serif"/>
          <w:b w:val="false"/>
          <w:i w:val="false"/>
          <w:caps w:val="false"/>
          <w:smallCaps w:val="false"/>
          <w:color w:val="000000"/>
          <w:sz w:val="20"/>
        </w:rPr>
        <w:t>.” It is the policy of the Board that representatives of institutional investors may be considered for Board membership so long as the institution (a) does not own or control significant holdings (i.e., more than 5% of the total outstanding shares or other equity units) in businesses that are competitive with the Company; (b) fully discloses, on an ongoing basis, any currently existing and/or reasonably foreseeable conflicts of interest with the Company and/or its other stockholders; and (c) agrees to comply with the Company’s stock trading guidelines applicable to directors and senior members of management, as currently in force or as may be in force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Other Committees.</w:t>
      </w:r>
      <w:r>
        <w:rPr>
          <w:rFonts w:ascii="Arial;Helvetica;sans-serif" w:hAnsi="Arial;Helvetica;sans-serif"/>
          <w:b w:val="false"/>
          <w:i w:val="false"/>
          <w:caps w:val="false"/>
          <w:smallCaps w:val="false"/>
          <w:color w:val="000000"/>
          <w:sz w:val="20"/>
        </w:rPr>
        <w:t xml:space="preserve"> In addition to the standing committees described above, the Board may establish other committees, including additional standing committees or </w:t>
      </w:r>
      <w:r>
        <w:rPr>
          <w:rFonts w:ascii="Arial;Helvetica;sans-serif" w:hAnsi="Arial;Helvetica;sans-serif"/>
          <w:b w:val="false"/>
          <w:i/>
          <w:caps w:val="false"/>
          <w:smallCaps w:val="false"/>
          <w:color w:val="000000"/>
          <w:sz w:val="20"/>
        </w:rPr>
        <w:t>ad hoc</w:t>
      </w:r>
      <w:r>
        <w:rPr>
          <w:rFonts w:ascii="Arial;Helvetica;sans-serif" w:hAnsi="Arial;Helvetica;sans-serif"/>
          <w:b w:val="false"/>
          <w:i w:val="false"/>
          <w:caps w:val="false"/>
          <w:smallCaps w:val="false"/>
          <w:color w:val="000000"/>
          <w:sz w:val="20"/>
        </w:rPr>
        <w:t xml:space="preserve"> committees to deal with a particular event or process.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pple1"/>
      <w:bookmarkEnd w:id="100"/>
      <w:r>
        <w:rPr>
          <w:rFonts w:ascii="calibri;arial;sans-serif" w:hAnsi="calibri;arial;sans-serif"/>
          <w:b w:val="false"/>
          <w:i w:val="false"/>
          <w:caps w:val="false"/>
          <w:smallCaps w:val="false"/>
          <w:color w:val="000000"/>
          <w:sz w:val="16"/>
        </w:rPr>
        <w:t>​</w:t>
      </w:r>
      <w:bookmarkStart w:id="101" w:name="tapple2"/>
      <w:bookmarkEnd w:id="101"/>
      <w:r>
        <w:rPr>
          <w:rFonts w:ascii="calibri;arial;sans-serif" w:hAnsi="calibri;arial;sans-serif"/>
          <w:b w:val="false"/>
          <w:i w:val="false"/>
          <w:caps w:val="false"/>
          <w:smallCaps w:val="false"/>
          <w:color w:val="000000"/>
          <w:sz w:val="16"/>
        </w:rPr>
        <w:t>​</w:t>
      </w:r>
      <w:bookmarkStart w:id="102" w:name="tapple3"/>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Responsibility for Risk Management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Management has primary responsibility for identifying and managing risks facing LiveRamp, subject to the oversight of the Board. The CEO brings key business risks to the attention of the Board, generally in the context of the Company’s strategic and operating plans. The Company’s director of risk management and the internal audit team, together with outside expert consultants, prepare quarterly reports used by the Audit/Finance Committee to analyze the most serious enterprise risks facing the Company and to prioritize the items to be addressed in the annual internal audit plan. The Company’s director of risk management and the internal audit team prepare risk assessments by conducting interviews and surveys with members of management across the Company and with the Audit/Finance Committee members to identify individual process and enterprise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committees of the Board assist in discharging the Board’s risk oversight role by performing certain subject matter responsibilities. Risks regarding financial, accounting and legal issues, compliance and internal controls, IT security, insurance coverages and business continuity are overseen by the Audit/Finance Committee. Risks related to the Company’s compensation programs are overseen by the Talent and Compensation Committee. Risks associated with governance and executive succession planning are overseen by the GNC. The full Board, however, retains full oversight responsibility for all subject matters, regardless of whether any particular subject matter is assigned to a committee. At each quarterly meeting, the Board receives a verbal summary of risk-related matters discussed in each of the committee meetings. All directors have access to the minutes of all committee meetings. The full Board is responsible for the overall risk assessment and management process and also directly oversees risks associated with the Company’s strategic plan, operating plan, products and services, human resources and organizational issues.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Board’s administration of its risk oversight role has not specifically affected the Board’s leadership structure. In establishing the Board’s current leadership structure, risk oversight was one factor among many factors considered, and the Board believes that the current leadership structure is conducive to and appropriate for its risk oversight role.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regularly reviews its leadership structure and evaluates whether such structure, as well as the Board as a whole, is functioning effectively. If in the future the Board believes that a change in its leadership structure is required to, or potentially could, improve the Board’s risk oversight role, it may make any changes it deems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Insider Stock Trading Policy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has adopted an insider stock trading policy governing the purchase, sale and/or other disposition of the Company’s securities by directors, officers and employees that is reasonably designed to promote compliance with insider trading laws, rules and regulations. Except for (i) trades executed under previously approved 10b5-1 trading plans, or (ii) sales made pursuant to a Company mandated “sell to cover” tax withholding treatment in connection with the vesting of an employee’s restricted stock units, no trades may be made during the “blackout period” following each quarter. The blackout period begins after the last day of each quarter and remains in effect until one full business day after the issuance of the quarterly earnings release for the quarter just completed. In addition, certain “designated persons” ​(which include directors, Section 16 officers and any additional persons designated by the Company from time-to-time) must obtain pre-clearance from the Company’s Chief Legal Officer prior to the execution of any trades. While our insider stock trading policy does not apply to the Company directly, it is our general practice to follow the same guidelines and restrictions on transactions involving Company securities that apply to persons covered under the insider stock trading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Hedging Policy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insider stock trading policy prohibits our employees (including officers) and our directors from engaging in short sales, hedging transactions and monetization transactions. Hedging or monetization transactions can be accomplished through the use of various financial instruments, including prepaid variable forwards, equity swaps, collars and exchange funds. These transactions may permit continued ownership of Company stock without the full risks and rewards of ownership. When that occurs, a person entering into this type of transaction may no longer have the same objectives as LiveRamp’s other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apple4"/>
      <w:bookmarkEnd w:id="103"/>
      <w:r>
        <w:rPr>
          <w:rFonts w:ascii="calibri;arial;sans-serif" w:hAnsi="calibri;arial;sans-serif"/>
          <w:b w:val="false"/>
          <w:i w:val="false"/>
          <w:caps w:val="false"/>
          <w:smallCaps w:val="false"/>
          <w:color w:val="000000"/>
          <w:sz w:val="16"/>
        </w:rPr>
        <w:t>​</w:t>
      </w:r>
      <w:bookmarkStart w:id="104" w:name="tapple5"/>
      <w:bookmarkEnd w:id="104"/>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Communication with Directors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Stockholders and other interested parties may contact the Board, a Board committee, a particular group of directors (</w:t>
      </w:r>
      <w:r>
        <w:rPr>
          <w:rFonts w:ascii="Arial;Helvetica;sans-serif" w:hAnsi="Arial;Helvetica;sans-serif"/>
          <w:b w:val="false"/>
          <w:i/>
          <w:caps w:val="false"/>
          <w:smallCaps w:val="false"/>
          <w:color w:val="000000"/>
          <w:sz w:val="20"/>
        </w:rPr>
        <w:t>e.g</w:t>
      </w:r>
      <w:r>
        <w:rPr>
          <w:rFonts w:ascii="Arial;Helvetica;sans-serif" w:hAnsi="Arial;Helvetica;sans-serif"/>
          <w:b w:val="false"/>
          <w:i w:val="false"/>
          <w:caps w:val="false"/>
          <w:smallCaps w:val="false"/>
          <w:color w:val="000000"/>
          <w:sz w:val="20"/>
        </w:rPr>
        <w:t xml:space="preserve">., our independent directors), or individual members of the Board, including the Chairman of the Board, via the Company’s investor relations website,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xml:space="preserve">, by visiting the Board page under the “Corporate Governance  —  Board of Directors” section of the site, or by visiting </w:t>
      </w:r>
      <w:r>
        <w:rPr>
          <w:rFonts w:ascii="Arial;Helvetica;sans-serif" w:hAnsi="Arial;Helvetica;sans-serif"/>
          <w:b w:val="false"/>
          <w:i w:val="false"/>
          <w:caps w:val="false"/>
          <w:smallCaps w:val="false"/>
          <w:color w:val="000000"/>
          <w:sz w:val="20"/>
          <w:u w:val="single"/>
        </w:rPr>
        <w:t>https://secure.ethicspoint.com/domain/media/en/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z w:val="20"/>
          <w:u w:val="single"/>
        </w:rPr>
        <w:t>gui/40223/index.html</w:t>
      </w:r>
      <w:r>
        <w:rPr>
          <w:rFonts w:ascii="Arial;Helvetica;sans-serif" w:hAnsi="Arial;Helvetica;sans-serif"/>
          <w:b w:val="false"/>
          <w:i w:val="false"/>
          <w:caps w:val="false"/>
          <w:smallCaps w:val="false"/>
          <w:color w:val="000000"/>
          <w:sz w:val="20"/>
        </w:rPr>
        <w:t>. Communications relating to concerns about LiveRamp’s accounting, internal accounting controls, or auditing matters will be referred to members of the Audit/Finance Committee. Incoming messages are monitored by Navex Global, an international ethics and compliance software and solution provider.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Environmental, Social and Governance Responsibility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more details on our corporate citizenship and sustainability efforts, please see LiveRamp’s Environmental, Social, and Governance Report, a copy of which is posted in the “Corporate Governance  —  Social Responsibility”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AOTI"/>
      <w:bookmarkEnd w:id="105"/>
      <w:r>
        <w:rPr>
          <w:rFonts w:ascii="calibri;arial;sans-serif" w:hAnsi="calibri;arial;sans-serif"/>
          <w:b w:val="false"/>
          <w:i w:val="false"/>
          <w:caps w:val="false"/>
          <w:smallCaps w:val="false"/>
          <w:color w:val="000000"/>
          <w:sz w:val="16"/>
        </w:rPr>
        <w:t>​</w:t>
      </w:r>
      <w:bookmarkStart w:id="106" w:name="tPROVJG2"/>
      <w:bookmarkEnd w:id="106"/>
      <w:r>
        <w:rPr>
          <w:rFonts w:ascii="calibri;arial;sans-serif" w:hAnsi="calibri;arial;sans-serif"/>
          <w:b w:val="false"/>
          <w:i w:val="false"/>
          <w:caps w:val="false"/>
          <w:smallCaps w:val="false"/>
          <w:color w:val="000000"/>
          <w:sz w:val="16"/>
        </w:rPr>
        <w:t>​</w:t>
      </w:r>
      <w:bookmarkStart w:id="107" w:name="tRTVJG2"/>
      <w:bookmarkEnd w:id="107"/>
      <w:r>
        <w:rPr>
          <w:rFonts w:ascii="calibri;arial;sans-serif" w:hAnsi="calibri;arial;sans-serif"/>
          <w:b w:val="false"/>
          <w:i w:val="false"/>
          <w:caps w:val="false"/>
          <w:smallCaps w:val="false"/>
          <w:color w:val="000000"/>
          <w:sz w:val="16"/>
        </w:rPr>
        <w:t xml:space="preserve">​ </w:t>
      </w:r>
    </w:p>
    <w:tbl>
      <w:tblPr>
        <w:tblW w:w="5017" w:type="dxa"/>
        <w:jc w:val="left"/>
        <w:tblInd w:w="440" w:type="dxa"/>
        <w:tblLayout w:type="fixed"/>
        <w:tblCellMar>
          <w:top w:w="0" w:type="dxa"/>
          <w:left w:w="0" w:type="dxa"/>
          <w:bottom w:w="0" w:type="dxa"/>
          <w:right w:w="0" w:type="dxa"/>
        </w:tblCellMar>
      </w:tblPr>
      <w:tblGrid>
        <w:gridCol w:w="124"/>
        <w:gridCol w:w="226"/>
        <w:gridCol w:w="109"/>
        <w:gridCol w:w="109"/>
        <w:gridCol w:w="109"/>
        <w:gridCol w:w="418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41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Approval of the Increase in the Number of </w:t>
              <w:br/>
              <w:t xml:space="preserve">Shares Available for Issuance under the </w:t>
              <w:br/>
              <w:t>2005 Plan</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sz w:val="36"/>
              </w:rPr>
            </w:pPr>
            <w:r>
              <w:rPr>
                <w:sz w:val="36"/>
              </w:rPr>
              <w:t>(Proposal 4)</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Proposal Overview</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Pursuant to this proposal, our stockholders are being asked to approve an amendment to increase the number of shares available for issuance (the “Share Increase Amendment”) under the Amended and Restated 2005 Equity Compensation Plan of LiveRamp Holdings, Inc. (the “2005 Plan”) by 2,500,000 shares. The Share Increase Amendment was approved by the Board on May 13, 2026, subject to stockholder approval. No other amendments are being proposed to the 2005 Plan other than the Share Increase Amendment. A copy of the 2005 Plan, as proposed to be amended and restated, is attached as </w:t>
      </w:r>
      <w:r>
        <w:rPr>
          <w:rFonts w:ascii="Arial;Helvetica;sans-serif" w:hAnsi="Arial;Helvetica;sans-serif"/>
          <w:b/>
          <w:i w:val="false"/>
          <w:caps w:val="false"/>
          <w:smallCaps w:val="false"/>
          <w:color w:val="000000"/>
          <w:sz w:val="20"/>
        </w:rPr>
        <w:t>Annex C</w:t>
      </w:r>
      <w:r>
        <w:rPr>
          <w:rFonts w:ascii="Arial;Helvetica;sans-serif" w:hAnsi="Arial;Helvetica;sans-serif"/>
          <w:b w:val="false"/>
          <w:i w:val="false"/>
          <w:caps w:val="false"/>
          <w:smallCaps w:val="false"/>
          <w:color w:val="000000"/>
          <w:sz w:val="20"/>
        </w:rPr>
        <w:t xml:space="preserve"> to this proxy statement and is incorporated herein by reference.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the approval of the Share Increase Amendment is critical in our recruitment efforts and retention of key employees that are important to our continued growth. Equity awards are an essential compensation component to attract top talent and any hindrance to our ability to grant equity awards under the 2005 Plan will have a negative impact on our ability to attract, retain and motivate employees, which may in turn negatively affect our performance. Further, if the Share Increase Amendment is not approved, the Company may not have sufficient shares available for issuance to fund our grants for the next fiscal year and we will have to take alternative strategic actions, including but not limited to, issuing primarily cash awards which will reduce our cash position that could otherwise be used for future growth opportunities. Thus, we believe that this proposal is entirely in the best interests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Reasons to Vote “For” the Share Increase Amendment</w:t>
      </w:r>
      <w:r>
        <w:rPr>
          <w:rFonts w:ascii="Arial;Helvetica;sans-serif" w:hAnsi="Arial;Helvetica;sans-serif"/>
          <w:b/>
          <w:i w:val="false"/>
          <w:caps w:val="false"/>
          <w:smallCaps w:val="false"/>
          <w:color w:val="00BC6F"/>
          <w:sz w:val="28"/>
        </w:rPr>
        <w:t xml:space="preserve"> </w:t>
      </w:r>
    </w:p>
    <w:tbl>
      <w:tblPr>
        <w:tblW w:w="9525" w:type="dxa"/>
        <w:jc w:val="left"/>
        <w:tblInd w:w="680" w:type="dxa"/>
        <w:tblLayout w:type="fixed"/>
        <w:tblCellMar>
          <w:top w:w="0" w:type="dxa"/>
          <w:left w:w="0" w:type="dxa"/>
          <w:bottom w:w="28" w:type="dxa"/>
          <w:right w:w="0" w:type="dxa"/>
        </w:tblCellMar>
      </w:tblPr>
      <w:tblGrid>
        <w:gridCol w:w="124"/>
        <w:gridCol w:w="1381"/>
        <w:gridCol w:w="109"/>
        <w:gridCol w:w="109"/>
        <w:gridCol w:w="7648"/>
        <w:gridCol w:w="154"/>
      </w:tblGrid>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381"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Plan</w:t>
              <w:br/>
              <w:t>Importance</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648" w:type="dxa"/>
            <w:tcBorders>
              <w:bottom w:val="single" w:sz="2" w:space="0" w:color="016836"/>
            </w:tcBorders>
            <w:vAlign w:val="center"/>
          </w:tcPr>
          <w:p>
            <w:pPr>
              <w:pStyle w:val="TableContents"/>
              <w:bidi w:val="0"/>
              <w:spacing w:lineRule="atLeast" w:line="240" w:before="0" w:after="0"/>
              <w:jc w:val="both"/>
              <w:rPr>
                <w:b/>
              </w:rPr>
            </w:pPr>
            <w:r>
              <w:rPr>
                <w:b/>
              </w:rPr>
              <w:t>Equity awards granted under the 2005 Plan are critical to LiveRamp’s success and continued growth by:</w:t>
            </w:r>
          </w:p>
          <w:p>
            <w:pPr>
              <w:pStyle w:val="TableContents"/>
              <w:bidi w:val="0"/>
              <w:spacing w:lineRule="atLeast" w:line="240" w:before="100" w:after="0"/>
              <w:ind w:left="200" w:right="0" w:hanging="0"/>
              <w:jc w:val="both"/>
              <w:rPr/>
            </w:pPr>
            <w:r>
              <w:rPr/>
              <w:t>Directly aligning employee interests with those of our stockholders and creating a culture of ownership;</w:t>
            </w:r>
            <w:r>
              <mc:AlternateContent>
                <mc:Choice Requires="wps">
                  <w:drawing>
                    <wp:anchor behindDoc="0" distT="63500" distB="0" distL="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32"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Increasing our ability to attract, reward, and motivate the top talent needed to achieve and exceed our strategic and continued growth objectives; and</w:t>
            </w:r>
            <w:r>
              <mc:AlternateContent>
                <mc:Choice Requires="wps">
                  <w:drawing>
                    <wp:anchor behindDoc="0" distT="63500" distB="0" distL="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33"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Promoting retention of top talent, as equity awards are subject to multi-year time-based vesting and/or performance-based conditions. </w:t>
            </w:r>
            <w:r>
              <mc:AlternateContent>
                <mc:Choice Requires="wps">
                  <w:drawing>
                    <wp:anchor behindDoc="0" distT="63500" distB="0" distL="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34"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381"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Plan</w:t>
              <w:br/>
              <w:t>Participation</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648" w:type="dxa"/>
            <w:tcBorders>
              <w:bottom w:val="single" w:sz="2" w:space="0" w:color="016836"/>
            </w:tcBorders>
            <w:vAlign w:val="center"/>
          </w:tcPr>
          <w:p>
            <w:pPr>
              <w:pStyle w:val="TableContents"/>
              <w:bidi w:val="0"/>
              <w:spacing w:lineRule="atLeast" w:line="200" w:before="0" w:after="0"/>
              <w:jc w:val="left"/>
              <w:rPr>
                <w:b/>
              </w:rPr>
            </w:pPr>
            <w:r>
              <w:rPr>
                <w:b/>
              </w:rPr>
              <w:t>We issue equity awards strategically to the following groups:</w:t>
            </w:r>
          </w:p>
          <w:p>
            <w:pPr>
              <w:pStyle w:val="TableContents"/>
              <w:bidi w:val="0"/>
              <w:spacing w:lineRule="atLeast" w:line="200" w:before="100" w:after="0"/>
              <w:ind w:left="200" w:right="0" w:hanging="0"/>
              <w:jc w:val="left"/>
              <w:rPr/>
            </w:pPr>
            <w:r>
              <w:rPr/>
              <w:t>Our Board;</w:t>
            </w:r>
            <w:r>
              <mc:AlternateContent>
                <mc:Choice Requires="wps">
                  <w:drawing>
                    <wp:anchor behindDoc="0" distT="63500" distB="0" distL="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35"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t>Our executive officers and leadership team; and</w:t>
            </w:r>
            <w:r>
              <mc:AlternateContent>
                <mc:Choice Requires="wps">
                  <w:drawing>
                    <wp:anchor behindDoc="0" distT="63500" distB="0" distL="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36"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Broad based employees based on niche skills and impact to long term business growth (~47% of employees hold unvested equity awards under the 2005 Plan). </w:t>
            </w:r>
            <w:r>
              <mc:AlternateContent>
                <mc:Choice Requires="wps">
                  <w:drawing>
                    <wp:anchor behindDoc="0" distT="63500" distB="0" distL="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37"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381" w:type="dxa"/>
            <w:tcBorders>
              <w:bottom w:val="single" w:sz="12" w:space="0" w:color="016836"/>
            </w:tcBorders>
            <w:shd w:fill="D8D8D8" w:val="clear"/>
            <w:vAlign w:val="center"/>
          </w:tcPr>
          <w:p>
            <w:pPr>
              <w:pStyle w:val="TableContents"/>
              <w:bidi w:val="0"/>
              <w:spacing w:lineRule="atLeast" w:line="220" w:before="0" w:after="0"/>
              <w:jc w:val="center"/>
              <w:rPr>
                <w:b/>
                <w:sz w:val="22"/>
              </w:rPr>
            </w:pPr>
            <w:r>
              <w:rPr>
                <w:b/>
                <w:sz w:val="22"/>
              </w:rPr>
              <w:t xml:space="preserve">Shares in </w:t>
              <w:br/>
              <w:t>Reserve</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648" w:type="dxa"/>
            <w:tcBorders>
              <w:bottom w:val="single" w:sz="12" w:space="0" w:color="016836"/>
            </w:tcBorders>
            <w:tcMar>
              <w:bottom w:w="85" w:type="dxa"/>
            </w:tcMar>
            <w:vAlign w:val="center"/>
          </w:tcPr>
          <w:p>
            <w:pPr>
              <w:pStyle w:val="TableContents"/>
              <w:bidi w:val="0"/>
              <w:spacing w:lineRule="atLeast" w:line="240" w:before="0" w:after="0"/>
              <w:ind w:left="200" w:right="0" w:hanging="0"/>
              <w:jc w:val="both"/>
              <w:rPr/>
            </w:pPr>
            <w:r>
              <w:rPr/>
              <w:t>As of March 31, 2026, we had 6,716,442 shares available for future issuance under the 2005 Plan and have since issued many of those shares as part of our annual grants in May 2026.</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127000" cy="350520"/>
                      <wp:effectExtent l="0" t="0" r="0" b="0"/>
                      <wp:wrapSquare wrapText="right"/>
                      <wp:docPr id="438"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As of June 1, 2026, we had 5,331,363 shares available for future issuance under the 2005 Plan.</w:t>
            </w:r>
            <w:r>
              <mc:AlternateContent>
                <mc:Choice Requires="wps">
                  <w:drawing>
                    <wp:anchor behindDoc="0" distT="63500" distB="0" distL="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39"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If the Share Increase Amendment is not approved by the stockholders, the Company may not have sufficient shares available for issuance to fund our grants for the next fiscal year and strategic action will be required. </w:t>
            </w:r>
            <w:r>
              <mc:AlternateContent>
                <mc:Choice Requires="wps">
                  <w:drawing>
                    <wp:anchor behindDoc="0" distT="63500" distB="0" distL="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40"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2" w:space="0" w:color="016836"/>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1579"/>
        <w:gridCol w:w="109"/>
        <w:gridCol w:w="109"/>
        <w:gridCol w:w="7449"/>
        <w:gridCol w:w="155"/>
      </w:tblGrid>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Shares Requested</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lineRule="atLeast" w:line="240" w:before="0" w:after="0"/>
              <w:jc w:val="left"/>
              <w:rPr>
                <w:b/>
              </w:rPr>
            </w:pPr>
            <w:r>
              <w:rPr>
                <w:b/>
              </w:rPr>
              <w:t>We are seeking stockholder approval for a moderate number of additional shares:</w:t>
            </w:r>
          </w:p>
          <w:p>
            <w:pPr>
              <w:pStyle w:val="TableContents"/>
              <w:bidi w:val="0"/>
              <w:spacing w:lineRule="atLeast" w:line="240" w:before="90" w:after="0"/>
              <w:ind w:left="200" w:right="0" w:hanging="0"/>
              <w:jc w:val="both"/>
              <w:rPr/>
            </w:pPr>
            <w:r>
              <w:rPr/>
              <w:t>We believe 2,500,000 is a moderate request when comparing our dilution against our peer group used for purposes of determining executive compensation for fiscal 2027 (“FY27 Peer Group”).</w:t>
            </w:r>
            <w:r>
              <w:rPr>
                <w:sz w:val="13"/>
              </w:rPr>
              <w:t>1</w:t>
            </w:r>
            <w:r>
              <mc:AlternateContent>
                <mc:Choice Requires="wps">
                  <w:drawing>
                    <wp:anchor behindDoc="0" distT="57150" distB="0" distL="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41"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200" w:right="0" w:hanging="0"/>
              <w:jc w:val="left"/>
              <w:rPr/>
            </w:pPr>
            <w:r>
              <w:rPr/>
              <w:t xml:space="preserve">Represents approximately 4.1% of our outstanding Common Stock. </w:t>
            </w:r>
            <w:r>
              <mc:AlternateContent>
                <mc:Choice Requires="wps">
                  <w:drawing>
                    <wp:anchor behindDoc="0" distT="57150" distB="0" distL="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42"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Utilization Metrics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lineRule="atLeast" w:line="200" w:before="0" w:after="0"/>
              <w:jc w:val="left"/>
              <w:rPr>
                <w:b/>
              </w:rPr>
            </w:pPr>
            <w:r>
              <w:rPr>
                <w:b/>
              </w:rPr>
              <w:t>Our utilization of equity awards is prudent compared to relative peer benchmarks:</w:t>
            </w:r>
          </w:p>
          <w:p>
            <w:pPr>
              <w:pStyle w:val="TableContents"/>
              <w:bidi w:val="0"/>
              <w:spacing w:lineRule="atLeast" w:line="240" w:before="90" w:after="0"/>
              <w:ind w:left="200" w:right="0" w:hanging="0"/>
              <w:jc w:val="both"/>
              <w:rPr/>
            </w:pPr>
            <w:r>
              <w:rPr>
                <w:b/>
              </w:rPr>
              <w:t>Burn Rate</w:t>
            </w:r>
            <w:r>
              <w:rPr/>
              <w:t> — 4.0% 3-year average versus 5.1% &amp; 6.3% for 50th &amp; 75th percentiles of our FY27 Peer Group, respectively.</w:t>
            </w:r>
            <w:r>
              <mc:AlternateContent>
                <mc:Choice Requires="wps">
                  <w:drawing>
                    <wp:anchor behindDoc="0" distT="57150" distB="0" distL="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43"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Overhang</w:t>
            </w:r>
            <w:r>
              <w:rPr/>
              <w:t> — Subject to the Share Increase Amendment approval, our full dilution is 17.2% and basic dilution is 20.8% as of June 1, 2026, which is between the 50th &amp; 75th percentiles of our FY27 Peer Group of 19.2% &amp; 30.7%, respectively.</w:t>
            </w:r>
            <w:r>
              <mc:AlternateContent>
                <mc:Choice Requires="wps">
                  <w:drawing>
                    <wp:anchor behindDoc="0" distT="5715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44"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Expense</w:t>
            </w:r>
            <w:r>
              <w:rPr/>
              <w:t> — 3-year stock-based compensation (“SBC”) expense for our core broad-based equity program at 8.5% of revenues. See the “</w:t>
            </w:r>
            <w:r>
              <w:rPr>
                <w:i/>
              </w:rPr>
              <w:t>Stock-Based Compensation Expense</w:t>
            </w:r>
            <w:r>
              <w:rPr/>
              <w:t xml:space="preserve">” section below for additional information on SBC expense. </w:t>
            </w:r>
            <w:r>
              <mc:AlternateContent>
                <mc:Choice Requires="wps">
                  <w:drawing>
                    <wp:anchor behindDoc="0" distT="5715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45"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Favorable</w:t>
              <w:br/>
              <w:t>Plan Features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before="0" w:after="0"/>
              <w:jc w:val="both"/>
              <w:rPr>
                <w:b/>
              </w:rPr>
            </w:pPr>
            <w:r>
              <w:rPr>
                <w:b/>
              </w:rPr>
              <w:t>The 2005 Plan includes several features that are consistent with the interests of our stockholders and sound corporate governance practices, including the following:</w:t>
            </w:r>
          </w:p>
          <w:p>
            <w:pPr>
              <w:pStyle w:val="TableContents"/>
              <w:bidi w:val="0"/>
              <w:spacing w:lineRule="atLeast" w:line="240" w:before="90" w:after="0"/>
              <w:ind w:left="200" w:right="0" w:hanging="0"/>
              <w:jc w:val="both"/>
              <w:rPr/>
            </w:pPr>
            <w:r>
              <w:rPr>
                <w:b/>
              </w:rPr>
              <w:t>No automatic share replenishment or “evergreen” provision</w:t>
            </w:r>
            <w:r>
              <w:rPr/>
              <w:t> — Shares are not automatically replenished.</w:t>
            </w:r>
            <w:r>
              <mc:AlternateContent>
                <mc:Choice Requires="wps">
                  <w:drawing>
                    <wp:anchor behindDoc="0" distT="5715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46"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discounted stock options or SARs</w:t>
            </w:r>
            <w:r>
              <w:rPr/>
              <w:t> — Stock options and stock appreciation rights (“SARs”) may not be repriced or granted with an exercise or measurement price lower than the fair market value of the underlying shares on the date of grant.</w:t>
            </w:r>
            <w:r>
              <mc:AlternateContent>
                <mc:Choice Requires="wps">
                  <w:drawing>
                    <wp:anchor behindDoc="0" distT="5715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47"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repricing of stock options or SARs</w:t>
            </w:r>
            <w:r>
              <w:rPr/>
              <w:t> — The 2005 Plan prohibits the repricing of stock options or SARs or a cash buyout of underwater stock options or SARs without prior stockholder approval.</w:t>
            </w:r>
            <w:r>
              <mc:AlternateContent>
                <mc:Choice Requires="wps">
                  <w:drawing>
                    <wp:anchor behindDoc="0" distT="57150" distB="0" distL="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48"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liberal share counting or “recycling” of shares</w:t>
            </w:r>
            <w:r>
              <w:rPr/>
              <w:t> — Shares delivered to the Company to purchase shares upon exercise of an award or to satisfy tax withholding obligations will not become available for issuance under the 2005 Plan.</w:t>
            </w:r>
            <w:r>
              <mc:AlternateContent>
                <mc:Choice Requires="wps">
                  <w:drawing>
                    <wp:anchor behindDoc="0" distT="5715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49"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liberal change in control definition</w:t>
            </w:r>
            <w:r>
              <w:rPr/>
              <w:t xml:space="preserve"> — Change in control benefits are triggered only by the occurrence, rather than stockholder approval, of a merger or other change in control event. </w:t>
            </w:r>
            <w:r>
              <mc:AlternateContent>
                <mc:Choice Requires="wps">
                  <w:drawing>
                    <wp:anchor behindDoc="0" distT="5715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0"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Prudent</w:t>
              <w:br/>
              <w:t>Share Repurchases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before="0" w:after="0"/>
              <w:jc w:val="both"/>
              <w:rPr>
                <w:b/>
              </w:rPr>
            </w:pPr>
            <w:r>
              <w:rPr>
                <w:b/>
              </w:rPr>
              <w:t>The Company’s share repurchases under its share repurchase program have returned meaningful capital to our stockholders and helped to offset the dilutive effect of our equity compensation program:</w:t>
            </w:r>
          </w:p>
          <w:p>
            <w:pPr>
              <w:pStyle w:val="TableContents"/>
              <w:bidi w:val="0"/>
              <w:spacing w:lineRule="atLeast" w:line="240" w:before="90" w:after="0"/>
              <w:ind w:left="200" w:right="0" w:hanging="0"/>
              <w:jc w:val="both"/>
              <w:rPr/>
            </w:pPr>
            <w:r>
              <w:rPr/>
              <w:t>Since the inception of its share repurchase program in 2011, the Company has returned approximately $1.8 billion in capital to stockholders as of June 1, 2026.</w:t>
            </w:r>
            <w:r>
              <mc:AlternateContent>
                <mc:Choice Requires="wps">
                  <w:drawing>
                    <wp:anchor behindDoc="0" distT="5715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51"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t xml:space="preserve">As of June 1, 2026, the Company had $244.2 million of remaining capacity under the stock repurchase program. </w:t>
            </w:r>
            <w:r>
              <mc:AlternateContent>
                <mc:Choice Requires="wps">
                  <w:drawing>
                    <wp:anchor behindDoc="0" distT="57150" distB="0" distL="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52"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579" w:type="dxa"/>
            <w:tcBorders>
              <w:bottom w:val="single" w:sz="12" w:space="0" w:color="016836"/>
            </w:tcBorders>
            <w:shd w:fill="D8D8D8" w:val="clear"/>
            <w:vAlign w:val="center"/>
          </w:tcPr>
          <w:p>
            <w:pPr>
              <w:pStyle w:val="TableContents"/>
              <w:bidi w:val="0"/>
              <w:spacing w:lineRule="atLeast" w:line="220" w:before="0" w:after="0"/>
              <w:jc w:val="center"/>
              <w:rPr>
                <w:b/>
                <w:sz w:val="22"/>
              </w:rPr>
            </w:pPr>
            <w:r>
              <w:rPr>
                <w:b/>
                <w:sz w:val="22"/>
              </w:rPr>
              <w:t>Potential</w:t>
              <w:br/>
              <w:t>Non-</w:t>
              <w:br/>
              <w:t>Favorable</w:t>
              <w:br/>
              <w:t>Strategic</w:t>
              <w:br/>
              <w:t>Actions</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449" w:type="dxa"/>
            <w:tcBorders>
              <w:bottom w:val="single" w:sz="12" w:space="0" w:color="016836"/>
            </w:tcBorders>
            <w:tcMar>
              <w:bottom w:w="85" w:type="dxa"/>
            </w:tcMar>
            <w:vAlign w:val="center"/>
          </w:tcPr>
          <w:p>
            <w:pPr>
              <w:pStyle w:val="TableContents"/>
              <w:bidi w:val="0"/>
              <w:spacing w:before="0" w:after="0"/>
              <w:jc w:val="both"/>
              <w:rPr>
                <w:b/>
              </w:rPr>
            </w:pPr>
            <w:r>
              <w:rPr>
                <w:b/>
              </w:rPr>
              <w:t>In the event the Share Increase Amendment is not approved, we would likely pursue multiple courses of less favorable strategic action, including:</w:t>
            </w:r>
          </w:p>
          <w:p>
            <w:pPr>
              <w:pStyle w:val="TableContents"/>
              <w:bidi w:val="0"/>
              <w:spacing w:lineRule="atLeast" w:line="240" w:before="90" w:after="0"/>
              <w:ind w:left="200" w:right="0" w:hanging="0"/>
              <w:jc w:val="both"/>
              <w:rPr/>
            </w:pPr>
            <w:r>
              <w:rPr/>
              <w:t>Reassessing our current hiring practices and scaling back our current employee equity award granting practices which could lead to less growth and increased employee turnover;</w:t>
            </w:r>
            <w:r>
              <mc:AlternateContent>
                <mc:Choice Requires="wps">
                  <w:drawing>
                    <wp:anchor behindDoc="0" distT="57150" distB="0" distL="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53"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200" w:right="0" w:hanging="0"/>
              <w:jc w:val="left"/>
              <w:rPr/>
            </w:pPr>
            <w:r>
              <w:rPr/>
              <w:t>Issuing primarily cash awards which:</w:t>
            </w:r>
            <w:r>
              <mc:AlternateContent>
                <mc:Choice Requires="wps">
                  <w:drawing>
                    <wp:anchor behindDoc="0" distT="57150" distB="0" distL="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54"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283"/>
              <w:ind w:left="200" w:right="0" w:hanging="0"/>
              <w:jc w:val="left"/>
              <w:rPr/>
            </w:pPr>
            <w:r>
              <w:rPr/>
              <w:t xml:space="preserve">◦ </w:t>
            </w:r>
            <w:r>
              <w:rPr>
                <w:rFonts w:ascii="Arial;Helvetica;sans-serif" w:hAnsi="Arial;Helvetica;sans-serif"/>
              </w:rPr>
              <w:t xml:space="preserve">Are less desirable by current employees and potential new hires; and </w:t>
            </w:r>
          </w:p>
          <w:p>
            <w:pPr>
              <w:pStyle w:val="TableContents"/>
              <w:bidi w:val="0"/>
              <w:spacing w:lineRule="atLeast" w:line="200" w:before="90" w:after="283"/>
              <w:ind w:left="200" w:right="0" w:hanging="0"/>
              <w:jc w:val="both"/>
              <w:rPr/>
            </w:pPr>
            <w:r>
              <w:rPr/>
              <w:t xml:space="preserve">◦ </w:t>
            </w:r>
            <w:r>
              <w:rPr>
                <w:rFonts w:ascii="Arial;Helvetica;sans-serif" w:hAnsi="Arial;Helvetica;sans-serif"/>
              </w:rPr>
              <w:t>Will reduce our cash position that could otherwise be used for future growth opportunities;</w:t>
            </w:r>
          </w:p>
          <w:p>
            <w:pPr>
              <w:pStyle w:val="TableContents"/>
              <w:bidi w:val="0"/>
              <w:spacing w:lineRule="atLeast" w:line="240" w:before="90" w:after="0"/>
              <w:ind w:left="200" w:right="0" w:hanging="0"/>
              <w:jc w:val="both"/>
              <w:rPr/>
            </w:pPr>
            <w:r>
              <w:rPr/>
              <w:t>Relying on non-stockholder approved inducement plans for new-hire awards to increase our ability to grant competitive awards to attract new talent, which may lead to discontent and frustration of our existing employees who would not be eligible for similar awards; and</w:t>
            </w:r>
            <w:r>
              <mc:AlternateContent>
                <mc:Choice Requires="wps">
                  <w:drawing>
                    <wp:anchor behindDoc="0" distT="57150" distB="0" distL="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55"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t>Limiting future share repurchase actions and decreasing acquisition investments to conserve cash to fund employee compensation.</w:t>
            </w:r>
            <w:r>
              <mc:AlternateContent>
                <mc:Choice Requires="wps">
                  <w:drawing>
                    <wp:anchor behindDoc="0" distT="57150" distB="0" distL="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56"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016836"/>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The FY27 Peer Group includes Asana, Blackline, Box, Digital Turbine, DoubleVerify, EverCommerce, Fastly, Five9, Pagaya Technologies, PagerDuty, Q2 Holdings, Qualys, Rapid7, Sprinklr, Sprout Social, Verint Systems, Workiva, Yext, and Zeta Global Holdings. </w:t>
      </w:r>
      <w:r>
        <mc:AlternateContent>
          <mc:Choice Requires="wps">
            <w:drawing>
              <wp:anchor behindDoc="0" distT="6350" distB="0" distL="0" distR="0" simplePos="0" locked="0" layoutInCell="1" allowOverlap="1" relativeHeight="474">
                <wp:simplePos x="0" y="0"/>
                <wp:positionH relativeFrom="column">
                  <wp:align>left</wp:align>
                </wp:positionH>
                <wp:positionV relativeFrom="line">
                  <wp:align>top</wp:align>
                </wp:positionV>
                <wp:extent cx="254000" cy="254000"/>
                <wp:effectExtent l="0" t="0" r="0" b="0"/>
                <wp:wrapSquare wrapText="right"/>
                <wp:docPr id="457" name="Frame4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5pt;mso-wrap-distance-bottom:0pt;margin-top:0.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ECPIJG2"/>
      <w:bookmarkEnd w:id="108"/>
      <w:r>
        <w:rPr>
          <w:rFonts w:ascii="calibri;arial;sans-serif" w:hAnsi="calibri;arial;sans-serif"/>
          <w:b w:val="false"/>
          <w:i w:val="false"/>
          <w:caps w:val="false"/>
          <w:smallCaps w:val="false"/>
          <w:color w:val="000000"/>
          <w:sz w:val="16"/>
        </w:rPr>
        <w:t>​</w:t>
      </w:r>
      <w:bookmarkStart w:id="109" w:name="tUUPJG2"/>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Equity Compensation Plan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contains information about our equity compensation plans as of March 31,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3266"/>
        <w:gridCol w:w="109"/>
        <w:gridCol w:w="109"/>
        <w:gridCol w:w="115"/>
        <w:gridCol w:w="115"/>
        <w:gridCol w:w="1244"/>
        <w:gridCol w:w="115"/>
        <w:gridCol w:w="109"/>
        <w:gridCol w:w="109"/>
        <w:gridCol w:w="164"/>
        <w:gridCol w:w="341"/>
        <w:gridCol w:w="1159"/>
        <w:gridCol w:w="167"/>
        <w:gridCol w:w="109"/>
        <w:gridCol w:w="109"/>
        <w:gridCol w:w="137"/>
        <w:gridCol w:w="137"/>
        <w:gridCol w:w="1489"/>
        <w:gridCol w:w="137"/>
        <w:gridCol w:w="161"/>
      </w:tblGrid>
      <w:tr>
        <w:trPr/>
        <w:tc>
          <w:tcPr>
            <w:tcW w:w="124" w:type="dxa"/>
            <w:tcBorders/>
            <w:shd w:fill="000000" w:val="clear"/>
            <w:vAlign w:val="center"/>
          </w:tcPr>
          <w:p>
            <w:pPr>
              <w:pStyle w:val="TableContents"/>
              <w:bidi w:val="0"/>
              <w:spacing w:before="0" w:after="283"/>
              <w:jc w:val="left"/>
              <w:rPr/>
            </w:pPr>
            <w:r>
              <w:rPr/>
              <w:t>​</w:t>
            </w:r>
          </w:p>
        </w:tc>
        <w:tc>
          <w:tcPr>
            <w:tcW w:w="326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756" w:type="dxa"/>
            <w:gridSpan w:val="16"/>
            <w:tcBorders/>
            <w:shd w:fill="000000" w:val="clear"/>
            <w:vAlign w:val="center"/>
          </w:tcPr>
          <w:p>
            <w:pPr>
              <w:pStyle w:val="TableContents"/>
              <w:bidi w:val="0"/>
              <w:spacing w:before="0" w:after="0"/>
              <w:jc w:val="center"/>
              <w:rPr/>
            </w:pPr>
            <w:r>
              <w:rPr/>
              <w:t xml:space="preserve">Equity Compensation Plan Information </w:t>
            </w:r>
          </w:p>
        </w:tc>
        <w:tc>
          <w:tcPr>
            <w:tcW w:w="161"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3266" w:type="dxa"/>
            <w:tcBorders/>
            <w:shd w:fill="000000" w:val="clear"/>
            <w:vAlign w:val="center"/>
          </w:tcPr>
          <w:p>
            <w:pPr>
              <w:pStyle w:val="TableContents"/>
              <w:bidi w:val="0"/>
              <w:spacing w:before="0" w:after="0"/>
              <w:jc w:val="left"/>
              <w:rPr/>
            </w:pPr>
            <w:r>
              <w:rPr/>
              <w:t xml:space="preserve">Plan Category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center"/>
              <w:rPr/>
            </w:pPr>
            <w:r>
              <w:rPr/>
              <w:t>Number of</w:t>
              <w:br/>
              <w:t>securities to</w:t>
              <w:br/>
              <w:t>be issued upon</w:t>
              <w:br/>
              <w:t>exercise of</w:t>
              <w:br/>
              <w:t>outstanding</w:t>
              <w:br/>
              <w:t>options, warrants</w:t>
              <w:br/>
              <w:t>and rights</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31" w:type="dxa"/>
            <w:gridSpan w:val="4"/>
            <w:tcBorders/>
            <w:shd w:fill="000000" w:val="clear"/>
            <w:vAlign w:val="center"/>
          </w:tcPr>
          <w:p>
            <w:pPr>
              <w:pStyle w:val="TableContents"/>
              <w:bidi w:val="0"/>
              <w:spacing w:lineRule="atLeast" w:line="150" w:before="0" w:after="0"/>
              <w:jc w:val="center"/>
              <w:rPr/>
            </w:pPr>
            <w:r>
              <w:rPr/>
              <w:t>Weighted-average</w:t>
              <w:br/>
              <w:t>exercise price of</w:t>
              <w:br/>
              <w:t>outstanding</w:t>
              <w:br/>
              <w:t>options, warrants</w:t>
              <w:br/>
              <w:t>and rights</w:t>
            </w:r>
            <w:r>
              <w:rPr>
                <w:sz w:val="13"/>
              </w:rPr>
              <w:t>2</w:t>
            </w:r>
            <w:r>
              <w:rPr/>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00" w:type="dxa"/>
            <w:gridSpan w:val="4"/>
            <w:tcBorders/>
            <w:shd w:fill="000000" w:val="clear"/>
            <w:vAlign w:val="center"/>
          </w:tcPr>
          <w:p>
            <w:pPr>
              <w:pStyle w:val="TableContents"/>
              <w:bidi w:val="0"/>
              <w:spacing w:before="0" w:after="0"/>
              <w:jc w:val="center"/>
              <w:rPr/>
            </w:pPr>
            <w:r>
              <w:rPr/>
              <w:t>Number of</w:t>
              <w:br/>
              <w:t>securities remaining</w:t>
              <w:br/>
              <w:t>available for</w:t>
              <w:br/>
              <w:t>future issuance</w:t>
              <w:br/>
              <w:t>under equity</w:t>
              <w:br/>
              <w:t>compensation plans</w:t>
              <w:br/>
              <w:t>(excluding securities</w:t>
              <w:br/>
              <w:t>reflected in column (a)):</w:t>
              <w:br/>
              <w:t xml:space="preserve">(c) </w:t>
            </w:r>
          </w:p>
        </w:tc>
        <w:tc>
          <w:tcPr>
            <w:tcW w:w="161"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Equity compensation plans approved by stockholders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244" w:type="dxa"/>
            <w:tcBorders>
              <w:bottom w:val="single" w:sz="2" w:space="0" w:color="016836"/>
            </w:tcBorders>
            <w:shd w:fill="D8D8D8" w:val="clear"/>
            <w:tcMar>
              <w:bottom w:w="37" w:type="dxa"/>
            </w:tcMar>
            <w:vAlign w:val="center"/>
          </w:tcPr>
          <w:p>
            <w:pPr>
              <w:pStyle w:val="TableContents"/>
              <w:bidi w:val="0"/>
              <w:spacing w:before="0" w:after="283"/>
              <w:jc w:val="right"/>
              <w:rPr/>
            </w:pPr>
            <w:r>
              <w:rPr/>
              <w:t>4,260,617</w:t>
            </w:r>
            <w:r>
              <w:rPr>
                <w:sz w:val="13"/>
              </w:rPr>
              <w:t>1</w:t>
            </w:r>
            <w:r>
              <w:rPr/>
              <w:t xml:space="preserve"> </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159" w:type="dxa"/>
            <w:tcBorders>
              <w:bottom w:val="single" w:sz="2" w:space="0" w:color="016836"/>
            </w:tcBorders>
            <w:shd w:fill="D8D8D8" w:val="clear"/>
            <w:tcMar>
              <w:bottom w:w="37" w:type="dxa"/>
            </w:tcMar>
            <w:vAlign w:val="center"/>
          </w:tcPr>
          <w:p>
            <w:pPr>
              <w:pStyle w:val="TableContents"/>
              <w:bidi w:val="0"/>
              <w:spacing w:before="0" w:after="283"/>
              <w:jc w:val="right"/>
              <w:rPr/>
            </w:pPr>
            <w:r>
              <w:rPr/>
              <w:t> </w:t>
            </w:r>
            <w:r>
              <w:rPr/>
              <w:t>13.15</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489" w:type="dxa"/>
            <w:tcBorders>
              <w:bottom w:val="single" w:sz="2" w:space="0" w:color="016836"/>
            </w:tcBorders>
            <w:shd w:fill="D8D8D8" w:val="clear"/>
            <w:tcMar>
              <w:bottom w:w="37" w:type="dxa"/>
            </w:tcMar>
            <w:vAlign w:val="center"/>
          </w:tcPr>
          <w:p>
            <w:pPr>
              <w:pStyle w:val="TableContents"/>
              <w:bidi w:val="0"/>
              <w:spacing w:before="0" w:after="283"/>
              <w:jc w:val="right"/>
              <w:rPr/>
            </w:pPr>
            <w:r>
              <w:rPr/>
              <w:t>7,271,681</w:t>
            </w:r>
            <w:r>
              <w:rPr>
                <w:sz w:val="13"/>
              </w:rPr>
              <w:t>3</w:t>
            </w:r>
            <w:r>
              <w:rPr/>
              <w:t xml:space="preserve"> </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tcMar>
              <w:bottom w:w="37" w:type="dxa"/>
            </w:tcMar>
            <w:vAlign w:val="center"/>
          </w:tcPr>
          <w:p>
            <w:pPr>
              <w:pStyle w:val="TableContents"/>
              <w:bidi w:val="0"/>
              <w:spacing w:before="0" w:after="0"/>
              <w:ind w:left="200" w:right="0" w:hanging="200"/>
              <w:jc w:val="left"/>
              <w:rPr/>
            </w:pPr>
            <w:r>
              <w:rPr/>
              <w:t xml:space="preserve">Equity compensation plans not approved </w:t>
              <w:br/>
              <w:t xml:space="preserve">by stockholders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tcMar>
              <w:bottom w:w="37" w:type="dxa"/>
            </w:tcMar>
            <w:vAlign w:val="center"/>
          </w:tcPr>
          <w:p>
            <w:pPr>
              <w:pStyle w:val="TableContents"/>
              <w:bidi w:val="0"/>
              <w:spacing w:before="0" w:after="283"/>
              <w:jc w:val="right"/>
              <w:rPr/>
            </w:pPr>
            <w:r>
              <w:rPr/>
              <w:t>​</w:t>
            </w:r>
          </w:p>
        </w:tc>
        <w:tc>
          <w:tcPr>
            <w:tcW w:w="1244" w:type="dxa"/>
            <w:tcBorders>
              <w:bottom w:val="single" w:sz="2" w:space="0" w:color="016836"/>
            </w:tcBorders>
            <w:tcMar>
              <w:bottom w:w="37" w:type="dxa"/>
            </w:tcMar>
            <w:vAlign w:val="center"/>
          </w:tcPr>
          <w:p>
            <w:pPr>
              <w:pStyle w:val="TableContents"/>
              <w:bidi w:val="0"/>
              <w:spacing w:before="0" w:after="283"/>
              <w:jc w:val="right"/>
              <w:rPr/>
            </w:pPr>
            <w:r>
              <w:rPr/>
              <w:t>—</w:t>
            </w:r>
          </w:p>
        </w:tc>
        <w:tc>
          <w:tcPr>
            <w:tcW w:w="11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tcMar>
              <w:bottom w:w="37" w:type="dxa"/>
            </w:tcMar>
            <w:vAlign w:val="center"/>
          </w:tcPr>
          <w:p>
            <w:pPr>
              <w:pStyle w:val="TableContents"/>
              <w:bidi w:val="0"/>
              <w:spacing w:before="0" w:after="283"/>
              <w:jc w:val="right"/>
              <w:rPr/>
            </w:pPr>
            <w:r>
              <w:rPr/>
              <w:t>​</w:t>
            </w:r>
          </w:p>
        </w:tc>
        <w:tc>
          <w:tcPr>
            <w:tcW w:w="1159" w:type="dxa"/>
            <w:tcBorders>
              <w:bottom w:val="single" w:sz="2" w:space="0" w:color="016836"/>
            </w:tcBorders>
            <w:tcMar>
              <w:bottom w:w="37" w:type="dxa"/>
            </w:tcMar>
            <w:vAlign w:val="center"/>
          </w:tcPr>
          <w:p>
            <w:pPr>
              <w:pStyle w:val="TableContents"/>
              <w:bidi w:val="0"/>
              <w:spacing w:before="0" w:after="283"/>
              <w:jc w:val="right"/>
              <w:rPr/>
            </w:pPr>
            <w:r>
              <w:rPr/>
              <w:t>—</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tcMar>
              <w:bottom w:w="37" w:type="dxa"/>
            </w:tcMar>
            <w:vAlign w:val="center"/>
          </w:tcPr>
          <w:p>
            <w:pPr>
              <w:pStyle w:val="TableContents"/>
              <w:bidi w:val="0"/>
              <w:spacing w:before="0" w:after="283"/>
              <w:jc w:val="right"/>
              <w:rPr/>
            </w:pPr>
            <w:r>
              <w:rPr/>
              <w:t>​</w:t>
            </w:r>
          </w:p>
        </w:tc>
        <w:tc>
          <w:tcPr>
            <w:tcW w:w="1489" w:type="dxa"/>
            <w:tcBorders>
              <w:bottom w:val="single" w:sz="2" w:space="0" w:color="016836"/>
            </w:tcBorders>
            <w:tcMar>
              <w:bottom w:w="37" w:type="dxa"/>
            </w:tcMar>
            <w:vAlign w:val="center"/>
          </w:tcPr>
          <w:p>
            <w:pPr>
              <w:pStyle w:val="TableContents"/>
              <w:bidi w:val="0"/>
              <w:spacing w:before="0" w:after="283"/>
              <w:jc w:val="right"/>
              <w:rPr/>
            </w:pPr>
            <w:r>
              <w:rPr/>
              <w:t>41,983</w:t>
            </w:r>
            <w:r>
              <w:rPr>
                <w:sz w:val="13"/>
              </w:rPr>
              <w:t>4</w:t>
            </w:r>
            <w:r>
              <w:rPr/>
              <w:t xml:space="preserve"> </w:t>
            </w:r>
          </w:p>
        </w:tc>
        <w:tc>
          <w:tcPr>
            <w:tcW w:w="137" w:type="dxa"/>
            <w:tcBorders>
              <w:bottom w:val="single" w:sz="2" w:space="0" w:color="016836"/>
            </w:tcBorders>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44" w:type="dxa"/>
            <w:tcBorders>
              <w:bottom w:val="single" w:sz="2" w:space="0" w:color="016836"/>
            </w:tcBorders>
            <w:shd w:fill="D8D8D8" w:val="clear"/>
            <w:tcMar>
              <w:bottom w:w="50" w:type="dxa"/>
            </w:tcMar>
            <w:vAlign w:val="center"/>
          </w:tcPr>
          <w:p>
            <w:pPr>
              <w:pStyle w:val="TableContents"/>
              <w:bidi w:val="0"/>
              <w:spacing w:before="0" w:after="283"/>
              <w:jc w:val="right"/>
              <w:rPr/>
            </w:pPr>
            <w:r>
              <w:rPr/>
              <w:t>4,260,617</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59" w:type="dxa"/>
            <w:tcBorders>
              <w:bottom w:val="single" w:sz="2" w:space="0" w:color="016836"/>
            </w:tcBorders>
            <w:shd w:fill="D8D8D8" w:val="clear"/>
            <w:tcMar>
              <w:bottom w:w="50" w:type="dxa"/>
            </w:tcMar>
            <w:vAlign w:val="center"/>
          </w:tcPr>
          <w:p>
            <w:pPr>
              <w:pStyle w:val="TableContents"/>
              <w:bidi w:val="0"/>
              <w:spacing w:before="0" w:after="283"/>
              <w:jc w:val="right"/>
              <w:rPr/>
            </w:pPr>
            <w:r>
              <w:rPr/>
              <w:t>13.15</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89" w:type="dxa"/>
            <w:tcBorders>
              <w:bottom w:val="single" w:sz="2" w:space="0" w:color="016836"/>
            </w:tcBorders>
            <w:shd w:fill="D8D8D8" w:val="clear"/>
            <w:tcMar>
              <w:bottom w:w="50" w:type="dxa"/>
            </w:tcMar>
            <w:vAlign w:val="center"/>
          </w:tcPr>
          <w:p>
            <w:pPr>
              <w:pStyle w:val="TableContents"/>
              <w:bidi w:val="0"/>
              <w:spacing w:before="0" w:after="283"/>
              <w:jc w:val="right"/>
              <w:rPr/>
            </w:pPr>
            <w:r>
              <w:rPr/>
              <w:t>7,313,664</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does not include the number of securities to be issued upon exercise of outstanding options, warrants, and rights under equity compensation plans LiveRamp assumed in acquisitions (196,370 shares at a weighted-average exercise price of $9.58).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475">
                <wp:simplePos x="0" y="0"/>
                <wp:positionH relativeFrom="column">
                  <wp:align>left</wp:align>
                </wp:positionH>
                <wp:positionV relativeFrom="line">
                  <wp:align>top</wp:align>
                </wp:positionV>
                <wp:extent cx="254000" cy="254000"/>
                <wp:effectExtent l="0" t="0" r="0" b="0"/>
                <wp:wrapSquare wrapText="right"/>
                <wp:docPr id="458" name="Frame4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weighted-average exercise price set forth in this column is calculated excluding outstanding restricted stock unit (“RSU”) awards, since recipients are not required to pay an exercise price to receive the shares subject to these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6">
                <wp:simplePos x="0" y="0"/>
                <wp:positionH relativeFrom="column">
                  <wp:align>left</wp:align>
                </wp:positionH>
                <wp:positionV relativeFrom="line">
                  <wp:align>top</wp:align>
                </wp:positionV>
                <wp:extent cx="254000" cy="254000"/>
                <wp:effectExtent l="0" t="0" r="0" b="0"/>
                <wp:wrapSquare wrapText="right"/>
                <wp:docPr id="459" name="Frame43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represents shares of Common Stock available for future issuance as of March 31, 2026, under the 2005 Plan (6,716,442) and the LiveRamp Holdings, Inc. 2005 Employee Stock Purchase Plan (555,239, including 104,724 shares subject to purchase during the current purchase period), which is an employee stock purchase plan covered by Section 423 of the Internal Revenue Code, as amended (the “Code”). The 2005 Plan is an equity compensation plan that permits awards of a variety of equity-based incentives, including stock options, stock appreciation rights, restricted stock, restricted stock units, performance awards and other stock unit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7">
                <wp:simplePos x="0" y="0"/>
                <wp:positionH relativeFrom="column">
                  <wp:align>left</wp:align>
                </wp:positionH>
                <wp:positionV relativeFrom="line">
                  <wp:align>top</wp:align>
                </wp:positionV>
                <wp:extent cx="254000" cy="254000"/>
                <wp:effectExtent l="0" t="0" r="0" b="0"/>
                <wp:wrapSquare wrapText="right"/>
                <wp:docPr id="460" name="Frame43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represents shares available for issuance pursuant to the Company’s 2011 Non-Qualified Equity Compensation Plan described below, which did not require stockholder approval under the exception provided for in applicable listing standards.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8">
                <wp:simplePos x="0" y="0"/>
                <wp:positionH relativeFrom="column">
                  <wp:align>left</wp:align>
                </wp:positionH>
                <wp:positionV relativeFrom="line">
                  <wp:align>top</wp:align>
                </wp:positionV>
                <wp:extent cx="254000" cy="254000"/>
                <wp:effectExtent l="0" t="0" r="0" b="0"/>
                <wp:wrapSquare wrapText="right"/>
                <wp:docPr id="461" name="Frame43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Updated Number of Outstanding Awards Under the 2005 Plan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As of June 1, 2026, there were 2,879 outstanding stock options under the 2005 Plan, which had a weighted average exercise price of  $13.15 and a weighted average remaining contractual life of 0.76 years. As of June 1, 2026, there were 4,611,078 RSU and performance-based restricted stock unit (“PSU”) awards outstanding under the 2005 Plan, and 5,331,363 shares available for future issuance under the 2005 Plan.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PMDJG2"/>
      <w:bookmarkEnd w:id="110"/>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Plan Metric Details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Annual Issuances and Burn Rate under 2005 Plan</w:t>
      </w:r>
      <w:r>
        <w:rPr>
          <w:rFonts w:ascii="Arial;Helvetica;sans-serif" w:hAnsi="Arial;Helvetica;sans-serif"/>
          <w:b w:val="false"/>
          <w:i/>
          <w:caps w:val="false"/>
          <w:smallCaps w:val="false"/>
          <w:color w:val="000000"/>
          <w:spacing w:val="5"/>
          <w:sz w:val="24"/>
        </w:rPr>
        <w:t xml:space="preserve"> </w:t>
      </w:r>
    </w:p>
    <w:tbl>
      <w:tblPr>
        <w:tblW w:w="11978" w:type="dxa"/>
        <w:jc w:val="left"/>
        <w:tblInd w:w="680" w:type="dxa"/>
        <w:tblLayout w:type="fixed"/>
        <w:tblCellMar>
          <w:top w:w="0" w:type="dxa"/>
          <w:left w:w="0" w:type="dxa"/>
          <w:bottom w:w="28" w:type="dxa"/>
          <w:right w:w="0" w:type="dxa"/>
        </w:tblCellMar>
      </w:tblPr>
      <w:tblGrid>
        <w:gridCol w:w="124"/>
        <w:gridCol w:w="661"/>
        <w:gridCol w:w="109"/>
        <w:gridCol w:w="109"/>
        <w:gridCol w:w="109"/>
        <w:gridCol w:w="991"/>
        <w:gridCol w:w="109"/>
        <w:gridCol w:w="109"/>
        <w:gridCol w:w="109"/>
        <w:gridCol w:w="871"/>
        <w:gridCol w:w="109"/>
        <w:gridCol w:w="109"/>
        <w:gridCol w:w="109"/>
        <w:gridCol w:w="1021"/>
        <w:gridCol w:w="109"/>
        <w:gridCol w:w="109"/>
        <w:gridCol w:w="109"/>
        <w:gridCol w:w="1336"/>
        <w:gridCol w:w="109"/>
        <w:gridCol w:w="109"/>
        <w:gridCol w:w="109"/>
        <w:gridCol w:w="1276"/>
        <w:gridCol w:w="109"/>
        <w:gridCol w:w="109"/>
        <w:gridCol w:w="109"/>
        <w:gridCol w:w="1051"/>
        <w:gridCol w:w="109"/>
        <w:gridCol w:w="109"/>
        <w:gridCol w:w="109"/>
        <w:gridCol w:w="1261"/>
        <w:gridCol w:w="109"/>
        <w:gridCol w:w="109"/>
        <w:gridCol w:w="109"/>
        <w:gridCol w:w="61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66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6803" w:type="dxa"/>
            <w:gridSpan w:val="17"/>
            <w:tcBorders>
              <w:bottom w:val="single" w:sz="6" w:space="0" w:color="FEFEFE"/>
            </w:tcBorders>
            <w:shd w:fill="000000" w:val="clear"/>
            <w:vAlign w:val="center"/>
          </w:tcPr>
          <w:p>
            <w:pPr>
              <w:pStyle w:val="TableContents"/>
              <w:bidi w:val="0"/>
              <w:spacing w:before="0" w:after="0"/>
              <w:jc w:val="center"/>
              <w:rPr/>
            </w:pPr>
            <w:r>
              <w:rPr/>
              <w:t xml:space="preserve">Awards Granted​ </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109" w:type="dxa"/>
            <w:tcBorders>
              <w:bottom w:val="single" w:sz="6"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5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26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616" w:type="dxa"/>
            <w:tcBorders>
              <w:bottom w:val="single" w:sz="2" w:space="0" w:color="000000"/>
            </w:tcBorders>
            <w:shd w:fill="000000" w:val="clear"/>
            <w:vAlign w:val="center"/>
          </w:tcPr>
          <w:p>
            <w:pPr>
              <w:pStyle w:val="TableContents"/>
              <w:bidi w:val="0"/>
              <w:spacing w:before="0" w:after="283"/>
              <w:jc w:val="left"/>
              <w:rPr/>
            </w:pPr>
            <w:r>
              <w:rPr/>
              <w:t>​</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661" w:type="dxa"/>
            <w:tcBorders/>
            <w:shd w:fill="000000"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91" w:type="dxa"/>
            <w:tcBorders/>
            <w:shd w:fill="000000" w:val="clear"/>
            <w:tcMar>
              <w:bottom w:w="0" w:type="dxa"/>
            </w:tcMar>
            <w:vAlign w:val="center"/>
          </w:tcPr>
          <w:p>
            <w:pPr>
              <w:pStyle w:val="TableContents"/>
              <w:bidi w:val="0"/>
              <w:spacing w:lineRule="atLeast" w:line="142" w:before="0" w:after="0"/>
              <w:jc w:val="center"/>
              <w:rPr/>
            </w:pPr>
            <w:r>
              <w:rPr/>
              <w:t>Common</w:t>
              <w:br/>
              <w:t xml:space="preserve">Shares </w:t>
              <w:br/>
              <w:t>and</w:t>
              <w:br/>
              <w:t>RSUs</w:t>
              <w:br/>
              <w:t>Granted</w:t>
            </w:r>
            <w:r>
              <w:rPr>
                <w:sz w:val="13"/>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71" w:type="dxa"/>
            <w:tcBorders/>
            <w:shd w:fill="000000" w:val="clear"/>
            <w:tcMar>
              <w:bottom w:w="0" w:type="dxa"/>
            </w:tcMar>
            <w:vAlign w:val="center"/>
          </w:tcPr>
          <w:p>
            <w:pPr>
              <w:pStyle w:val="TableContents"/>
              <w:bidi w:val="0"/>
              <w:spacing w:before="0" w:after="0"/>
              <w:jc w:val="center"/>
              <w:rPr/>
            </w:pPr>
            <w:r>
              <w:rPr/>
              <w:t>PSUs</w:t>
              <w:br/>
              <w:t xml:space="preserve">Granted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21" w:type="dxa"/>
            <w:tcBorders/>
            <w:shd w:fill="000000" w:val="clear"/>
            <w:tcMar>
              <w:bottom w:w="0" w:type="dxa"/>
            </w:tcMar>
            <w:vAlign w:val="center"/>
          </w:tcPr>
          <w:p>
            <w:pPr>
              <w:pStyle w:val="TableContents"/>
              <w:bidi w:val="0"/>
              <w:spacing w:before="0" w:after="0"/>
              <w:jc w:val="center"/>
              <w:rPr/>
            </w:pPr>
            <w:r>
              <w:rPr/>
              <w:t>PSUs</w:t>
              <w:br/>
              <w:t xml:space="preserve">Achieved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0"/>
              <w:jc w:val="center"/>
              <w:rPr/>
            </w:pPr>
            <w:r>
              <w:rPr/>
              <w:t>Acquisition-</w:t>
              <w:br/>
              <w:t>related</w:t>
              <w:br/>
              <w:t>Replacement</w:t>
              <w:br/>
              <w:t>Stock</w:t>
              <w:br/>
              <w:t xml:space="preserve">Options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76" w:type="dxa"/>
            <w:tcBorders/>
            <w:shd w:fill="000000" w:val="clear"/>
            <w:tcMar>
              <w:bottom w:w="0" w:type="dxa"/>
            </w:tcMar>
            <w:vAlign w:val="center"/>
          </w:tcPr>
          <w:p>
            <w:pPr>
              <w:pStyle w:val="TableContents"/>
              <w:bidi w:val="0"/>
              <w:spacing w:before="0" w:after="0"/>
              <w:jc w:val="center"/>
              <w:rPr/>
            </w:pPr>
            <w:r>
              <w:rPr/>
              <w:t>Acquisition-</w:t>
              <w:br/>
              <w:t>related</w:t>
              <w:br/>
              <w:t>RSU</w:t>
              <w:br/>
              <w:t xml:space="preserve">Grants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51" w:type="dxa"/>
            <w:tcBorders/>
            <w:shd w:fill="000000" w:val="clear"/>
            <w:tcMar>
              <w:bottom w:w="0" w:type="dxa"/>
            </w:tcMar>
            <w:vAlign w:val="center"/>
          </w:tcPr>
          <w:p>
            <w:pPr>
              <w:pStyle w:val="TableContents"/>
              <w:bidi w:val="0"/>
              <w:spacing w:before="0" w:after="0"/>
              <w:jc w:val="center"/>
              <w:rPr/>
            </w:pPr>
            <w:r>
              <w:rPr/>
              <w:t>Forfeited</w:t>
              <w:br/>
              <w:t>or</w:t>
              <w:br/>
              <w:t>Cancelled</w:t>
              <w:br/>
              <w:t>Stock</w:t>
              <w:br/>
              <w:t>Options</w:t>
              <w:br/>
              <w:t>and</w:t>
              <w:br/>
              <w:t xml:space="preserve">RSUs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before="0" w:after="0"/>
              <w:jc w:val="center"/>
              <w:rPr/>
            </w:pPr>
            <w:r>
              <w:rPr/>
              <w:t>Basic</w:t>
              <w:br/>
              <w:t>Weighted</w:t>
              <w:br/>
              <w:t>Average</w:t>
              <w:br/>
              <w:t>Shares</w:t>
              <w:br/>
              <w:t xml:space="preserve">Outstanding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lineRule="atLeast" w:line="142" w:before="0" w:after="0"/>
              <w:jc w:val="center"/>
              <w:rPr/>
            </w:pPr>
            <w:r>
              <w:rPr/>
              <w:t>Burn</w:t>
              <w:br/>
              <w:t>Rate</w:t>
            </w:r>
            <w:r>
              <w:rPr>
                <w:sz w:val="13"/>
              </w:rPr>
              <w:t>2</w:t>
            </w:r>
            <w:r>
              <w:rP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661" w:type="dxa"/>
            <w:tcBorders/>
            <w:shd w:fill="D8D8D8" w:val="clear"/>
            <w:tcMar>
              <w:bottom w:w="0" w:type="dxa"/>
            </w:tcMar>
            <w:vAlign w:val="center"/>
          </w:tcPr>
          <w:p>
            <w:pPr>
              <w:pStyle w:val="TableContents"/>
              <w:bidi w:val="0"/>
              <w:spacing w:before="0" w:after="0"/>
              <w:jc w:val="center"/>
              <w:rPr/>
            </w:pPr>
            <w:r>
              <w:rPr/>
              <w:t xml:space="preserve">2026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91" w:type="dxa"/>
            <w:tcBorders/>
            <w:shd w:fill="D8D8D8" w:val="clear"/>
            <w:tcMar>
              <w:bottom w:w="0" w:type="dxa"/>
            </w:tcMar>
            <w:vAlign w:val="center"/>
          </w:tcPr>
          <w:p>
            <w:pPr>
              <w:pStyle w:val="TableContents"/>
              <w:bidi w:val="0"/>
              <w:spacing w:before="0" w:after="0"/>
              <w:jc w:val="center"/>
              <w:rPr/>
            </w:pPr>
            <w:r>
              <w:rPr/>
              <w:t xml:space="preserve">2.24M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71" w:type="dxa"/>
            <w:tcBorders/>
            <w:shd w:fill="D8D8D8" w:val="clear"/>
            <w:tcMar>
              <w:bottom w:w="0" w:type="dxa"/>
            </w:tcMar>
            <w:vAlign w:val="center"/>
          </w:tcPr>
          <w:p>
            <w:pPr>
              <w:pStyle w:val="TableContents"/>
              <w:bidi w:val="0"/>
              <w:spacing w:before="0" w:after="0"/>
              <w:jc w:val="center"/>
              <w:rPr/>
            </w:pPr>
            <w:r>
              <w:rPr/>
              <w:t xml:space="preserve">.52M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21" w:type="dxa"/>
            <w:tcBorders/>
            <w:shd w:fill="D8D8D8" w:val="clear"/>
            <w:tcMar>
              <w:bottom w:w="0" w:type="dxa"/>
            </w:tcMar>
            <w:vAlign w:val="center"/>
          </w:tcPr>
          <w:p>
            <w:pPr>
              <w:pStyle w:val="TableContents"/>
              <w:bidi w:val="0"/>
              <w:spacing w:before="0" w:after="0"/>
              <w:jc w:val="center"/>
              <w:rPr/>
            </w:pPr>
            <w:r>
              <w:rPr/>
              <w:t xml:space="preserve">.33M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5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61" w:type="dxa"/>
            <w:tcBorders/>
            <w:shd w:fill="D8D8D8" w:val="clear"/>
            <w:tcMar>
              <w:bottom w:w="0" w:type="dxa"/>
            </w:tcMar>
            <w:vAlign w:val="center"/>
          </w:tcPr>
          <w:p>
            <w:pPr>
              <w:pStyle w:val="TableContents"/>
              <w:bidi w:val="0"/>
              <w:spacing w:before="0" w:after="0"/>
              <w:jc w:val="center"/>
              <w:rPr/>
            </w:pPr>
            <w:r>
              <w:rPr/>
              <w:t xml:space="preserve">64.1M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16" w:type="dxa"/>
            <w:tcBorders/>
            <w:shd w:fill="D8D8D8" w:val="clear"/>
            <w:tcMar>
              <w:bottom w:w="0" w:type="dxa"/>
            </w:tcMar>
            <w:vAlign w:val="center"/>
          </w:tcPr>
          <w:p>
            <w:pPr>
              <w:pStyle w:val="TableContents"/>
              <w:bidi w:val="0"/>
              <w:spacing w:before="0" w:after="0"/>
              <w:jc w:val="center"/>
              <w:rPr/>
            </w:pPr>
            <w:r>
              <w:rPr/>
              <w:t xml:space="preserve">4.3% </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91" w:type="dxa"/>
            <w:tcBorders/>
            <w:tcMar>
              <w:bottom w:w="0" w:type="dxa"/>
            </w:tcMar>
            <w:vAlign w:val="center"/>
          </w:tcPr>
          <w:p>
            <w:pPr>
              <w:pStyle w:val="TableContents"/>
              <w:bidi w:val="0"/>
              <w:spacing w:before="0" w:after="0"/>
              <w:jc w:val="center"/>
              <w:rPr/>
            </w:pPr>
            <w:r>
              <w:rPr/>
              <w:t xml:space="preserve">2.08M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pPr>
            <w:r>
              <w:rPr/>
              <w:t xml:space="preserve">.47M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1" w:type="dxa"/>
            <w:tcBorders/>
            <w:tcMar>
              <w:bottom w:w="0" w:type="dxa"/>
            </w:tcMar>
            <w:vAlign w:val="center"/>
          </w:tcPr>
          <w:p>
            <w:pPr>
              <w:pStyle w:val="TableContents"/>
              <w:bidi w:val="0"/>
              <w:spacing w:before="0" w:after="0"/>
              <w:jc w:val="center"/>
              <w:rPr/>
            </w:pPr>
            <w:r>
              <w:rPr/>
              <w:t xml:space="preserve">.03M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0"/>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pPr>
            <w:r>
              <w:rPr/>
              <w:t xml:space="preserve">0.8M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1" w:type="dxa"/>
            <w:tcBorders/>
            <w:tcMar>
              <w:bottom w:w="0" w:type="dxa"/>
            </w:tcMar>
            <w:vAlign w:val="center"/>
          </w:tcPr>
          <w:p>
            <w:pPr>
              <w:pStyle w:val="TableContents"/>
              <w:bidi w:val="0"/>
              <w:spacing w:before="0" w:after="0"/>
              <w:jc w:val="center"/>
              <w:rPr/>
            </w:pPr>
            <w:r>
              <w:rPr/>
              <w:t xml:space="preserve">66.1M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6" w:type="dxa"/>
            <w:tcBorders/>
            <w:tcMar>
              <w:bottom w:w="0" w:type="dxa"/>
            </w:tcMar>
            <w:vAlign w:val="center"/>
          </w:tcPr>
          <w:p>
            <w:pPr>
              <w:pStyle w:val="TableContents"/>
              <w:bidi w:val="0"/>
              <w:spacing w:before="0" w:after="0"/>
              <w:jc w:val="center"/>
              <w:rPr/>
            </w:pPr>
            <w:r>
              <w:rPr/>
              <w:t xml:space="preserve">3.9%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661" w:type="dxa"/>
            <w:tcBorders/>
            <w:shd w:fill="D8D8D8" w:val="clear"/>
            <w:tcMar>
              <w:bottom w:w="0" w:type="dxa"/>
            </w:tcMar>
            <w:vAlign w:val="center"/>
          </w:tcPr>
          <w:p>
            <w:pPr>
              <w:pStyle w:val="TableContents"/>
              <w:bidi w:val="0"/>
              <w:spacing w:before="0" w:after="0"/>
              <w:jc w:val="center"/>
              <w:rPr/>
            </w:pPr>
            <w:r>
              <w:rPr/>
              <w:t xml:space="preserve">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91" w:type="dxa"/>
            <w:tcBorders/>
            <w:shd w:fill="D8D8D8" w:val="clear"/>
            <w:tcMar>
              <w:bottom w:w="0" w:type="dxa"/>
            </w:tcMar>
            <w:vAlign w:val="center"/>
          </w:tcPr>
          <w:p>
            <w:pPr>
              <w:pStyle w:val="TableContents"/>
              <w:bidi w:val="0"/>
              <w:spacing w:before="0" w:after="0"/>
              <w:jc w:val="center"/>
              <w:rPr/>
            </w:pPr>
            <w:r>
              <w:rPr/>
              <w:t xml:space="preserve">1.82M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71" w:type="dxa"/>
            <w:tcBorders/>
            <w:shd w:fill="D8D8D8" w:val="clear"/>
            <w:tcMar>
              <w:bottom w:w="0" w:type="dxa"/>
            </w:tcMar>
            <w:vAlign w:val="center"/>
          </w:tcPr>
          <w:p>
            <w:pPr>
              <w:pStyle w:val="TableContents"/>
              <w:bidi w:val="0"/>
              <w:spacing w:before="0" w:after="0"/>
              <w:jc w:val="center"/>
              <w:rPr/>
            </w:pPr>
            <w:r>
              <w:rPr/>
              <w:t xml:space="preserve">.67M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2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5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61" w:type="dxa"/>
            <w:tcBorders/>
            <w:shd w:fill="D8D8D8" w:val="clear"/>
            <w:tcMar>
              <w:bottom w:w="0" w:type="dxa"/>
            </w:tcMar>
            <w:vAlign w:val="center"/>
          </w:tcPr>
          <w:p>
            <w:pPr>
              <w:pStyle w:val="TableContents"/>
              <w:bidi w:val="0"/>
              <w:spacing w:before="0" w:after="0"/>
              <w:jc w:val="center"/>
              <w:rPr/>
            </w:pPr>
            <w:r>
              <w:rPr/>
              <w:t xml:space="preserve">66.3M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16" w:type="dxa"/>
            <w:tcBorders/>
            <w:shd w:fill="D8D8D8" w:val="clear"/>
            <w:tcMar>
              <w:bottom w:w="0" w:type="dxa"/>
            </w:tcMar>
            <w:vAlign w:val="center"/>
          </w:tcPr>
          <w:p>
            <w:pPr>
              <w:pStyle w:val="TableContents"/>
              <w:bidi w:val="0"/>
              <w:spacing w:before="0" w:after="0"/>
              <w:jc w:val="center"/>
              <w:rPr/>
            </w:pPr>
            <w:r>
              <w:rPr/>
              <w:t xml:space="preserve">3.8% </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336"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276"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2639" w:type="dxa"/>
            <w:gridSpan w:val="5"/>
            <w:tcBorders/>
            <w:shd w:fill="1724A9" w:val="clear"/>
            <w:tcMar>
              <w:bottom w:w="0" w:type="dxa"/>
            </w:tcMar>
            <w:vAlign w:val="center"/>
          </w:tcPr>
          <w:p>
            <w:pPr>
              <w:pStyle w:val="TableContents"/>
              <w:bidi w:val="0"/>
              <w:spacing w:before="0" w:after="0"/>
              <w:jc w:val="right"/>
              <w:rPr/>
            </w:pPr>
            <w:r>
              <w:rPr/>
              <w:t>LiveRamp 3-Year Average</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616" w:type="dxa"/>
            <w:tcBorders/>
            <w:shd w:fill="1724A9" w:val="clear"/>
            <w:tcMar>
              <w:bottom w:w="0" w:type="dxa"/>
            </w:tcMar>
            <w:vAlign w:val="center"/>
          </w:tcPr>
          <w:p>
            <w:pPr>
              <w:pStyle w:val="TableContents"/>
              <w:bidi w:val="0"/>
              <w:spacing w:before="0" w:after="0"/>
              <w:jc w:val="center"/>
              <w:rPr/>
            </w:pPr>
            <w:r>
              <w:rPr/>
              <w:t xml:space="preserve">4.0% </w:t>
            </w:r>
          </w:p>
        </w:tc>
        <w:tc>
          <w:tcPr>
            <w:tcW w:w="154" w:type="dxa"/>
            <w:tcBorders/>
            <w:shd w:fill="1724A9"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654" w:type="dxa"/>
            <w:gridSpan w:val="5"/>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25</w:t>
            </w:r>
            <w:r>
              <w:rPr>
                <w:sz w:val="13"/>
              </w:rPr>
              <w:t>th</w:t>
            </w:r>
            <w:r>
              <w:rPr/>
              <w:t xml:space="preserve"> Percentile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 xml:space="preserve">3.4%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4317" w:type="dxa"/>
            <w:gridSpan w:val="9"/>
            <w:tcBorders/>
            <w:shd w:fill="000000" w:val="clear"/>
            <w:tcMar>
              <w:bottom w:w="0" w:type="dxa"/>
            </w:tcMar>
            <w:vAlign w:val="center"/>
          </w:tcPr>
          <w:p>
            <w:pPr>
              <w:pStyle w:val="TableContents"/>
              <w:bidi w:val="0"/>
              <w:spacing w:before="0" w:after="0"/>
              <w:jc w:val="right"/>
              <w:rPr/>
            </w:pPr>
            <w:r>
              <w:rPr/>
              <w:t>FY27 Peer Group 3-Year Average</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50</w:t>
            </w:r>
            <w:r>
              <w:rPr>
                <w:sz w:val="13"/>
              </w:rPr>
              <w:t>th</w:t>
            </w:r>
            <w:r>
              <w:rPr/>
              <w:t xml:space="preserve"> Percentile</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5.1%</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654" w:type="dxa"/>
            <w:gridSpan w:val="5"/>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75</w:t>
            </w:r>
            <w:r>
              <w:rPr>
                <w:sz w:val="13"/>
              </w:rPr>
              <w:t>th</w:t>
            </w:r>
            <w:r>
              <w:rPr/>
              <w:t xml:space="preserve"> Percentile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6.3%</w:t>
            </w:r>
          </w:p>
        </w:tc>
        <w:tc>
          <w:tcPr>
            <w:tcW w:w="154" w:type="dxa"/>
            <w:tcBorders/>
            <w:shd w:fill="000000" w:val="clear"/>
            <w:tcMar>
              <w:bottom w:w="0"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9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Includes .04M, .04M and .04M common shares granted in fiscal years 2026, 2025 and 2024, respectively, related to director compensation.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5730" distB="0" distL="0" distR="0" simplePos="0" locked="0" layoutInCell="1" allowOverlap="1" relativeHeight="479">
                <wp:simplePos x="0" y="0"/>
                <wp:positionH relativeFrom="column">
                  <wp:align>left</wp:align>
                </wp:positionH>
                <wp:positionV relativeFrom="line">
                  <wp:align>top</wp:align>
                </wp:positionV>
                <wp:extent cx="254000" cy="254000"/>
                <wp:effectExtent l="0" t="0" r="0" b="0"/>
                <wp:wrapSquare wrapText="right"/>
                <wp:docPr id="462" name="Frame4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9pt;mso-wrap-distance-bottom:0pt;margin-top:9.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Burn Rate is calculated by dividing all RSUs and PSUs granted, excluding acquisition-related replacement stock options and acquisition-related RSU grants, by the basic weighted average shares outstanding.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0">
                <wp:simplePos x="0" y="0"/>
                <wp:positionH relativeFrom="column">
                  <wp:align>left</wp:align>
                </wp:positionH>
                <wp:positionV relativeFrom="line">
                  <wp:align>top</wp:align>
                </wp:positionV>
                <wp:extent cx="254000" cy="254000"/>
                <wp:effectExtent l="0" t="0" r="0" b="0"/>
                <wp:wrapSquare wrapText="right"/>
                <wp:docPr id="463" name="Frame4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Total Dilution (includes all plans, both active and acquisition related)</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contains information about our dilution as of June 1, 2026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9172" w:type="dxa"/>
        <w:jc w:val="left"/>
        <w:tblInd w:w="680" w:type="dxa"/>
        <w:tblLayout w:type="fixed"/>
        <w:tblCellMar>
          <w:top w:w="0" w:type="dxa"/>
          <w:left w:w="0" w:type="dxa"/>
          <w:bottom w:w="0" w:type="dxa"/>
          <w:right w:w="0" w:type="dxa"/>
        </w:tblCellMar>
      </w:tblPr>
      <w:tblGrid>
        <w:gridCol w:w="124"/>
        <w:gridCol w:w="5731"/>
        <w:gridCol w:w="109"/>
        <w:gridCol w:w="109"/>
        <w:gridCol w:w="109"/>
        <w:gridCol w:w="109"/>
        <w:gridCol w:w="1186"/>
        <w:gridCol w:w="109"/>
        <w:gridCol w:w="109"/>
        <w:gridCol w:w="109"/>
        <w:gridCol w:w="113"/>
        <w:gridCol w:w="113"/>
        <w:gridCol w:w="875"/>
        <w:gridCol w:w="113"/>
        <w:gridCol w:w="154"/>
      </w:tblGrid>
      <w:tr>
        <w:trPr/>
        <w:tc>
          <w:tcPr>
            <w:tcW w:w="124" w:type="dxa"/>
            <w:tcBorders/>
            <w:shd w:fill="000000" w:val="clear"/>
            <w:vAlign w:val="center"/>
          </w:tcPr>
          <w:p>
            <w:pPr>
              <w:pStyle w:val="TableContents"/>
              <w:bidi w:val="0"/>
              <w:spacing w:before="0" w:after="283"/>
              <w:jc w:val="left"/>
              <w:rPr/>
            </w:pPr>
            <w:r>
              <w:rPr/>
              <w:t>​</w:t>
            </w:r>
          </w:p>
        </w:tc>
        <w:tc>
          <w:tcPr>
            <w:tcW w:w="5731" w:type="dxa"/>
            <w:tcBorders/>
            <w:shd w:fill="000000" w:val="clear"/>
            <w:vAlign w:val="center"/>
          </w:tcPr>
          <w:p>
            <w:pPr>
              <w:pStyle w:val="TableContents"/>
              <w:bidi w:val="0"/>
              <w:spacing w:before="0" w:after="0"/>
              <w:jc w:val="left"/>
              <w:rPr/>
            </w:pPr>
            <w:r>
              <w:rPr/>
              <w:t xml:space="preserve">Type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4" w:type="dxa"/>
            <w:gridSpan w:val="4"/>
            <w:tcBorders/>
            <w:shd w:fill="000000" w:val="clear"/>
            <w:vAlign w:val="center"/>
          </w:tcPr>
          <w:p>
            <w:pPr>
              <w:pStyle w:val="TableContents"/>
              <w:bidi w:val="0"/>
              <w:spacing w:lineRule="atLeast" w:line="142" w:before="0" w:after="0"/>
              <w:jc w:val="center"/>
              <w:rPr/>
            </w:pPr>
            <w:r>
              <w:rPr/>
              <w:t>Dilution%</w:t>
            </w:r>
            <w:r>
              <w:rPr>
                <w:sz w:val="13"/>
              </w:rPr>
              <w:t>1</w:t>
            </w:r>
            <w:r>
              <w:rP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lineRule="atLeast" w:line="142" w:before="0" w:after="283"/>
              <w:jc w:val="left"/>
              <w:rPr/>
            </w:pPr>
            <w:r>
              <w:rPr/>
              <w:t>Outstanding Options</w:t>
            </w:r>
            <w:r>
              <w:rPr>
                <w:sz w:val="13"/>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80,459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0.1%</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Outstanding Restricted Stock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3,381,149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4.6%</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lineRule="atLeast" w:line="142" w:before="0" w:after="283"/>
              <w:jc w:val="left"/>
              <w:rPr/>
            </w:pPr>
            <w:r>
              <w:rPr/>
              <w:t>Outstanding Performance Share Units</w:t>
            </w:r>
            <w:r>
              <w:rPr>
                <w:sz w:val="13"/>
              </w:rPr>
              <w:t>3</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1,300,440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1.8%</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Total Stock Awards Outstanding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4,762,048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6.5%</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Remaining Shares Available to Grant Under the 2005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5,331,363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7.3%</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 xml:space="preserve">Remaining Shares Available to Grant Under the 2011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41,983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0.1%</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Share Increase Proposal Shares Requested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3.4%</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Total Shares Available to Grant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7,873,346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10.7%</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 xml:space="preserve">Sum of All Dilutive Components Listed Above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12,635,394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17.2%</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Common Shares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60,779,585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82.8%</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5731" w:type="dxa"/>
            <w:tcBorders>
              <w:bottom w:val="single" w:sz="12" w:space="0" w:color="016836"/>
            </w:tcBorders>
            <w:shd w:fill="D8D8D8" w:val="clear"/>
            <w:tcMar>
              <w:bottom w:w="28" w:type="dxa"/>
            </w:tcMar>
            <w:vAlign w:val="center"/>
          </w:tcPr>
          <w:p>
            <w:pPr>
              <w:pStyle w:val="TableContents"/>
              <w:bidi w:val="0"/>
              <w:spacing w:before="0" w:after="283"/>
              <w:jc w:val="left"/>
              <w:rPr/>
            </w:pPr>
            <w:r>
              <w:rPr/>
              <w:t>Fully Diluted Shares Outstanding</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73,414,979</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875" w:type="dxa"/>
            <w:tcBorders>
              <w:bottom w:val="single" w:sz="12" w:space="0" w:color="016836"/>
            </w:tcBorders>
            <w:shd w:fill="D8D8D8" w:val="clear"/>
            <w:tcMar>
              <w:bottom w:w="28" w:type="dxa"/>
            </w:tcMar>
            <w:vAlign w:val="center"/>
          </w:tcPr>
          <w:p>
            <w:pPr>
              <w:pStyle w:val="TableContents"/>
              <w:bidi w:val="0"/>
              <w:spacing w:before="0" w:after="283"/>
              <w:jc w:val="right"/>
              <w:rPr/>
            </w:pPr>
            <w:r>
              <w:rPr/>
              <w:t>100.0%</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Dilution is calculated by dividing the applicable number in the Shares column for each component by the Fully Diluted Shares Outstanding.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6680" distB="0" distL="0" distR="0" simplePos="0" locked="0" layoutInCell="1" allowOverlap="1" relativeHeight="481">
                <wp:simplePos x="0" y="0"/>
                <wp:positionH relativeFrom="column">
                  <wp:align>left</wp:align>
                </wp:positionH>
                <wp:positionV relativeFrom="line">
                  <wp:align>top</wp:align>
                </wp:positionV>
                <wp:extent cx="254000" cy="254000"/>
                <wp:effectExtent l="0" t="0" r="0" b="0"/>
                <wp:wrapSquare wrapText="right"/>
                <wp:docPr id="464" name="Frame43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As of June 1, 2026, there were 80,459 outstanding stock options under all plans, which had a weighted average exercise price of  $9.70 and a weighted average remaining contractual life of 6.3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2">
                <wp:simplePos x="0" y="0"/>
                <wp:positionH relativeFrom="column">
                  <wp:align>left</wp:align>
                </wp:positionH>
                <wp:positionV relativeFrom="line">
                  <wp:align>top</wp:align>
                </wp:positionV>
                <wp:extent cx="254000" cy="254000"/>
                <wp:effectExtent l="0" t="0" r="0" b="0"/>
                <wp:wrapSquare wrapText="right"/>
                <wp:docPr id="465" name="Frame43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Outstanding performance share units are shown at target.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3">
                <wp:simplePos x="0" y="0"/>
                <wp:positionH relativeFrom="column">
                  <wp:align>left</wp:align>
                </wp:positionH>
                <wp:positionV relativeFrom="line">
                  <wp:align>top</wp:align>
                </wp:positionV>
                <wp:extent cx="254000" cy="254000"/>
                <wp:effectExtent l="0" t="0" r="0" b="0"/>
                <wp:wrapSquare wrapText="right"/>
                <wp:docPr id="466" name="Frame44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Stock-Based Compensation Expense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believes that it is important to monitor SBC expense as a percentage of revenue against our peers and industry standards. SBC expense includes two components: (i) core broad-based equity program expense; and (ii) acquisition-based SBC expense. Over the past three fiscal years, the Talent and Compensation Committee has continued to manage the expense of our core broad-based equity program (“Core Stock Plan Expense”), which is used to grant equity awards to employees, including the NEOs. Core Stock Plan Expense was $69.2 million for fiscal 2026, or 8.5% of revenue, representing 83.4% of our total SBC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NPBJG2"/>
      <w:bookmarkEnd w:id="111"/>
      <w:r>
        <w:rPr>
          <w:rFonts w:ascii="calibri;arial;sans-serif" w:hAnsi="calibri;arial;sans-serif"/>
          <w:b w:val="false"/>
          <w:i w:val="false"/>
          <w:caps w:val="false"/>
          <w:smallCaps w:val="false"/>
          <w:color w:val="000000"/>
          <w:sz w:val="16"/>
        </w:rPr>
        <w:t>​</w:t>
      </w:r>
      <w:bookmarkStart w:id="112" w:name="tECSHJG2"/>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our Core Stock Plan Expense, the Talent and Compensation Committee also believes that stock is an essential tool to use in acquisitions. Acquisition-related SBC expense was $13.8 million in fiscal 2026, or 16.6% of our total SBC expense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 below shows a breakdown of the types of SBC as a percent of revenue and of our total SBC expense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13593" w:type="dxa"/>
        <w:jc w:val="left"/>
        <w:tblInd w:w="680" w:type="dxa"/>
        <w:tblLayout w:type="fixed"/>
        <w:tblCellMar>
          <w:top w:w="0" w:type="dxa"/>
          <w:left w:w="0" w:type="dxa"/>
          <w:bottom w:w="28" w:type="dxa"/>
          <w:right w:w="0" w:type="dxa"/>
        </w:tblCellMar>
      </w:tblPr>
      <w:tblGrid>
        <w:gridCol w:w="124"/>
        <w:gridCol w:w="2116"/>
        <w:gridCol w:w="109"/>
        <w:gridCol w:w="109"/>
        <w:gridCol w:w="109"/>
        <w:gridCol w:w="226"/>
        <w:gridCol w:w="676"/>
        <w:gridCol w:w="109"/>
        <w:gridCol w:w="109"/>
        <w:gridCol w:w="109"/>
        <w:gridCol w:w="109"/>
        <w:gridCol w:w="109"/>
        <w:gridCol w:w="619"/>
        <w:gridCol w:w="109"/>
        <w:gridCol w:w="109"/>
        <w:gridCol w:w="109"/>
        <w:gridCol w:w="109"/>
        <w:gridCol w:w="109"/>
        <w:gridCol w:w="646"/>
        <w:gridCol w:w="109"/>
        <w:gridCol w:w="109"/>
        <w:gridCol w:w="109"/>
        <w:gridCol w:w="109"/>
        <w:gridCol w:w="226"/>
        <w:gridCol w:w="796"/>
        <w:gridCol w:w="109"/>
        <w:gridCol w:w="109"/>
        <w:gridCol w:w="109"/>
        <w:gridCol w:w="109"/>
        <w:gridCol w:w="109"/>
        <w:gridCol w:w="619"/>
        <w:gridCol w:w="109"/>
        <w:gridCol w:w="109"/>
        <w:gridCol w:w="109"/>
        <w:gridCol w:w="109"/>
        <w:gridCol w:w="109"/>
        <w:gridCol w:w="646"/>
        <w:gridCol w:w="109"/>
        <w:gridCol w:w="109"/>
        <w:gridCol w:w="109"/>
        <w:gridCol w:w="109"/>
        <w:gridCol w:w="226"/>
        <w:gridCol w:w="676"/>
        <w:gridCol w:w="109"/>
        <w:gridCol w:w="109"/>
        <w:gridCol w:w="109"/>
        <w:gridCol w:w="109"/>
        <w:gridCol w:w="109"/>
        <w:gridCol w:w="619"/>
        <w:gridCol w:w="109"/>
        <w:gridCol w:w="109"/>
        <w:gridCol w:w="109"/>
        <w:gridCol w:w="109"/>
        <w:gridCol w:w="109"/>
        <w:gridCol w:w="646"/>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11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7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FY24</w:t>
              <w:br/>
              <w:t xml:space="preserve">Revenue $660M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59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FY25</w:t>
              <w:br/>
              <w:t xml:space="preserve">Revenue $746M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7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FY26</w:t>
              <w:br/>
              <w:t xml:space="preserve">Revenue $813M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2116" w:type="dxa"/>
            <w:tcBorders/>
            <w:shd w:fill="000000" w:val="clear"/>
            <w:tcMar>
              <w:bottom w:w="0" w:type="dxa"/>
            </w:tcMar>
            <w:vAlign w:val="center"/>
          </w:tcPr>
          <w:p>
            <w:pPr>
              <w:pStyle w:val="TableContents"/>
              <w:bidi w:val="0"/>
              <w:spacing w:before="0" w:after="0"/>
              <w:jc w:val="left"/>
              <w:rPr/>
            </w:pPr>
            <w:r>
              <w:rPr/>
              <w:t xml:space="preserve">Expense Type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2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2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2116" w:type="dxa"/>
            <w:tcBorders>
              <w:bottom w:val="single" w:sz="2" w:space="0" w:color="016836"/>
            </w:tcBorders>
            <w:shd w:fill="D8D8D8" w:val="clear"/>
            <w:tcMar>
              <w:bottom w:w="53" w:type="dxa"/>
            </w:tcMar>
            <w:vAlign w:val="center"/>
          </w:tcPr>
          <w:p>
            <w:pPr>
              <w:pStyle w:val="TableContents"/>
              <w:bidi w:val="0"/>
              <w:spacing w:before="0" w:after="0"/>
              <w:jc w:val="left"/>
              <w:rPr>
                <w:b/>
              </w:rPr>
            </w:pPr>
            <w:r>
              <w:rPr>
                <w:b/>
              </w:rPr>
              <w:t>Core Stock Plan</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64M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9.6%</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89.1%</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shd w:fill="D8D8D8" w:val="clear"/>
            <w:tcMar>
              <w:bottom w:w="53" w:type="dxa"/>
            </w:tcMar>
            <w:vAlign w:val="center"/>
          </w:tcPr>
          <w:p>
            <w:pPr>
              <w:pStyle w:val="TableContents"/>
              <w:bidi w:val="0"/>
              <w:spacing w:before="0" w:after="283"/>
              <w:jc w:val="right"/>
              <w:rPr/>
            </w:pPr>
            <w:r>
              <w:rPr/>
              <w:t>93M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86.0%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69M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8.5%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83.4%</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2116" w:type="dxa"/>
            <w:tcBorders>
              <w:bottom w:val="single" w:sz="2" w:space="0" w:color="016836"/>
            </w:tcBorders>
            <w:tcMar>
              <w:bottom w:w="53" w:type="dxa"/>
            </w:tcMar>
            <w:vAlign w:val="center"/>
          </w:tcPr>
          <w:p>
            <w:pPr>
              <w:pStyle w:val="TableContents"/>
              <w:bidi w:val="0"/>
              <w:spacing w:before="0" w:after="0"/>
              <w:jc w:val="left"/>
              <w:rPr>
                <w:b/>
              </w:rPr>
            </w:pPr>
            <w:r>
              <w:rPr>
                <w:b/>
              </w:rPr>
              <w:t>Acquisition-Related SBC</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tcMar>
              <w:bottom w:w="53" w:type="dxa"/>
            </w:tcMar>
            <w:vAlign w:val="center"/>
          </w:tcPr>
          <w:p>
            <w:pPr>
              <w:pStyle w:val="TableContents"/>
              <w:bidi w:val="0"/>
              <w:spacing w:before="0" w:after="283"/>
              <w:jc w:val="right"/>
              <w:rPr/>
            </w:pPr>
            <w:r>
              <w:rPr/>
              <w:t>8M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1.2%</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10.9%</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tcMar>
              <w:bottom w:w="53" w:type="dxa"/>
            </w:tcMar>
            <w:vAlign w:val="center"/>
          </w:tcPr>
          <w:p>
            <w:pPr>
              <w:pStyle w:val="TableContents"/>
              <w:bidi w:val="0"/>
              <w:spacing w:before="0" w:after="283"/>
              <w:jc w:val="right"/>
              <w:rPr/>
            </w:pPr>
            <w:r>
              <w:rPr/>
              <w:t>15M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2.0%</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14.0%</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tcMar>
              <w:bottom w:w="53" w:type="dxa"/>
            </w:tcMar>
            <w:vAlign w:val="center"/>
          </w:tcPr>
          <w:p>
            <w:pPr>
              <w:pStyle w:val="TableContents"/>
              <w:bidi w:val="0"/>
              <w:spacing w:before="0" w:after="283"/>
              <w:jc w:val="right"/>
              <w:rPr/>
            </w:pPr>
            <w:r>
              <w:rPr/>
              <w:t>14M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1.7%</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16.6%</w:t>
            </w:r>
          </w:p>
        </w:tc>
        <w:tc>
          <w:tcPr>
            <w:tcW w:w="109" w:type="dxa"/>
            <w:tcBorders>
              <w:bottom w:val="single" w:sz="2" w:space="0" w:color="016836"/>
            </w:tcBorders>
            <w:vAlign w:val="center"/>
          </w:tcPr>
          <w:p>
            <w:pPr>
              <w:pStyle w:val="TableContents"/>
              <w:bidi w:val="0"/>
              <w:spacing w:before="0" w:after="283"/>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2116" w:type="dxa"/>
            <w:tcBorders>
              <w:bottom w:val="single" w:sz="2" w:space="0" w:color="016836"/>
            </w:tcBorders>
            <w:shd w:fill="D8D8D8" w:val="clear"/>
            <w:tcMar>
              <w:bottom w:w="53" w:type="dxa"/>
            </w:tcMar>
            <w:vAlign w:val="center"/>
          </w:tcPr>
          <w:p>
            <w:pPr>
              <w:pStyle w:val="TableContents"/>
              <w:bidi w:val="0"/>
              <w:spacing w:before="0" w:after="0"/>
              <w:jc w:val="left"/>
              <w:rPr>
                <w:b/>
              </w:rPr>
            </w:pPr>
            <w:r>
              <w:rPr>
                <w:b/>
              </w:rPr>
              <w:t>Total SBC</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71M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10.8%</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108M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14.5%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83M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10.2%</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bl>
    <w:p>
      <w:pPr>
        <w:pStyle w:val="TextBody"/>
        <w:bidi w:val="0"/>
        <w:spacing w:lineRule="atLeast" w:line="320" w:before="204"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New Plan Benefits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Future awards under the 2005 Plan will be made at the discretion of the Talent and Compensation Committee and/or the Board. Therefore, at this time, the benefits that may be received by any participant or group of participants under the 2005 Plan if our stockholders approve this proposal, cannot be precisely determined. Please refer to the “</w:t>
      </w:r>
      <w:r>
        <w:rPr>
          <w:rFonts w:ascii="Arial;Helvetica;sans-serif" w:hAnsi="Arial;Helvetica;sans-serif"/>
          <w:b w:val="false"/>
          <w:i/>
          <w:caps w:val="false"/>
          <w:smallCaps w:val="false"/>
          <w:color w:val="000000"/>
          <w:sz w:val="20"/>
        </w:rPr>
        <w:t>Grants of Plan-Based Awards for Fiscal 2026</w:t>
      </w:r>
      <w:r>
        <w:rPr>
          <w:rFonts w:ascii="Arial;Helvetica;sans-serif" w:hAnsi="Arial;Helvetica;sans-serif"/>
          <w:b w:val="false"/>
          <w:i w:val="false"/>
          <w:caps w:val="false"/>
          <w:smallCaps w:val="false"/>
          <w:color w:val="000000"/>
          <w:sz w:val="20"/>
        </w:rPr>
        <w:t>” table on page [  ] below, however, which provides information on the grants made to the named executive officers in fiscal 2026 pursuant to the 2005 Plan and to the “</w:t>
      </w:r>
      <w:r>
        <w:rPr>
          <w:rFonts w:ascii="Arial;Helvetica;sans-serif" w:hAnsi="Arial;Helvetica;sans-serif"/>
          <w:b w:val="false"/>
          <w:i/>
          <w:caps w:val="false"/>
          <w:smallCaps w:val="false"/>
          <w:color w:val="000000"/>
          <w:sz w:val="20"/>
        </w:rPr>
        <w:t>Non-Employee Director Compensation</w:t>
      </w:r>
      <w:r>
        <w:rPr>
          <w:rFonts w:ascii="Arial;Helvetica;sans-serif" w:hAnsi="Arial;Helvetica;sans-serif"/>
          <w:b w:val="false"/>
          <w:i w:val="false"/>
          <w:caps w:val="false"/>
          <w:smallCaps w:val="false"/>
          <w:color w:val="000000"/>
          <w:sz w:val="20"/>
        </w:rPr>
        <w:t>” table on page [  ] below, which provides information on grants made to our non-employee directors in the last fiscal year pursuant to the 2005 Plan. In addition, the table immediately below reflects equity-based awards granted to all executive officers that served in fiscal 2026, as a group, all current directors who are not executive officers, as a group, and all employees, including all current officers who are not executive officers, as a group in fiscal 2026 pursuant to the 2005 Plan. Only RSUs, PSUs and Common Stock were issued under the 2005 Plan in fiscal 2026.</w:t>
      </w:r>
      <w:r>
        <w:rPr>
          <w:rFonts w:ascii="Arial;Helvetica;sans-serif" w:hAnsi="Arial;Helvetica;sans-serif"/>
          <w:b w:val="false"/>
          <w:i w:val="false"/>
          <w:caps w:val="false"/>
          <w:smallCaps w:val="false"/>
          <w:color w:val="000000"/>
          <w:spacing w:val="4"/>
          <w:sz w:val="20"/>
        </w:rPr>
        <w:t xml:space="preserve"> </w:t>
      </w:r>
    </w:p>
    <w:tbl>
      <w:tblPr>
        <w:tblW w:w="10033" w:type="dxa"/>
        <w:jc w:val="left"/>
        <w:tblInd w:w="680" w:type="dxa"/>
        <w:tblLayout w:type="fixed"/>
        <w:tblCellMar>
          <w:top w:w="0" w:type="dxa"/>
          <w:left w:w="0" w:type="dxa"/>
          <w:bottom w:w="0" w:type="dxa"/>
          <w:right w:w="0" w:type="dxa"/>
        </w:tblCellMar>
      </w:tblPr>
      <w:tblGrid>
        <w:gridCol w:w="124"/>
        <w:gridCol w:w="1346"/>
        <w:gridCol w:w="109"/>
        <w:gridCol w:w="109"/>
        <w:gridCol w:w="1066"/>
        <w:gridCol w:w="109"/>
        <w:gridCol w:w="109"/>
        <w:gridCol w:w="1426"/>
        <w:gridCol w:w="109"/>
        <w:gridCol w:w="109"/>
        <w:gridCol w:w="886"/>
        <w:gridCol w:w="109"/>
        <w:gridCol w:w="109"/>
        <w:gridCol w:w="1426"/>
        <w:gridCol w:w="109"/>
        <w:gridCol w:w="109"/>
        <w:gridCol w:w="991"/>
        <w:gridCol w:w="109"/>
        <w:gridCol w:w="109"/>
        <w:gridCol w:w="1306"/>
        <w:gridCol w:w="154"/>
      </w:tblGrid>
      <w:tr>
        <w:trPr/>
        <w:tc>
          <w:tcPr>
            <w:tcW w:w="124" w:type="dxa"/>
            <w:tcBorders/>
            <w:shd w:fill="000000" w:val="clear"/>
            <w:vAlign w:val="center"/>
          </w:tcPr>
          <w:p>
            <w:pPr>
              <w:pStyle w:val="TableContents"/>
              <w:bidi w:val="0"/>
              <w:spacing w:before="0" w:after="283"/>
              <w:jc w:val="left"/>
              <w:rPr/>
            </w:pPr>
            <w:r>
              <w:rPr/>
              <w:t>​</w:t>
            </w:r>
          </w:p>
        </w:tc>
        <w:tc>
          <w:tcPr>
            <w:tcW w:w="1346" w:type="dxa"/>
            <w:tcBorders/>
            <w:shd w:fill="000000" w:val="clear"/>
            <w:vAlign w:val="center"/>
          </w:tcPr>
          <w:p>
            <w:pPr>
              <w:pStyle w:val="TableContents"/>
              <w:bidi w:val="0"/>
              <w:spacing w:before="0" w:after="0"/>
              <w:jc w:val="left"/>
              <w:rPr/>
            </w:pPr>
            <w:r>
              <w:rPr/>
              <w:t xml:space="preserve">Group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center"/>
              <w:rPr/>
            </w:pPr>
            <w:r>
              <w:rPr/>
              <w:t>Number</w:t>
              <w:br/>
              <w:t xml:space="preserve">of RSUs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lineRule="atLeast" w:line="142" w:before="0" w:after="0"/>
              <w:jc w:val="center"/>
              <w:rPr/>
            </w:pPr>
            <w:r>
              <w:rPr/>
              <w:t>Dollar Value</w:t>
              <w:br/>
              <w:t>of RSUs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0"/>
              <w:jc w:val="center"/>
              <w:rPr/>
            </w:pPr>
            <w:r>
              <w:rPr/>
              <w:t>Number</w:t>
              <w:br/>
              <w:t xml:space="preserve">of PSUs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lineRule="atLeast" w:line="142" w:before="0" w:after="0"/>
              <w:jc w:val="center"/>
              <w:rPr/>
            </w:pPr>
            <w:r>
              <w:rPr/>
              <w:t>Dollar</w:t>
              <w:br/>
              <w:t>Value of</w:t>
              <w:br/>
              <w:t>PSUs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91" w:type="dxa"/>
            <w:tcBorders/>
            <w:shd w:fill="000000" w:val="clear"/>
            <w:vAlign w:val="center"/>
          </w:tcPr>
          <w:p>
            <w:pPr>
              <w:pStyle w:val="TableContents"/>
              <w:bidi w:val="0"/>
              <w:spacing w:before="0" w:after="0"/>
              <w:jc w:val="center"/>
              <w:rPr/>
            </w:pPr>
            <w:r>
              <w:rPr/>
              <w:t>Number of</w:t>
              <w:br/>
              <w:t>Common</w:t>
              <w:br/>
              <w:t xml:space="preserve">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6" w:type="dxa"/>
            <w:tcBorders/>
            <w:shd w:fill="000000" w:val="clear"/>
            <w:vAlign w:val="center"/>
          </w:tcPr>
          <w:p>
            <w:pPr>
              <w:pStyle w:val="TableContents"/>
              <w:bidi w:val="0"/>
              <w:spacing w:before="0" w:after="0"/>
              <w:jc w:val="center"/>
              <w:rPr/>
            </w:pPr>
            <w:r>
              <w:rPr/>
              <w:t>Grant Date</w:t>
              <w:br/>
              <w:t>Common</w:t>
              <w:br/>
              <w:t xml:space="preserve">Share Value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All Executive Officers, as a Group (6 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shd w:fill="D8D8D8" w:val="clear"/>
            <w:tcMar>
              <w:bottom w:w="37" w:type="dxa"/>
            </w:tcMar>
            <w:vAlign w:val="center"/>
          </w:tcPr>
          <w:p>
            <w:pPr>
              <w:pStyle w:val="TableContents"/>
              <w:bidi w:val="0"/>
              <w:spacing w:before="0" w:after="0"/>
              <w:jc w:val="right"/>
              <w:rPr/>
            </w:pPr>
            <w:r>
              <w:rPr/>
              <w:t>367,690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$ 10,795,287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37" w:type="dxa"/>
            </w:tcMar>
            <w:vAlign w:val="center"/>
          </w:tcPr>
          <w:p>
            <w:pPr>
              <w:pStyle w:val="TableContents"/>
              <w:bidi w:val="0"/>
              <w:spacing w:before="0" w:after="0"/>
              <w:jc w:val="right"/>
              <w:rPr/>
            </w:pPr>
            <w:r>
              <w:rPr/>
              <w:t>422,349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$ 13,947,776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tcMar>
              <w:bottom w:w="37" w:type="dxa"/>
            </w:tcMar>
            <w:vAlign w:val="center"/>
          </w:tcPr>
          <w:p>
            <w:pPr>
              <w:pStyle w:val="TableContents"/>
              <w:bidi w:val="0"/>
              <w:spacing w:before="0" w:after="0"/>
              <w:ind w:left="200" w:right="0" w:hanging="200"/>
              <w:jc w:val="left"/>
              <w:rPr/>
            </w:pPr>
            <w:r>
              <w:rPr/>
              <w:t xml:space="preserve">Non-Executive Directors, as a Group (7 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tcMar>
              <w:bottom w:w="37" w:type="dxa"/>
            </w:tcMar>
            <w:vAlign w:val="center"/>
          </w:tcPr>
          <w:p>
            <w:pPr>
              <w:pStyle w:val="TableContents"/>
              <w:bidi w:val="0"/>
              <w:spacing w:before="0" w:after="0"/>
              <w:jc w:val="right"/>
              <w:rPr/>
            </w:pPr>
            <w:r>
              <w:rPr/>
              <w:t>41,960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tcMar>
              <w:bottom w:w="37" w:type="dxa"/>
            </w:tcMar>
            <w:vAlign w:val="center"/>
          </w:tcPr>
          <w:p>
            <w:pPr>
              <w:pStyle w:val="TableContents"/>
              <w:bidi w:val="0"/>
              <w:spacing w:before="0" w:after="0"/>
              <w:jc w:val="right"/>
              <w:rPr/>
            </w:pPr>
            <w:r>
              <w:rPr/>
              <w:t>$ 1,135,343</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Non-Executive Officer Employees, as a Group (451 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shd w:fill="D8D8D8" w:val="clear"/>
            <w:tcMar>
              <w:bottom w:w="37" w:type="dxa"/>
            </w:tcMar>
            <w:vAlign w:val="center"/>
          </w:tcPr>
          <w:p>
            <w:pPr>
              <w:pStyle w:val="TableContents"/>
              <w:bidi w:val="0"/>
              <w:spacing w:before="0" w:after="0"/>
              <w:jc w:val="right"/>
              <w:rPr/>
            </w:pPr>
            <w:r>
              <w:rPr/>
              <w:t>1,834,219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$ 53,753,143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37" w:type="dxa"/>
            </w:tcMar>
            <w:vAlign w:val="center"/>
          </w:tcPr>
          <w:p>
            <w:pPr>
              <w:pStyle w:val="TableContents"/>
              <w:bidi w:val="0"/>
              <w:spacing w:before="0" w:after="0"/>
              <w:jc w:val="right"/>
              <w:rPr/>
            </w:pPr>
            <w:r>
              <w:rPr/>
              <w:t>98,477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$  3,275,117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reflect the grant date fair value of RSUs and PSUs.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484">
                <wp:simplePos x="0" y="0"/>
                <wp:positionH relativeFrom="column">
                  <wp:align>left</wp:align>
                </wp:positionH>
                <wp:positionV relativeFrom="line">
                  <wp:align>top</wp:align>
                </wp:positionV>
                <wp:extent cx="254000" cy="254000"/>
                <wp:effectExtent l="0" t="0" r="0" b="0"/>
                <wp:wrapSquare wrapText="right"/>
                <wp:docPr id="467" name="Frame44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Equity Compensation Plan Not Approved by Security Holders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adopted the 2011 Non-Qualified Equity Compensation Plan of LiveRamp Holdings, Inc. (the “2011 Plan”) for the purpose of making equity grants to induce new key executives to join the Company. The awards that may be made under the 2011 Plan include stock options, stock appreciation rights, restricted stock awards, RSU awards, performance awards, or other stock unit awards. To receive such an award, a person must be newly employed with the Company with the award being provided as an inducement material to their employment, provided the award is first properly approved by the Board or an independent committee of the Board. The Board and the Talent and Compensation Committee are the administrators of the 2011 Plan, and as such, determine all matters relating to awards granted under the 2011 Plan, including the eligible recipients, whether and to what extent awards are to be granted, the number of shares to be covered by each grant and the terms and conditions of the awards. The 2011 Plan has not been approved by the Company’s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PSSJG2"/>
      <w:bookmarkEnd w:id="113"/>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2005 Plan Summary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Purpose of the 2005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2005 Plan is to align long-term incentive compensation with the Company’s business strategies and with stockholder interests and to recruit and retain key individuals. The Talent and Compensation Committee believes that providing employees with a proprietary interest in LiveRamp’s business and, therefore, a more direct stake in its continuing welfare, will better align their interests with those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Description of the 2005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2005 Plan was first approved by stockholders at the 2000 Annual Meeting of Stockholders and has been amended from time to time. The following description of the 2005 Plan is qualified in its entirety by reference to the applicable provisions of the 2005 Plan in Annex C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Administration.</w:t>
      </w:r>
      <w:r>
        <w:rPr>
          <w:rFonts w:ascii="Arial;Helvetica;sans-serif" w:hAnsi="Arial;Helvetica;sans-serif"/>
          <w:b w:val="false"/>
          <w:i w:val="false"/>
          <w:caps w:val="false"/>
          <w:smallCaps w:val="false"/>
          <w:color w:val="000000"/>
          <w:sz w:val="20"/>
        </w:rPr>
        <w:t xml:space="preserve"> The 2005 Plan specifies that it will be administered by the Board or the Talent and Compensation Committee, and their lawful designees. The administrator makes determinations such as to whom awards will be made, what type of awards will be made, how many shares will be subject to each grant, the duration and exercise price of stock options, vesting schedules, performance criteria, conditions upon which a grant may be forfeited, the effect of termination of service, and any restriction, limitation, procedure or deferral related to a grant. The Talent and Compensation Committee or the Board may establish any rules and regulations it considers necessary to administer the 2005 Plan. All determinations of the Talent and Compensation Committee or Board are final and conclusive for all purposes. The administrator may delegate to one or more officers of the Company the right to grant awards under the 2005 Plan, provided such delegation is made in accordance with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Eligible Participants.</w:t>
      </w:r>
      <w:r>
        <w:rPr>
          <w:rFonts w:ascii="Arial;Helvetica;sans-serif" w:hAnsi="Arial;Helvetica;sans-serif"/>
          <w:b w:val="false"/>
          <w:i w:val="false"/>
          <w:caps w:val="false"/>
          <w:smallCaps w:val="false"/>
          <w:color w:val="000000"/>
          <w:sz w:val="20"/>
        </w:rPr>
        <w:t xml:space="preserve"> Employees, directors, affiliates, independent contractors and consultants of LiveRamp or any subsidiary or affiliated company are eligible to participate in the 2005 Plan. As of June 1, 2026, there were approximately 1,334 employees, six non-executive directors and 391 contractors eligible to (but do not necessarily) participate in the 2005 Plan. Participants are selected in the discretion of the Talent and Compensation Committee based on niche skills and impact to long term business growth. During the last fiscal year (fiscal 2026), a total of 464 individuals received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Types of Awards.</w:t>
      </w:r>
      <w:r>
        <w:rPr>
          <w:rFonts w:ascii="Arial;Helvetica;sans-serif" w:hAnsi="Arial;Helvetica;sans-serif"/>
          <w:b w:val="false"/>
          <w:i w:val="false"/>
          <w:caps w:val="false"/>
          <w:smallCaps w:val="false"/>
          <w:color w:val="000000"/>
          <w:sz w:val="20"/>
        </w:rPr>
        <w:t xml:space="preserve"> The 2005 Plan permits awards of a variety of equity-based incentives, including stock options, SARs, restricted stock, RSUs, PSUs and other stock unit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Options</w:t>
      </w:r>
      <w:r>
        <w:rPr>
          <w:rFonts w:ascii="Arial;Helvetica;sans-serif" w:hAnsi="Arial;Helvetica;sans-serif"/>
          <w:b w:val="false"/>
          <w:i w:val="false"/>
          <w:caps w:val="false"/>
          <w:smallCaps w:val="false"/>
          <w:color w:val="000000"/>
          <w:sz w:val="20"/>
        </w:rPr>
        <w:t>. Under the 2005 Plan, either incentive stock options or stock options that do not qualify as incentive options (non-qualified stock options) may be granted. See the discussion regarding options below under “</w:t>
      </w:r>
      <w:r>
        <w:rPr>
          <w:rFonts w:ascii="Arial;Helvetica;sans-serif" w:hAnsi="Arial;Helvetica;sans-serif"/>
          <w:b w:val="false"/>
          <w:i/>
          <w:caps w:val="false"/>
          <w:smallCaps w:val="false"/>
          <w:color w:val="000000"/>
          <w:sz w:val="20"/>
        </w:rPr>
        <w:t>Summary of U.S. Federal Income Tax Consequences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exercise price for stock options may not be less than 100% of the fair market value, based on the closing price, of Common Stock on the date of the grant. Without the further approval of the stockholders, no outstanding stock option granted under the 2005 Plan may be amended to reduce the exercise price or canceled in consideration for an award having a lower exercise price. This will not, however, prohibit adjustments related to stock splits, stock dividends, recapitalizations and other changes in the corporate structure or shares of LiveRamp. The duration of options granted under the 2005 Plan, including the duration of options following a participant’s termination of employment, death or disability, is determined by the Talent and Compensation Committee or the Board in its sole discretion. Both non-qualified and incentive stock options granted under the 2005 Plan may not be exercised more than 10 years after the date of grant, although each may be granted for a lesser duration. Incentive stock options granted to a participant owning more than 10% of the total combined voting power of all classes of LiveRamp stock may not be exercised more than five years from the date of grant. At the time of exercise of an option, a participant must pay the full exercise price of the option in cash, by check or electronic funds transfer. Additionally, a participant may pay the exercise price by one of the following additional forms of payment, as may be approved by the Talent and Compensation Committee or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via a “broker’s cashless exercise” ​(</w:t>
      </w:r>
      <w:r>
        <w:rPr>
          <w:rFonts w:ascii="Arial;Helvetica;sans-serif" w:hAnsi="Arial;Helvetica;sans-serif"/>
          <w:b w:val="false"/>
          <w:i/>
          <w:caps w:val="false"/>
          <w:smallCaps w:val="false"/>
          <w:color w:val="000000"/>
          <w:sz w:val="20"/>
        </w:rPr>
        <w:t>i.e</w:t>
      </w:r>
      <w:r>
        <w:rPr>
          <w:rFonts w:ascii="Arial;Helvetica;sans-serif" w:hAnsi="Arial;Helvetica;sans-serif"/>
          <w:b w:val="false"/>
          <w:i w:val="false"/>
          <w:caps w:val="false"/>
          <w:smallCaps w:val="false"/>
          <w:color w:val="000000"/>
          <w:sz w:val="20"/>
        </w:rPr>
        <w:t>., through the sale of shares, by way of a broker, acquired upon exercise of the option having a fair market value equal to the exercise price pursuant to procedures approved 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68"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delivering shares of Common Stock previously owned by the participant for at least six months and having a fair market value equal to the exercise price;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69"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authorizing LiveRamp to withhold a number of shares of Common Stock otherwise issuable to the participant upon exercise of an option having a fair market value equal to the exercise price;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127000" cy="350520"/>
                <wp:effectExtent l="0" t="0" r="0" b="0"/>
                <wp:wrapSquare wrapText="right"/>
                <wp:docPr id="470"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any combination of the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71"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Appreciation Rights</w:t>
      </w:r>
      <w:r>
        <w:rPr>
          <w:rFonts w:ascii="Arial;Helvetica;sans-serif" w:hAnsi="Arial;Helvetica;sans-serif"/>
          <w:b w:val="false"/>
          <w:i w:val="false"/>
          <w:caps w:val="false"/>
          <w:smallCaps w:val="false"/>
          <w:color w:val="000000"/>
          <w:sz w:val="20"/>
        </w:rPr>
        <w:t>. SARs may, but need not be, identified with a specific stock option. The exercise price for any SAR shall (i) for any SAR identified with a stock option, equal the exercise price of such option, or (ii) for any other SAR, not be less than 100% of the fair market value of Common Stock on the date of the grant. The duration of any SAR may not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and RSUs</w:t>
      </w:r>
      <w:r>
        <w:rPr>
          <w:rFonts w:ascii="Arial;Helvetica;sans-serif" w:hAnsi="Arial;Helvetica;sans-serif"/>
          <w:b w:val="false"/>
          <w:i w:val="false"/>
          <w:caps w:val="false"/>
          <w:smallCaps w:val="false"/>
          <w:color w:val="000000"/>
          <w:sz w:val="20"/>
        </w:rPr>
        <w:t>. Restricted stock awards comprise shares of Common Stock that are forfeitable until the restrictions imposed by the Talent and Compensation Committee or Board lapse. Awards of RSUs provide the right to receive shares, cash or a combination thereof upon the lapse of the restrictions imposed by the Talent and Compensation Committee or Board. Awards of restricted stock and RSUs may be subject to time-based restrictions, performance-based restrictions, or both. Holders of restricted stock awards are entitled to vote the shares of restricted stock during the restriction period. Conversely, holders of RSUs are not entitled to voting rights prior to the time the applicable restrictions lapse and shares of Common Stock are delivered pursuant to the award. The minimum restriction period applicable to any award of restricted stock that is not subject to performance conditions restricting the grant size, the transfer of the shares, or the vesting of the award is two years from the date of grant; provided, however, that a restriction period of less than two years may be approved under the 2005 Plan for such awards with respect to up to a total of 100,000 shares. No dividends, dividend equivalents or similar payments will be payable in respect of restricted stock or RSUs and there will be a minimum restriction period for RSUs of one year from the date of grant; provided, however, that a restriction period of less than one year may be approved under the 2005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Performance Awards</w:t>
      </w:r>
      <w:r>
        <w:rPr>
          <w:rFonts w:ascii="Arial;Helvetica;sans-serif" w:hAnsi="Arial;Helvetica;sans-serif"/>
          <w:b w:val="false"/>
          <w:i w:val="false"/>
          <w:caps w:val="false"/>
          <w:smallCaps w:val="false"/>
          <w:color w:val="000000"/>
          <w:sz w:val="20"/>
        </w:rPr>
        <w:t>. The 2005 Plan also authorizes the award of performance awards, in the form of either performance shares or performance share units, on any terms and conditions that the Talent and Compensation Committee or the Board deems desirable. Performance awards may be paid in cash, shares, or a combination thereof, as determined by the Talent and Compensation Committee or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or Board may set performance goals that, depending on the extent to which they are met during a performance period applicable to an award, will determine the number of performance shares or units that will be delivered to a participant at the end of the performance period. The performance goals may be set at threshold, target and maximum performance levels, and the number of performance shares or units to be delivered may be tied to the degree of attainment of the various performance levels specified under the various performance goals during the performance period, which may not be less than one year. No payment may be made with respect to a performance award if any specified threshold performance level is not attained. No dividends, dividend equivalents or similar payments will be payable in respect of performance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Other Awards</w:t>
      </w:r>
      <w:r>
        <w:rPr>
          <w:rFonts w:ascii="Arial;Helvetica;sans-serif" w:hAnsi="Arial;Helvetica;sans-serif"/>
          <w:b w:val="false"/>
          <w:i w:val="false"/>
          <w:caps w:val="false"/>
          <w:smallCaps w:val="false"/>
          <w:color w:val="000000"/>
          <w:sz w:val="20"/>
        </w:rPr>
        <w:t>. Other awards of shares and other awards that are valued in whole or in part by reference to, or are otherwise based on, shares of Common Stock or other property may be granted under the 2005 Plan to participants, either alone or in addition to other awards under the 2005 Plan. Other stock awards may be paid in shares, cash or any other form of property as the Talent and Compensation Committee or the Board may determine. Subject to the provisions of the 2005 Plan, the Talent and Compensation Committee or Board has sole and complete authority to determine who will receive such an award, the times at which such awards will be made, the number of shares to be granted, and all other terms and conditions of such awards. For any such award, the vesting of which is conditioned only on the passage of time, the restriction period is a minimum of two years for full vesting.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There are limits (the “Limits”) as to how many shares may be granted to a participant. The Limits apply separately to two different categories of awards. With respect to stock options and/or SARs, the maximum number of shares of Common Stock that may be granted to any one person in any 12-month period (which the Talent and Compensation Committee interprets as during any fiscal year) is 400,000 shares; likewise, with respect to restricted stock awards, RSUs, performance awards and any other stock unit awards, the maximum number of shares of Common Stock that may be granted to any one person in any 12-month period is 400,000 shares. The Limits apply to each of these two groups of award types, not to each type of award, nor to all awards as a single group for any one year. As a result, a participant could receive awards totaling up to 800,000 shares in any one year under the 2005 Plan. For example, a participant could receive under the 2005 Plan stock options covering 400,000 shares and 400,000 RSUs. The Company has not previously issued awards to any one participant under the 2005 Plan in one 12-month period in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excess of the Limits under the 2005 Plan, and it does not have any plans to do so. Although from time-to-time, the maximum potential share payout amounts for awards granted in a given year may be shown in the Grants of Plan-Based Awards table of the Company’s applicable proxy statement without regard to the per-participant limits set forth in the 2005 Plan to illustrate the potential payouts assuming maximum performance under each PSU performance component, any such combined payouts that would exceed such limits would be capped in accordance with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the foregoing, the 2005 Plan provides that no non-employee director of the Company may be granted in any 12-month period an aggregate amount of equity having a value of more than $400,000 on the date of grant, under the 2005 Plan or any other equity compensation plan sponsored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Performance Measures.</w:t>
      </w:r>
      <w:r>
        <w:rPr>
          <w:rFonts w:ascii="Arial;Helvetica;sans-serif" w:hAnsi="Arial;Helvetica;sans-serif"/>
          <w:b w:val="false"/>
          <w:i w:val="false"/>
          <w:caps w:val="false"/>
          <w:smallCaps w:val="false"/>
          <w:color w:val="000000"/>
          <w:sz w:val="20"/>
        </w:rPr>
        <w:t xml:space="preserve"> Performance goals established by the Talent and Compensation Committee for performance awards may contain one or more performance measures set forth in the 2005 Plan. Performance goals may be applied to LiveRamp as a whole (or a division, organization, or other business unit thereof), a subsidiary, an affiliated company, or an individual participant, and they may be set at a specific level or expressed as a relative percentage to the comparable measure at comparison companies or a defined index. Performance goals, to the extent applicable, must be based upon generally accepted accounting principles, but may be adjusted by the Talent and Compensation Committee to take into account the effect of the following: (a) changes in accounting standards that may be required by the Financial Accounting Standards Board (or any applicable successor entity) after the performance goal is established; (b) realized investment gains and losses; (c) extraordinary, unusual, non-recurring, or infrequent items; (d) “non-GAAP financial measures” that have been included in LiveRamp’s quarterly earnings releases and disclosed to investors in accordance with SEC regulations; and (e) any other items as the Talent and Compensation Committee determines to be required, so that the operating results are computed on a comparative basis from period to period. Determinations made by the Talent and Compensation Committee must be based on relevant objective information and/or financial data and will be final and conclusive with respect to all affected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Shares Reserved for Issuance.</w:t>
      </w:r>
      <w:r>
        <w:rPr>
          <w:rFonts w:ascii="Arial;Helvetica;sans-serif" w:hAnsi="Arial;Helvetica;sans-serif"/>
          <w:b w:val="false"/>
          <w:i w:val="false"/>
          <w:caps w:val="false"/>
          <w:smallCaps w:val="false"/>
          <w:color w:val="000000"/>
          <w:sz w:val="20"/>
        </w:rPr>
        <w:t xml:space="preserve"> If the stockholders approve the Share Increase Amendment, the approximate number of shares available for future awards under the 2005 Plan as of the date of the Special Meeting would be the sum of (1) 2,500,000 and (2) the number of shares available for future awards under the 2005 Plan immediately before such approval (as of June 1, 2026, 5,331,363 shares were available for future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award is forfeited, any option or SAR terminates, expires or lapses without being exercised within the exercise period, or any SAR is exercised for cash, the shares underlying such awards will be available for re-issuance under the 2005 Plan. To the extent any shares of Common Stock subject to an award are not delivered to a participant because the shares are used to satisfy an applicable tax withholding obligation or the exercise price of an option, those shares will be deemed delivered and will no longer be available for delivery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Adjustment.</w:t>
      </w:r>
      <w:r>
        <w:rPr>
          <w:rFonts w:ascii="Arial;Helvetica;sans-serif" w:hAnsi="Arial;Helvetica;sans-serif"/>
          <w:b w:val="false"/>
          <w:i w:val="false"/>
          <w:caps w:val="false"/>
          <w:smallCaps w:val="false"/>
          <w:color w:val="000000"/>
          <w:sz w:val="20"/>
        </w:rPr>
        <w:t xml:space="preserve"> Notwithstanding any other provision of the 2005 Plan to the contrary, in the event of any change affecting the shares subject to the 2005 Plan or any award (through merger, consolidation, reorganization, recapitalization, dividend or other 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Talent and Compensation Committee or the Board as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total shares subject to the 2005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72"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maximum number of shares for which awards may be granted to any one service provider of the Company or its affiliates (e.g., the Limits);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73"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number of shares and price per share subject to outstanding awards;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74"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class of shares of stock that may be delivered under the 2005 Plan and/or each outstanding award, as shall be equitable to prevent dilution or enlargement of rights under previously granted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75"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determination of the Talent and Compensation Committee or Board as to these matters shall be conclusive; provided, however, that (i) any such adjustment with respect to an incentive stock option and any related SAR shall comply with the rules of Section 424(a) of the Code; and (ii) in no event shall any adjustment be made which would disqualify any Incentive Stock Option granted hereunder as an incentive stock option for purposes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Amendment and Termination.</w:t>
      </w:r>
      <w:r>
        <w:rPr>
          <w:rFonts w:ascii="Arial;Helvetica;sans-serif" w:hAnsi="Arial;Helvetica;sans-serif"/>
          <w:b w:val="false"/>
          <w:i w:val="false"/>
          <w:caps w:val="false"/>
          <w:smallCaps w:val="false"/>
          <w:color w:val="000000"/>
          <w:sz w:val="20"/>
        </w:rPr>
        <w:t xml:space="preserve"> The Talent and Compensation Committee or the Board may amend the 2005 Plan and/or the terms of outstanding awards or grants; provided, however, that if an amendment would (i) materially increase the benefits to participants under the 2005 Plan, (ii) increase the aggregate number of shares that may be issued under the 2005 Plan, or (iii) materially modify the requirements for participation in the 2005 Plan by materially increasing the class or number of persons eligible to participate, then stockholder approval must be obtained. To the extent necessary to comply with applicable laws and regulations, certain other amendments to the 2005 Plan or to any outstanding grant may require stockholder approval. Any amendment that would impair the rights of a participant may not be made without the participant’s consent. The 2005 Plan may be terminated at any time by the Board. No termination, however, will adversely affect the terms of any outstanding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Change in Control.</w:t>
      </w:r>
      <w:r>
        <w:rPr>
          <w:rFonts w:ascii="Arial;Helvetica;sans-serif" w:hAnsi="Arial;Helvetica;sans-serif"/>
          <w:b w:val="false"/>
          <w:i w:val="false"/>
          <w:caps w:val="false"/>
          <w:smallCaps w:val="false"/>
          <w:color w:val="000000"/>
          <w:sz w:val="20"/>
        </w:rPr>
        <w:t xml:space="preserve"> Upon the occurrence of a “Change in Control Event”, as defined in the 2005 Plan, each outstanding award under the 2005 Plan will be treated as the Talent and Compensation Committee or the Board may determine (subject to the provisions of the 2005 Plan), without a participant’s consent, including, without limitation,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awards will be assumed, or substantially equivalent awards will be substituted, by the acquiring or succeeding corporation (or affiliate thereof), with appropriate adjustments as to the number and kind of shares and prices;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76"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written or electronic notice to a participant, that the participant’s awards will terminate upon or immediately prior to the consummation of such Change in Control Event;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77"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that, to the extent the Talent and Compensation Committee or Board may determine, in whole or in part prior to or upon consummation of such Change in Control Event: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78"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options and SARs may become immediately exercisable;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79"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restrictions and deferral limitations applicable to any restricted stock or RSUs may become free of all restrictions and limitations and become fully vested and transferable;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80"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the terms of the 2005 Plan);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81"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restrictions and deferral limitations and other conditions applicable to any other awards granted under the 2005 Plan may lapse and such awards may become free of all restrictions, limitations or conditions and become fully vested and transferable to the full extent of the award not previously forfeited or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82"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termination of an award in exchange for an amount equal to the excess of the fair market value of the shares subject to the award immediately prior to the occurrence of the Change in Control Event (which shall be no less than the value being paid for such shares pursuant to such transaction as determined by the Talent and Compensation Committee or Board) over the exercise price or strike price, if applicable, of such award, with such amount payable in cash, in one or more of the kinds of property payable in such transaction, or in a combination thereof, as the Talent and Compensation Committee or Board in their discretion shall determine;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83"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combination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84"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E.</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t>E.</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taking any of the actions permitted under the 2005 Plan, the Talent and Compensation Committee or Board will not be obligated to treat all awards, all awards held by a single participant, or all awards of the same type, similarly.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the successor corporation does not assume or substitute for the award (or portion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options and SARs will vest and become immediately exercisable;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85"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restrictions and deferral limitations applicable to any restricted stock or RSUs will become free of all restrictions and limitations and become fully vested and transferable;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486"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performance awards will be considered to be prorated, and any deferral or other restriction will lapse and such performance awards will be immediately settled or distributed;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487"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restrictions and deferral limitations and other conditions applicable to any other awards granted under the 2005 Plan will lapse and such other awards will become free of all restrictions, limitations or conditions and become fully vested and transferable to the full extent the award was not previously forfeited or vested. </w:t>
      </w:r>
      <w:r>
        <mc:AlternateContent>
          <mc:Choice Requires="wps">
            <w:drawing>
              <wp:anchor behindDoc="0" distT="0" distB="0" distL="254000" distR="0" simplePos="0" locked="0" layoutInCell="1" allowOverlap="1" relativeHeight="505">
                <wp:simplePos x="0" y="0"/>
                <wp:positionH relativeFrom="column">
                  <wp:align>left</wp:align>
                </wp:positionH>
                <wp:positionV relativeFrom="line">
                  <wp:posOffset>635</wp:posOffset>
                </wp:positionV>
                <wp:extent cx="254000" cy="350520"/>
                <wp:effectExtent l="0" t="0" r="0" b="0"/>
                <wp:wrapSquare wrapText="right"/>
                <wp:docPr id="488"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if an option or SAR is not assumed or substituted in the event of a Change in Control Event, the Talent and Compensation Committee or Board will notify the participant in writing or electronically that the option or SAR will be exercisable for a period of time determined by the Talent and Compensation Committee or Board in its sole discretion, and the option or SAR will terminate upon the expiration of such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2005 Plan, a “Change-in-Control Event” generally includes specified mergers, a sale of all or substantially all of the Company’s assets and the acquisition of a significant percentage of the voting power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Retirement Eligibility.</w:t>
      </w:r>
      <w:r>
        <w:rPr>
          <w:rFonts w:ascii="Arial;Helvetica;sans-serif" w:hAnsi="Arial;Helvetica;sans-serif"/>
          <w:b w:val="false"/>
          <w:i w:val="false"/>
          <w:caps w:val="false"/>
          <w:smallCaps w:val="false"/>
          <w:color w:val="000000"/>
          <w:sz w:val="20"/>
        </w:rPr>
        <w:t xml:space="preserve"> In the event of a participant’s retirement on or after age 65 with at least five years of service, awards held by the participant at retirement will continue to vest in accordance with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Clawback.</w:t>
      </w:r>
      <w:r>
        <w:rPr>
          <w:rFonts w:ascii="Arial;Helvetica;sans-serif" w:hAnsi="Arial;Helvetica;sans-serif"/>
          <w:b w:val="false"/>
          <w:i w:val="false"/>
          <w:caps w:val="false"/>
          <w:smallCaps w:val="false"/>
          <w:color w:val="000000"/>
          <w:sz w:val="20"/>
        </w:rPr>
        <w:t xml:space="preserve"> Awards granted under the 2005 Plan are subject to the Company’s “clawback policy” as may be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Summary of U.S. Federal Income Tax Consequences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summary is intended only as a general guide to the U.S. federal income tax consequences of participation in the 2005 Plan. The summary is based on existing U.S. laws and regulations as of June 18, 2026,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Incentive Stock Options</w:t>
      </w:r>
      <w:r>
        <w:rPr>
          <w:rFonts w:ascii="Arial;Helvetica;sans-serif" w:hAnsi="Arial;Helvetica;sans-serif"/>
          <w:b w:val="false"/>
          <w:i w:val="false"/>
          <w:caps w:val="false"/>
          <w:smallCaps w:val="false"/>
          <w:color w:val="000000"/>
          <w:sz w:val="20"/>
        </w:rPr>
        <w:t>. A participant recognizes no taxable income for regular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Nonstatutory Stock Options</w:t>
      </w:r>
      <w:r>
        <w:rPr>
          <w:rFonts w:ascii="Arial;Helvetica;sans-serif" w:hAnsi="Arial;Helvetica;sans-serif"/>
          <w:b w:val="false"/>
          <w:i w:val="false"/>
          <w:caps w:val="false"/>
          <w:smallCaps w:val="false"/>
          <w:color w:val="000000"/>
          <w:sz w:val="20"/>
        </w:rPr>
        <w:t>. 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us with respect to the grant of a nonstatutory stock option or the sale of the shares acquired through the exercise of the nonstatutory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Appreciation Rights</w:t>
      </w:r>
      <w:r>
        <w:rPr>
          <w:rFonts w:ascii="Arial;Helvetica;sans-serif" w:hAnsi="Arial;Helvetica;sans-serif"/>
          <w:b w:val="false"/>
          <w:i w:val="false"/>
          <w:caps w:val="false"/>
          <w:smallCaps w:val="false"/>
          <w:color w:val="000000"/>
          <w:sz w:val="20"/>
        </w:rPr>
        <w:t>. In general, no taxable income is reportable when a SAR is granted to a participant. Upon exercise, the participant generally will recognize ordinary income in an amount equal to the fair market value of any cash or shares received. Any additional gain or loss recognized upon any later disposition of the shares would be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VRDJG2"/>
      <w:bookmarkEnd w:id="114"/>
      <w:r>
        <w:rPr>
          <w:rFonts w:ascii="calibri;arial;sans-serif" w:hAnsi="calibri;arial;sans-serif"/>
          <w:b w:val="false"/>
          <w:i w:val="false"/>
          <w:caps w:val="false"/>
          <w:smallCaps w:val="false"/>
          <w:color w:val="000000"/>
          <w:sz w:val="16"/>
        </w:rPr>
        <w:t>​</w:t>
      </w:r>
      <w:bookmarkStart w:id="115" w:name="tRTBJG2"/>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Awards</w:t>
      </w:r>
      <w:r>
        <w:rPr>
          <w:rFonts w:ascii="Arial;Helvetica;sans-serif" w:hAnsi="Arial;Helvetica;sans-serif"/>
          <w:b w:val="false"/>
          <w:i w:val="false"/>
          <w:caps w:val="false"/>
          <w:smallCaps w:val="false"/>
          <w:color w:val="000000"/>
          <w:sz w:val="20"/>
        </w:rPr>
        <w:t>.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(“IRS”) no later than thirty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Unit Awards</w:t>
      </w:r>
      <w:r>
        <w:rPr>
          <w:rFonts w:ascii="Arial;Helvetica;sans-serif" w:hAnsi="Arial;Helvetica;sans-serif"/>
          <w:b w:val="false"/>
          <w:i w:val="false"/>
          <w:caps w:val="false"/>
          <w:smallCaps w:val="false"/>
          <w:color w:val="000000"/>
          <w:sz w:val="20"/>
        </w:rPr>
        <w:t>. There are no immediate tax consequences of receiving an award of restricted stock units. A participant who is awarded restricted stock units generally will be required to recognize ordinary income in an amount equal to the fair market value of any cash or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Performance Shares and Performance Unit Awards</w:t>
      </w:r>
      <w:r>
        <w:rPr>
          <w:rFonts w:ascii="Arial;Helvetica;sans-serif" w:hAnsi="Arial;Helvetica;sans-serif"/>
          <w:b w:val="false"/>
          <w:i w:val="false"/>
          <w:caps w:val="false"/>
          <w:smallCaps w:val="false"/>
          <w:color w:val="000000"/>
          <w:sz w:val="20"/>
        </w:rPr>
        <w:t>. 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Section 409A</w:t>
      </w:r>
      <w:r>
        <w:rPr>
          <w:rFonts w:ascii="Arial;Helvetica;sans-serif" w:hAnsi="Arial;Helvetica;sans-serif"/>
          <w:b w:val="false"/>
          <w:i w:val="false"/>
          <w:caps w:val="false"/>
          <w:smallCaps w:val="false"/>
          <w:color w:val="000000"/>
          <w:sz w:val="20"/>
        </w:rPr>
        <w:t>. Section 409A of the Code provides certain requirements for non-qualified deferred compensation arrangements with respect to an individual’s deferral and distribution elections and permissible distribution events. Awards granted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Tax Effect for the Company</w:t>
      </w:r>
      <w:r>
        <w:rPr>
          <w:rFonts w:ascii="Arial;Helvetica;sans-serif" w:hAnsi="Arial;Helvetica;sans-serif"/>
          <w:b w:val="false"/>
          <w:i w:val="false"/>
          <w:caps w:val="false"/>
          <w:smallCaps w:val="false"/>
          <w:color w:val="000000"/>
          <w:sz w:val="20"/>
        </w:rPr>
        <w:t>. We generally will be entitled to a tax deduction in connection with an award under the 2005 Plan in an amount equal to the ordinary income realized by a participant and at the time the participant recognizes such income (for example, the exercise of a nonstatutory stock option) except to the extent such deduction is limited by applicable provisions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IS ONLY A SUMMARY OF THE EFFECT OF U.S. FEDERAL INCOME TAXATION UPON PARTICIPANTS AND LIVERAMP WITH RESPECT TO AWARDS UNDER THE 2005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Vote Required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 of the amendment and restatement of the 2005 Plan to increase the number of shares available thereunder requires the affirmative vote of a majority of votes cast.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stockholders vote “FOR” this proposal to increase the number of shares available for issuance under the 2005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AVTA"/>
      <w:bookmarkEnd w:id="116"/>
      <w:r>
        <w:rPr>
          <w:rFonts w:ascii="calibri;arial;sans-serif" w:hAnsi="calibri;arial;sans-serif"/>
          <w:b w:val="false"/>
          <w:i w:val="false"/>
          <w:caps w:val="false"/>
          <w:smallCaps w:val="false"/>
          <w:color w:val="000000"/>
          <w:sz w:val="16"/>
        </w:rPr>
        <w:t>​</w:t>
      </w:r>
      <w:bookmarkStart w:id="117" w:name="tPSOJP2"/>
      <w:bookmarkEnd w:id="117"/>
      <w:r>
        <w:rPr>
          <w:rFonts w:ascii="calibri;arial;sans-serif" w:hAnsi="calibri;arial;sans-serif"/>
          <w:b w:val="false"/>
          <w:i w:val="false"/>
          <w:caps w:val="false"/>
          <w:smallCaps w:val="false"/>
          <w:color w:val="000000"/>
          <w:sz w:val="16"/>
        </w:rPr>
        <w:t>​</w:t>
      </w:r>
      <w:bookmarkStart w:id="118" w:name="tPROV"/>
      <w:bookmarkEnd w:id="118"/>
      <w:r>
        <w:rPr>
          <w:rFonts w:ascii="calibri;arial;sans-serif" w:hAnsi="calibri;arial;sans-serif"/>
          <w:b w:val="false"/>
          <w:i w:val="false"/>
          <w:caps w:val="false"/>
          <w:smallCaps w:val="false"/>
          <w:color w:val="000000"/>
          <w:sz w:val="16"/>
        </w:rPr>
        <w:t>​</w:t>
      </w:r>
      <w:bookmarkStart w:id="119" w:name="tRECO"/>
      <w:bookmarkEnd w:id="119"/>
      <w:r>
        <w:rPr>
          <w:rFonts w:ascii="calibri;arial;sans-serif" w:hAnsi="calibri;arial;sans-serif"/>
          <w:b w:val="false"/>
          <w:i w:val="false"/>
          <w:caps w:val="false"/>
          <w:smallCaps w:val="false"/>
          <w:color w:val="000000"/>
          <w:sz w:val="16"/>
        </w:rPr>
        <w:t xml:space="preserve">​ </w:t>
      </w:r>
    </w:p>
    <w:tbl>
      <w:tblPr>
        <w:tblW w:w="5302" w:type="dxa"/>
        <w:jc w:val="left"/>
        <w:tblInd w:w="440" w:type="dxa"/>
        <w:tblLayout w:type="fixed"/>
        <w:tblCellMar>
          <w:top w:w="0" w:type="dxa"/>
          <w:left w:w="0" w:type="dxa"/>
          <w:bottom w:w="0" w:type="dxa"/>
          <w:right w:w="0" w:type="dxa"/>
        </w:tblCellMar>
      </w:tblPr>
      <w:tblGrid>
        <w:gridCol w:w="124"/>
        <w:gridCol w:w="226"/>
        <w:gridCol w:w="109"/>
        <w:gridCol w:w="109"/>
        <w:gridCol w:w="109"/>
        <w:gridCol w:w="447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4471"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Advisory Vote to Approve Named Executive </w:t>
              <w:br/>
              <w:t xml:space="preserve">Officer Compensation     </w:t>
            </w:r>
          </w:p>
        </w:tc>
        <w:tc>
          <w:tcPr>
            <w:tcW w:w="154" w:type="dxa"/>
            <w:tcBorders/>
            <w:shd w:fill="00BC6F" w:val="clear"/>
            <w:vAlign w:val="center"/>
          </w:tcPr>
          <w:p>
            <w:pPr>
              <w:pStyle w:val="TableContents"/>
              <w:bidi w:val="0"/>
              <w:spacing w:before="0" w:after="283"/>
              <w:jc w:val="left"/>
              <w:rPr/>
            </w:pPr>
            <w:r>
              <w:rPr/>
              <w:t>​</w:t>
            </w:r>
          </w:p>
        </w:tc>
      </w:tr>
    </w:tbl>
    <w:tbl>
      <w:tblPr>
        <w:tblW w:w="2092" w:type="dxa"/>
        <w:jc w:val="left"/>
        <w:tblInd w:w="440" w:type="dxa"/>
        <w:tblLayout w:type="fixed"/>
        <w:tblCellMar>
          <w:top w:w="0" w:type="dxa"/>
          <w:left w:w="0" w:type="dxa"/>
          <w:bottom w:w="0" w:type="dxa"/>
          <w:right w:w="0" w:type="dxa"/>
        </w:tblCellMar>
      </w:tblPr>
      <w:tblGrid>
        <w:gridCol w:w="124"/>
        <w:gridCol w:w="226"/>
        <w:gridCol w:w="109"/>
        <w:gridCol w:w="109"/>
        <w:gridCol w:w="109"/>
        <w:gridCol w:w="126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261"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pPr>
            <w:r>
              <w:rPr/>
              <w:t>(P</w:t>
            </w:r>
            <w:r>
              <w:rPr>
                <w:caps w:val="false"/>
                <w:smallCaps w:val="false"/>
              </w:rPr>
              <w:t>ROPOSAL</w:t>
            </w:r>
            <w:r>
              <w:rPr/>
              <w:t xml:space="preserve"> 5)</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Proposal Overview</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Rule 14a-21 under the Exchange Act, the Company requests that our stockholders approve on a non-binding, advisory basis the compensation of the Company’s “Named Executive Officers” identified in the section titled “</w:t>
      </w:r>
      <w:r>
        <w:rPr>
          <w:rFonts w:ascii="Arial;Helvetica;sans-serif" w:hAnsi="Arial;Helvetica;sans-serif"/>
          <w:b w:val="false"/>
          <w:i/>
          <w:caps w:val="false"/>
          <w:smallCaps w:val="false"/>
          <w:color w:val="000000"/>
          <w:sz w:val="20"/>
        </w:rPr>
        <w:t>Compensation Discussion and Analysis</w:t>
      </w:r>
      <w:r>
        <w:rPr>
          <w:rFonts w:ascii="Arial;Helvetica;sans-serif" w:hAnsi="Arial;Helvetica;sans-serif"/>
          <w:b w:val="false"/>
          <w:i w:val="false"/>
          <w:caps w:val="false"/>
          <w:smallCaps w:val="false"/>
          <w:color w:val="000000"/>
          <w:sz w:val="20"/>
        </w:rPr>
        <w:t>” set forth below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Company’s compensation philosophy, our compensation programs are designed to attract, retain and motivate the management team to achieve the Company’s business goals on an annual and a long-term basis. Key objectives of our compensation programs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Align the interests of our executive officers, including our Named Executive Officers, with those of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89"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Consider stockholder feedback when making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0"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Maintain transparent compensation arrangements that provide a strong link between compensation and performance and motivate our executive officers, including our Named Executive Officers, to achieve the highest level of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91"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Attract and retain exceptional executive officers, including our Named Executive Officers, through clear, market-based compensation plans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492"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Details concerning how we implement our compensation philosophy, and how we structure our compensation programs to meet the objectives listed above, are provided in the “</w:t>
      </w:r>
      <w:r>
        <w:rPr>
          <w:rFonts w:ascii="Arial;Helvetica;sans-serif" w:hAnsi="Arial;Helvetica;sans-serif"/>
          <w:b w:val="false"/>
          <w:i/>
          <w:caps w:val="false"/>
          <w:smallCaps w:val="false"/>
          <w:color w:val="000000"/>
          <w:sz w:val="20"/>
        </w:rPr>
        <w:t>Compensation Discussion and Analysis</w:t>
      </w:r>
      <w:r>
        <w:rPr>
          <w:rFonts w:ascii="Arial;Helvetica;sans-serif" w:hAnsi="Arial;Helvetica;sans-serif"/>
          <w:b w:val="false"/>
          <w:i w:val="false"/>
          <w:caps w:val="false"/>
          <w:smallCaps w:val="false"/>
          <w:color w:val="000000"/>
          <w:sz w:val="20"/>
        </w:rPr>
        <w:t>” below. In particular, we discuss how we design performance-based compensation programs and set compensation targets and other objectives to maintain a close correlation between executive pay and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light of the foregoing, we ask that stockholders vote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xml:space="preserve">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Company’s stockholders approve, on an advisory basis, the compensation of the Company’s Named Executive Officers, as disclosed in the Company’s proxy statement for the Special Meeting pursuant to the compensation disclosure rules of the Securities and Exchange Commission, including the Compensation Discussion and Analysis, the Summary Compensation Table, and the other related tables and disclosures.”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this vote is advisory and therefore not binding on the Company, the Talent and Compensation Committee or the Board, we value the opinions of our stockholders. Accordingly, the Talent and Compensation Committee or the Board will take the results of this vote under advisement and will consider our stockholders’ concerns when making future decisions regarding the Company’s executive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current policy is to provide stockholders with an opportunity to approve the compensation of the Named Executive Officers each year at the Annual Meeting of Stockholders. Accordingly, the next such vote is expected to occur at the 2027 Annual Meeting of Stockholders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w:t>
      </w:r>
      <w:r>
        <w:rPr>
          <w:rFonts w:ascii="Arial;Helvetica;sans-serif" w:hAnsi="Arial;Helvetica;sans-serif"/>
          <w:b/>
          <w:i w:val="false"/>
          <w:caps w:val="false"/>
          <w:smallCaps w:val="false"/>
          <w:color w:val="000000"/>
          <w:sz w:val="20"/>
        </w:rPr>
        <w:t xml:space="preserve">HE </w:t>
      </w:r>
      <w:r>
        <w:rPr>
          <w:rFonts w:ascii="Arial;Helvetica;sans-serif" w:hAnsi="Arial;Helvetica;sans-serif"/>
          <w:b/>
          <w:i w:val="false"/>
          <w:caps w:val="false"/>
          <w:smallCaps w:val="false"/>
          <w:color w:val="000000"/>
          <w:sz w:val="20"/>
        </w:rPr>
        <w:t>B</w:t>
      </w:r>
      <w:r>
        <w:rPr>
          <w:rFonts w:ascii="Arial;Helvetica;sans-serif" w:hAnsi="Arial;Helvetica;sans-serif"/>
          <w:b/>
          <w:i w:val="false"/>
          <w:caps w:val="false"/>
          <w:smallCaps w:val="false"/>
          <w:color w:val="000000"/>
          <w:sz w:val="20"/>
        </w:rPr>
        <w:t>OARD UNANIMOUSLY RECOMMENDS A VOTE</w:t>
      </w:r>
      <w:r>
        <w:rPr>
          <w:rFonts w:ascii="Arial;Helvetica;sans-serif" w:hAnsi="Arial;Helvetica;sans-serif"/>
          <w:b/>
          <w:i w:val="false"/>
          <w:caps w:val="false"/>
          <w:smallCaps w:val="false"/>
          <w:color w:val="000000"/>
          <w:sz w:val="20"/>
        </w:rPr>
        <w:t xml:space="preserve"> “FOR” </w:t>
      </w:r>
      <w:r>
        <w:rPr>
          <w:rFonts w:ascii="Arial;Helvetica;sans-serif" w:hAnsi="Arial;Helvetica;sans-serif"/>
          <w:b/>
          <w:i w:val="false"/>
          <w:caps w:val="false"/>
          <w:smallCaps w:val="false"/>
          <w:color w:val="000000"/>
          <w:sz w:val="20"/>
        </w:rPr>
        <w:t>THE RESOLUTION TO APPROVE, ON AN ADVISORY, NON-BINDING BASIS, THE COMPENSATION OF THE</w:t>
      </w:r>
      <w:r>
        <w:rPr>
          <w:rFonts w:ascii="Arial;Helvetica;sans-serif" w:hAnsi="Arial;Helvetica;sans-serif"/>
          <w:b/>
          <w:i w:val="false"/>
          <w:caps w:val="false"/>
          <w:smallCaps w:val="false"/>
          <w:color w:val="000000"/>
          <w:sz w:val="20"/>
        </w:rPr>
        <w:t xml:space="preserve"> C</w:t>
      </w:r>
      <w:r>
        <w:rPr>
          <w:rFonts w:ascii="Arial;Helvetica;sans-serif" w:hAnsi="Arial;Helvetica;sans-serif"/>
          <w:b/>
          <w:i w:val="false"/>
          <w:caps w:val="false"/>
          <w:smallCaps w:val="false"/>
          <w:color w:val="000000"/>
          <w:sz w:val="20"/>
        </w:rPr>
        <w:t>OMPANY’S NAMED EXECUTIVE OFFICERS AS DISCLOSED IN THIS PROXY STATEMENT</w:t>
      </w:r>
      <w:r>
        <w:rPr>
          <w:rFonts w:ascii="Arial;Helvetica;sans-serif" w:hAnsi="Arial;Helvetica;sans-serif"/>
          <w:b/>
          <w:i w:val="false"/>
          <w:caps w:val="false"/>
          <w:smallCaps w:val="false"/>
          <w:color w:val="000000"/>
          <w:sz w:val="2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ROTS"/>
      <w:bookmarkEnd w:id="120"/>
      <w:r>
        <w:rPr>
          <w:rFonts w:ascii="calibri;arial;sans-serif" w:hAnsi="calibri;arial;sans-serif"/>
          <w:b w:val="false"/>
          <w:i w:val="false"/>
          <w:caps w:val="false"/>
          <w:smallCaps w:val="false"/>
          <w:color w:val="000000"/>
          <w:sz w:val="16"/>
        </w:rPr>
        <w:t>​</w:t>
      </w:r>
      <w:bookmarkStart w:id="121" w:name="tFBFS"/>
      <w:bookmarkEnd w:id="121"/>
      <w:r>
        <w:rPr>
          <w:rFonts w:ascii="calibri;arial;sans-serif" w:hAnsi="calibri;arial;sans-serif"/>
          <w:b w:val="false"/>
          <w:i w:val="false"/>
          <w:caps w:val="false"/>
          <w:smallCaps w:val="false"/>
          <w:color w:val="000000"/>
          <w:sz w:val="16"/>
        </w:rPr>
        <w:t>​</w:t>
      </w:r>
      <w:bookmarkStart w:id="122" w:name="tACPP"/>
      <w:bookmarkEnd w:id="122"/>
      <w:r>
        <w:rPr>
          <w:rFonts w:ascii="calibri;arial;sans-serif" w:hAnsi="calibri;arial;sans-serif"/>
          <w:b w:val="false"/>
          <w:i w:val="false"/>
          <w:caps w:val="false"/>
          <w:smallCaps w:val="false"/>
          <w:color w:val="000000"/>
          <w:sz w:val="16"/>
        </w:rPr>
        <w:t>​</w:t>
      </w:r>
      <w:bookmarkStart w:id="123" w:name="tRECO1"/>
      <w:bookmarkEnd w:id="123"/>
      <w:r>
        <w:rPr>
          <w:rFonts w:ascii="calibri;arial;sans-serif" w:hAnsi="calibri;arial;sans-serif"/>
          <w:b w:val="false"/>
          <w:i w:val="false"/>
          <w:caps w:val="false"/>
          <w:smallCaps w:val="false"/>
          <w:color w:val="000000"/>
          <w:sz w:val="16"/>
        </w:rPr>
        <w:t xml:space="preserve">​ </w:t>
      </w:r>
    </w:p>
    <w:tbl>
      <w:tblPr>
        <w:tblW w:w="8407" w:type="dxa"/>
        <w:jc w:val="left"/>
        <w:tblInd w:w="440" w:type="dxa"/>
        <w:tblLayout w:type="fixed"/>
        <w:tblCellMar>
          <w:top w:w="0" w:type="dxa"/>
          <w:left w:w="0" w:type="dxa"/>
          <w:bottom w:w="0" w:type="dxa"/>
          <w:right w:w="0" w:type="dxa"/>
        </w:tblCellMar>
      </w:tblPr>
      <w:tblGrid>
        <w:gridCol w:w="124"/>
        <w:gridCol w:w="226"/>
        <w:gridCol w:w="109"/>
        <w:gridCol w:w="109"/>
        <w:gridCol w:w="109"/>
        <w:gridCol w:w="75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757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Ratification of the Selection of the Independent Registered Public Accountant   </w:t>
            </w:r>
          </w:p>
        </w:tc>
        <w:tc>
          <w:tcPr>
            <w:tcW w:w="154" w:type="dxa"/>
            <w:tcBorders/>
            <w:shd w:fill="00BC6F" w:val="clear"/>
            <w:vAlign w:val="center"/>
          </w:tcPr>
          <w:p>
            <w:pPr>
              <w:pStyle w:val="TableContents"/>
              <w:bidi w:val="0"/>
              <w:spacing w:before="0" w:after="283"/>
              <w:jc w:val="left"/>
              <w:rPr/>
            </w:pPr>
            <w:r>
              <w:rPr/>
              <w:t>​</w:t>
            </w:r>
          </w:p>
        </w:tc>
      </w:tr>
    </w:tbl>
    <w:tbl>
      <w:tblPr>
        <w:tblW w:w="2092" w:type="dxa"/>
        <w:jc w:val="left"/>
        <w:tblInd w:w="440" w:type="dxa"/>
        <w:tblLayout w:type="fixed"/>
        <w:tblCellMar>
          <w:top w:w="0" w:type="dxa"/>
          <w:left w:w="0" w:type="dxa"/>
          <w:bottom w:w="0" w:type="dxa"/>
          <w:right w:w="0" w:type="dxa"/>
        </w:tblCellMar>
      </w:tblPr>
      <w:tblGrid>
        <w:gridCol w:w="124"/>
        <w:gridCol w:w="226"/>
        <w:gridCol w:w="109"/>
        <w:gridCol w:w="109"/>
        <w:gridCol w:w="109"/>
        <w:gridCol w:w="126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261"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pPr>
            <w:r>
              <w:rPr/>
              <w:t>(P</w:t>
            </w:r>
            <w:r>
              <w:rPr>
                <w:caps w:val="false"/>
                <w:smallCaps w:val="false"/>
              </w:rPr>
              <w:t>ROPOSAL</w:t>
            </w:r>
            <w:r>
              <w:rPr/>
              <w:t xml:space="preserve"> 6)</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has selected KPMG LLP (“KPMG”) to serve as independent auditor for fiscal year 2027, and the stockholders are being asked to ratify this action. We anticipate that a representative of KPMG will be present at the Special Meeting and will have the opportunity to make a statement at the meeting if he or she desires to do so and to respond to appropriate questions.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Fees Billed for Services Rendered by Independent Auditor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presents fees billed for professional audit services rendered by KPMG for the audits of the Company’s annual financial statements for the fiscal years ended March 31, 2026 and March 31, 2025, and fees billed for other services rendered by KPMG.</w:t>
      </w:r>
      <w:r>
        <w:rPr>
          <w:rFonts w:ascii="Arial;Helvetica;sans-serif" w:hAnsi="Arial;Helvetica;sans-serif"/>
          <w:b w:val="false"/>
          <w:i w:val="false"/>
          <w:caps w:val="false"/>
          <w:smallCaps w:val="false"/>
          <w:color w:val="000000"/>
          <w:spacing w:val="4"/>
          <w:sz w:val="20"/>
        </w:rPr>
        <w:t xml:space="preserve"> </w:t>
      </w:r>
    </w:p>
    <w:tbl>
      <w:tblPr>
        <w:tblW w:w="8040" w:type="dxa"/>
        <w:jc w:val="left"/>
        <w:tblInd w:w="680" w:type="dxa"/>
        <w:tblLayout w:type="fixed"/>
        <w:tblCellMar>
          <w:top w:w="0" w:type="dxa"/>
          <w:left w:w="0" w:type="dxa"/>
          <w:bottom w:w="0" w:type="dxa"/>
          <w:right w:w="0" w:type="dxa"/>
        </w:tblCellMar>
      </w:tblPr>
      <w:tblGrid>
        <w:gridCol w:w="124"/>
        <w:gridCol w:w="4066"/>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406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Fiscal 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Fiscal 2025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shd w:fill="D8D8D8" w:val="clear"/>
            <w:tcMar>
              <w:bottom w:w="28" w:type="dxa"/>
            </w:tcMar>
            <w:vAlign w:val="center"/>
          </w:tcPr>
          <w:p>
            <w:pPr>
              <w:pStyle w:val="TableContents"/>
              <w:bidi w:val="0"/>
              <w:spacing w:lineRule="atLeast" w:line="142" w:before="0" w:after="283"/>
              <w:jc w:val="left"/>
              <w:rPr/>
            </w:pPr>
            <w:r>
              <w:rPr/>
              <w:t>Audit Fees (including quarterly reviews)</w:t>
            </w:r>
            <w:r>
              <w:rPr>
                <w:sz w:val="13"/>
              </w:rPr>
              <w:t>1</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 </w:t>
            </w:r>
            <w:r>
              <w:rPr/>
              <w:t>1,776,500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 </w:t>
            </w:r>
            <w:r>
              <w:rPr/>
              <w:t>1,647,000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tcMar>
              <w:bottom w:w="28" w:type="dxa"/>
            </w:tcMar>
            <w:vAlign w:val="center"/>
          </w:tcPr>
          <w:p>
            <w:pPr>
              <w:pStyle w:val="TableContents"/>
              <w:bidi w:val="0"/>
              <w:spacing w:before="0" w:after="283"/>
              <w:jc w:val="left"/>
              <w:rPr/>
            </w:pPr>
            <w:r>
              <w:rPr/>
              <w:t xml:space="preserve">Audit-Related Fees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shd w:fill="D8D8D8" w:val="clear"/>
            <w:tcMar>
              <w:bottom w:w="28" w:type="dxa"/>
            </w:tcMar>
            <w:vAlign w:val="center"/>
          </w:tcPr>
          <w:p>
            <w:pPr>
              <w:pStyle w:val="TableContents"/>
              <w:bidi w:val="0"/>
              <w:spacing w:lineRule="atLeast" w:line="142" w:before="0" w:after="283"/>
              <w:jc w:val="left"/>
              <w:rPr/>
            </w:pPr>
            <w:r>
              <w:rPr/>
              <w:t>Tax Fees</w:t>
            </w:r>
            <w:r>
              <w:rPr>
                <w:sz w:val="13"/>
              </w:rPr>
              <w:t>2</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262,325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292,520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tcMar>
              <w:bottom w:w="28" w:type="dxa"/>
            </w:tcMar>
            <w:vAlign w:val="center"/>
          </w:tcPr>
          <w:p>
            <w:pPr>
              <w:pStyle w:val="TableContents"/>
              <w:bidi w:val="0"/>
              <w:spacing w:lineRule="atLeast" w:line="142" w:before="0" w:after="283"/>
              <w:jc w:val="left"/>
              <w:rPr/>
            </w:pPr>
            <w:r>
              <w:rPr/>
              <w:t>All Other Fees</w:t>
            </w:r>
            <w:r>
              <w:rPr>
                <w:sz w:val="13"/>
              </w:rPr>
              <w:t>3</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29,000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12" w:space="0" w:color="016836"/>
            </w:tcBorders>
            <w:shd w:fill="D8D8D8" w:val="clear"/>
            <w:tcMar>
              <w:bottom w:w="28" w:type="dxa"/>
            </w:tcMar>
            <w:vAlign w:val="center"/>
          </w:tcPr>
          <w:p>
            <w:pPr>
              <w:pStyle w:val="TableContents"/>
              <w:bidi w:val="0"/>
              <w:spacing w:before="0" w:after="0"/>
              <w:ind w:left="200" w:right="0" w:hanging="0"/>
              <w:jc w:val="left"/>
              <w:rPr/>
            </w:pPr>
            <w:r>
              <w:rPr/>
              <w:t xml:space="preserve">Total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2,067,825</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1,969,520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Audit fees relate to professional services rendered in connection with the audit of our annual financial statements, the audit of our internal control over financial reporting, quarterly reviews of financial statements included in our Forms 10-Q and 10-K, and audit services provided in connection with other statutory and regulatory filings.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510">
                <wp:simplePos x="0" y="0"/>
                <wp:positionH relativeFrom="column">
                  <wp:align>left</wp:align>
                </wp:positionH>
                <wp:positionV relativeFrom="line">
                  <wp:align>top</wp:align>
                </wp:positionV>
                <wp:extent cx="254000" cy="254000"/>
                <wp:effectExtent l="0" t="0" r="0" b="0"/>
                <wp:wrapSquare wrapText="right"/>
                <wp:docPr id="493" name="Frame46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Tax fees consist of fees for professional services primarily for tax compliance related to the preparation and review of federal and state returns and also for tax consulting.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511">
                <wp:simplePos x="0" y="0"/>
                <wp:positionH relativeFrom="column">
                  <wp:align>left</wp:align>
                </wp:positionH>
                <wp:positionV relativeFrom="line">
                  <wp:align>top</wp:align>
                </wp:positionV>
                <wp:extent cx="254000" cy="254000"/>
                <wp:effectExtent l="0" t="0" r="0" b="0"/>
                <wp:wrapSquare wrapText="right"/>
                <wp:docPr id="494" name="Frame4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Other fees include access to a KPMG online research tool for accounting and financial reporting rules and guidance and membership in a KPMG IT industry organization.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512">
                <wp:simplePos x="0" y="0"/>
                <wp:positionH relativeFrom="column">
                  <wp:align>left</wp:align>
                </wp:positionH>
                <wp:positionV relativeFrom="line">
                  <wp:align>top</wp:align>
                </wp:positionV>
                <wp:extent cx="254000" cy="254000"/>
                <wp:effectExtent l="0" t="0" r="0" b="0"/>
                <wp:wrapSquare wrapText="right"/>
                <wp:docPr id="495" name="Frame4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Audit/Finance Committee Pre-Approval Policy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Audit/Finance Committee has adopted a policy for the pre-approval of engagements for audit, audit-related and non-audit services by the independent auditor. The policy requires that the committee pre-approve all audit services and audit-related services to be performed by the independent auditor. Pre-approvals of engagements of   $150,000 or less may be made by the chair of the Audit/Finance Committee so long as a report of the engagement is made to the full committee at its next quarterly meeting following the engagement, at which time the actions of the chair are submitted for ratification. In connection with any proposed engagement for non-audit services, the scope, nature and anticipated fees for such services must be agreed upon by management and the external auditor, who then must obtain the consent of the chair of the Audit/Finance Committee to proceed with the proposed engagement. Upon the chair’s consent, the independent auditor is authorized to enter into an engagement letter with the Company to conduct the non-audit services in accordance with the terms and conditions approved by the chair. All audit and non-audit services reflected in the table above were pre-approved by the Audit/Finance Committee in accordance with the policy, and none were approved pursuant to the </w:t>
      </w:r>
      <w:r>
        <w:rPr>
          <w:rFonts w:ascii="Arial;Helvetica;sans-serif" w:hAnsi="Arial;Helvetica;sans-serif"/>
          <w:b w:val="false"/>
          <w:i/>
          <w:caps w:val="false"/>
          <w:smallCaps w:val="false"/>
          <w:color w:val="000000"/>
          <w:sz w:val="20"/>
        </w:rPr>
        <w:t>de minimis</w:t>
      </w:r>
      <w:r>
        <w:rPr>
          <w:rFonts w:ascii="Arial;Helvetica;sans-serif" w:hAnsi="Arial;Helvetica;sans-serif"/>
          <w:b w:val="false"/>
          <w:i w:val="false"/>
          <w:caps w:val="false"/>
          <w:smallCaps w:val="false"/>
          <w:color w:val="000000"/>
          <w:sz w:val="20"/>
        </w:rPr>
        <w:t xml:space="preserve"> exception provided in Rule 2-01(c)(7)(i) of Regulation S-X promulgated by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w:t>
      </w:r>
      <w:r>
        <w:rPr>
          <w:rFonts w:ascii="Arial;Helvetica;sans-serif" w:hAnsi="Arial;Helvetica;sans-serif"/>
          <w:b/>
          <w:i w:val="false"/>
          <w:caps w:val="false"/>
          <w:smallCaps w:val="false"/>
          <w:color w:val="000000"/>
          <w:sz w:val="20"/>
        </w:rPr>
        <w:t>HE</w:t>
      </w:r>
      <w:r>
        <w:rPr>
          <w:rFonts w:ascii="Arial;Helvetica;sans-serif" w:hAnsi="Arial;Helvetica;sans-serif"/>
          <w:b/>
          <w:i w:val="false"/>
          <w:caps w:val="false"/>
          <w:smallCaps w:val="false"/>
          <w:color w:val="000000"/>
          <w:sz w:val="20"/>
        </w:rPr>
        <w:t xml:space="preserve"> B</w:t>
      </w:r>
      <w:r>
        <w:rPr>
          <w:rFonts w:ascii="Arial;Helvetica;sans-serif" w:hAnsi="Arial;Helvetica;sans-serif"/>
          <w:b/>
          <w:i w:val="false"/>
          <w:caps w:val="false"/>
          <w:smallCaps w:val="false"/>
          <w:color w:val="000000"/>
          <w:sz w:val="20"/>
        </w:rPr>
        <w:t>OARD UNANIMOUSLY RECOMMENDS THAT THE STOCKHOLDERS VOTE</w:t>
      </w:r>
      <w:r>
        <w:rPr>
          <w:rFonts w:ascii="Arial;Helvetica;sans-serif" w:hAnsi="Arial;Helvetica;sans-serif"/>
          <w:b/>
          <w:i w:val="false"/>
          <w:caps w:val="false"/>
          <w:smallCaps w:val="false"/>
          <w:color w:val="000000"/>
          <w:sz w:val="20"/>
        </w:rPr>
        <w:t xml:space="preserve"> “FOR” </w:t>
      </w:r>
      <w:r>
        <w:rPr>
          <w:rFonts w:ascii="Arial;Helvetica;sans-serif" w:hAnsi="Arial;Helvetica;sans-serif"/>
          <w:b/>
          <w:i w:val="false"/>
          <w:caps w:val="false"/>
          <w:smallCaps w:val="false"/>
          <w:color w:val="000000"/>
          <w:sz w:val="20"/>
        </w:rPr>
        <w:t>THE RATIFICATION OF THE SELECTION OF</w:t>
      </w:r>
      <w:r>
        <w:rPr>
          <w:rFonts w:ascii="Arial;Helvetica;sans-serif" w:hAnsi="Arial;Helvetica;sans-serif"/>
          <w:b/>
          <w:i w:val="false"/>
          <w:caps w:val="false"/>
          <w:smallCaps w:val="false"/>
          <w:color w:val="000000"/>
          <w:sz w:val="20"/>
        </w:rPr>
        <w:t xml:space="preserve"> KPMG </w:t>
      </w:r>
      <w:r>
        <w:rPr>
          <w:rFonts w:ascii="Arial;Helvetica;sans-serif" w:hAnsi="Arial;Helvetica;sans-serif"/>
          <w:b/>
          <w:i w:val="false"/>
          <w:caps w:val="false"/>
          <w:smallCaps w:val="false"/>
          <w:color w:val="000000"/>
          <w:sz w:val="20"/>
        </w:rPr>
        <w:t>AS THE</w:t>
      </w:r>
      <w:r>
        <w:rPr>
          <w:rFonts w:ascii="Arial;Helvetica;sans-serif" w:hAnsi="Arial;Helvetica;sans-serif"/>
          <w:b/>
          <w:i w:val="false"/>
          <w:caps w:val="false"/>
          <w:smallCaps w:val="false"/>
          <w:color w:val="000000"/>
          <w:sz w:val="20"/>
        </w:rPr>
        <w:t xml:space="preserve"> C</w:t>
      </w:r>
      <w:r>
        <w:rPr>
          <w:rFonts w:ascii="Arial;Helvetica;sans-serif" w:hAnsi="Arial;Helvetica;sans-serif"/>
          <w:b/>
          <w:i w:val="false"/>
          <w:caps w:val="false"/>
          <w:smallCaps w:val="false"/>
          <w:color w:val="000000"/>
          <w:sz w:val="20"/>
        </w:rPr>
        <w:t>OMPANY’S INDEPENDENT REGISTERED PUBLIC ACCOUNTANT FOR FISCAL YEAR 2027</w:t>
      </w:r>
      <w:r>
        <w:rPr>
          <w:rFonts w:ascii="Arial;Helvetica;sans-serif" w:hAnsi="Arial;Helvetica;sans-serif"/>
          <w:b/>
          <w:i w:val="false"/>
          <w:caps w:val="false"/>
          <w:smallCaps w:val="false"/>
          <w:color w:val="000000"/>
          <w:sz w:val="20"/>
        </w:rPr>
        <w: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stockholders fail to ratify this appointment, the Audit/Finance Committee will reconsider whether to retain KPMG or another firm without resubmitting the matter to our stockholders. Even if the appointment is ratified, the Audit/Finance Committee may, in its discretion, direct the appointment of a different independent auditor at any time during the year if it determines that such change would be in the Company’s best interests and in the best interests of our stockholders.</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ACR"/>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Audit/Finance Committee Report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report provides information concerning the Audit/Finance Committee of the Board. The Audit/Finance Committee is comprised entirely of independent directors, as defined and required by applicable NYSE listing standards. The current members are Ms. Chow (Chair), Mr. Kokich and Ms. Tomlin.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primary function of the Audit/Finance Committee is to represent and assist the Board in fulfilling its oversight responsibilities regarding the Company’s financial reporting and accounting practices, including the integrity of the Company’s financial statements; the Company’s compliance with legal and regulatory requirements; the independent public accountant’s qualifications and independence; the performance of the Company’s internal auditors and independent public accountant; and the preparation of this report that SEC rules require be included in the Company’s annual proxy statement. In addition, the Audit/Finance Committee monitors all major financial matters pertaining to the Company, assists the Board in long-range financial planning, and makes recommendations regarding the Company’s capital and debt structure. It oversees the management of certain of the Company’s risks, including the Company’s exposures in the areas of finance and accounting; legal, regulatory and ethical compliance; internal controls; IT security; cybersecurity; insurance coverages; business continuity plans; and the implications, if any, on the civil rights of protected classes of individuals and the potential impact of such issues on the Company’s business, operations and reputation. The Audit/Finance Committee also recommends and prioritizes capital and financial commitments, monitors related performance measurements, and reviews annual operating and capital budgets as well as large capital and unbudgeted expenditures. Proposed acquisitions and divestitures are reviewed by the Audit/​Finance Committee, and it makes recommendations regarding the Company’s hedging, dividend and tax policies. The Audit/Finance Committee performs this work pursuant to a written charter approved by the Board. The charter is available on the Company’s website at </w:t>
      </w:r>
      <w:r>
        <w:rPr>
          <w:rFonts w:ascii="Arial;Helvetica;sans-serif" w:hAnsi="Arial;Helvetica;sans-serif"/>
          <w:b w:val="false"/>
          <w:i w:val="false"/>
          <w:caps w:val="false"/>
          <w:smallCaps w:val="false"/>
          <w:color w:val="000000"/>
          <w:sz w:val="20"/>
          <w:u w:val="single"/>
        </w:rPr>
        <w:t>www.LiveRamp.com</w:t>
      </w:r>
      <w:r>
        <w:rPr>
          <w:rFonts w:ascii="Arial;Helvetica;sans-serif" w:hAnsi="Arial;Helvetica;sans-serif"/>
          <w:b w:val="false"/>
          <w:i w:val="false"/>
          <w:caps w:val="false"/>
          <w:smallCaps w:val="false"/>
          <w:color w:val="000000"/>
          <w:sz w:val="20"/>
        </w:rPr>
        <w:t>. The committee has implemented procedures to assist it during the course of each fiscal year in devoting the attention that is necessary and appropriate to each of the matters assigned to it under its charter.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 quarterly basis, the Audit/Finance Committee meets separately with the Company’s internal auditors and KPMG, the Company’s independent public accountant, without management present, to discuss the results of their audits and reviews, their evaluations of the Company’s internal controls over financial reporting, and the overall quality of the Company’s financial reporting. The committee also meets separately with the Company’s Chief Financial Officer when needed. Following these separate discussions, the committee members have the opportunity each quarter to meet in executive session outside the presence of management and the auditors if such a session is requested by any member.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Management of the Company is responsible for the preparation and presentation of the Company’s financial statements, the Company’s accounting and financial reporting principles and internal controls, and procedures that are designed to provide reasonable assurance regarding compliance with accounting standards and applicable laws and regulations. The Company’s independent public accountant is responsible for auditing the Company’s financial statements and expressing opinions as to the financial statements’ conformity with generally accepted accounting principles and the effectiveness of the Company’s internal control over financial reporting.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performance of its oversight function, the Audit/Finance Committee has reviewed and discussed with management and KPMG the audited financial statements for the year ended March 31, 2026, management’s assessment of the effectiveness of the Company’s internal control over financial reporting as of March 31, 2026, and KPMG’s evaluation of the Company’s internal control over financial reporting as of that date. The committee has also discussed with KPMG the matters that the independent public accountant must communicate to the committee under applicable requirements of the Public Company Accounting Oversight Board (“PCAOB”).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With respect to the Company’s independent public accountant, the Audit/Finance Committee, among other things, discussed with KPMG matters relating to its independence and has received the written disclosures and the letter from KPMG required by applicable provisions of the PCAOB regarding KPMG’s communications with the committee concerning independence. The Audit/Finance Committee reviews and approves the annual audit fees in advance. The Audit/Finance Committee or its Chair, to whom authority has been delegated by the committee, reviews and approves in advance all non-audit services provided to the Company by KPMG, as well as any changes in annual audit fees. Any fee approvals made by the Chair pursuant to such delegation of authority are subsequently discussed and submitted for ratification by the full Audit/Finance Committee at its next quarterly meeting. The Audit/Finance Committee annually reviews the independence and performance of KPMG, including its lead audit partner and engagement team, in connection with the Committee’s responsibility for the appointment and oversight of the Company’s independent public accountant and determines whether to re-engage KPMG or consider other audit firms. In doing so, the committee considers, among other things, the quality and efficiency of KPMG’s historical and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978" w:type="dxa"/>
        <w:jc w:val="left"/>
        <w:tblInd w:w="440" w:type="dxa"/>
        <w:tblLayout w:type="fixed"/>
        <w:tblCellMar>
          <w:top w:w="0" w:type="dxa"/>
          <w:left w:w="0" w:type="dxa"/>
          <w:bottom w:w="0" w:type="dxa"/>
          <w:right w:w="0" w:type="dxa"/>
        </w:tblCellMar>
      </w:tblPr>
      <w:tblGrid>
        <w:gridCol w:w="124"/>
        <w:gridCol w:w="32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before="0" w:after="0"/>
              <w:jc w:val="right"/>
              <w:rPr/>
            </w:pPr>
            <w:r>
              <w:rPr/>
              <w:t>Audit/Finance Committee Report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recent performance on the Company’s audit, KPMG’s capability and expertise, the quality and candor of communications and discussions with KPMG, the ability of KPMG to remain independent, external data relating to audit quality and performance (including recent PCAOB reports on KPMG and its peer firms), and the appropriateness of fees charged. The committee also considers KPMG’s tenure as the Company’s independent public accountant and its representatives’ familiarity with the Company’s operations, businesses, accounting policies and practices, and internal control over financial reporting. KPMG has been the Company’s independent public accountant since fiscal year 2003, during which time seven lead engagement partners have served on the Company’s account. In conjunction with the rotation of the independent public accountant’s lead engagement partner, which currently occurs at least every five years, the Audit/Finance Committee is involved in the selection of KPMG’s lead engagement partner. KPMG has assigned a new lead engagement partner in fiscal 2027, and the next mandatory rotation for KPMG’s lead engagement partner is scheduled to occur in fiscal year 2032. Based upon the foregoing considerations, the Audit/​Finance Committee believes that the continued retention of KPMG to serve as the Company’s independent public accountant is in the best interests of the Company and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reviews and discussions referred to above, the Audit/Finance Committee recommended to the Board that the audited consolidated financial statements for the year ended March 31, 2026, be included in LiveRamp’s Annual Report on Form 10-K for the year ended March 31, 2026,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Submitted by the Audit/Finance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Vivian Chow, Chair </w:t>
        <w:br/>
        <w:t xml:space="preserve">Clark M. Kokich </w:t>
        <w:br/>
        <w:t xml:space="preserve">Debora B. Tomlin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TACC"/>
      <w:bookmarkEnd w:id="125"/>
      <w:r>
        <w:rPr>
          <w:rFonts w:ascii="calibri;arial;sans-serif" w:hAnsi="calibri;arial;sans-serif"/>
          <w:b w:val="false"/>
          <w:i w:val="false"/>
          <w:caps w:val="false"/>
          <w:smallCaps w:val="false"/>
          <w:color w:val="000000"/>
          <w:sz w:val="16"/>
        </w:rPr>
        <w:t>​</w:t>
      </w:r>
      <w:bookmarkStart w:id="126" w:name="tCCIA"/>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Talent and Compensation Committee Report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its function to oversee the Company’s executive compensation program, the Talent and Compensation Committee has reviewed and discussed the Compensation Discussion and Analysis section of this proxy statement with management. Based on its review and discussions, the Talent and Compensation Committee recommended to the Board that the Compensation Discussion and Analysis be included in the Company’s Annual Report on Form 10-K for the year ended March 31, 2026 and proxy statement on Schedule 14A for the Special Meeting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Submitted by the Talent and Compensation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Timothy R. Cadogan, Chair</w:t>
        <w:br/>
        <w:t>John Battelle</w:t>
        <w:br/>
        <w:t>Debora B. Tomlin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Compensation Committee Interlocks and Insider Participation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end of fiscal year 2026, the Talent and Compensation Committee consisted of Mr. Cadogan (Chair), Mr. Battelle and Ms. Tomlin. Mr. Tawakol served on the Talent and Compensation Committee during fiscal year 2026 until his resignation from the Board on August 13, 2025. All members of the Talent and Compensation Committee, while serving as members of that committee during fiscal year 2026, were independent directors, and no member was an officer or employee of the Company or a former officer or employee of the Company. No member of the Talent and Compensation Committee serving during fiscal year 2026 was party to a transaction, relationship or arrangement requiring disclosure under Item 404 of Regulation S-K. During fiscal year 2026, none of our executive officers served on the Talent and Compensation Committee (or its equivalent) or board of directors of another entity whose executive officer served on our Talent and Compensation Committee or Board.</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OC7"/>
      <w:bookmarkEnd w:id="127"/>
      <w:r>
        <w:rPr>
          <w:rFonts w:ascii="calibri;arial;sans-serif" w:hAnsi="calibri;arial;sans-serif"/>
          <w:b w:val="false"/>
          <w:i w:val="false"/>
          <w:caps w:val="false"/>
          <w:smallCaps w:val="false"/>
          <w:color w:val="000000"/>
          <w:sz w:val="16"/>
        </w:rPr>
        <w:t>​</w:t>
      </w:r>
      <w:bookmarkStart w:id="128" w:name="TOC8"/>
      <w:bookmarkEnd w:id="128"/>
      <w:r>
        <w:rPr>
          <w:rFonts w:ascii="calibri;arial;sans-serif" w:hAnsi="calibri;arial;sans-serif"/>
          <w:b w:val="false"/>
          <w:i w:val="false"/>
          <w:caps w:val="false"/>
          <w:smallCaps w:val="false"/>
          <w:color w:val="000000"/>
          <w:sz w:val="16"/>
        </w:rPr>
        <w:t>​</w:t>
      </w:r>
      <w:bookmarkStart w:id="129" w:name="tNEO"/>
      <w:bookmarkEnd w:id="129"/>
      <w:r>
        <w:rPr>
          <w:rFonts w:ascii="calibri;arial;sans-serif" w:hAnsi="calibri;arial;sans-serif"/>
          <w:b w:val="false"/>
          <w:i w:val="false"/>
          <w:caps w:val="false"/>
          <w:smallCaps w:val="false"/>
          <w:color w:val="000000"/>
          <w:sz w:val="16"/>
        </w:rPr>
        <w:t>​</w:t>
      </w:r>
      <w:bookmarkStart w:id="130" w:name="tCDAA"/>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Compensation Discussion and Analysis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r>
        <mc:AlternateContent>
          <mc:Choice Requires="wps">
            <w:drawing>
              <wp:anchor behindDoc="0" distT="0" distB="0" distL="431800" distR="0" simplePos="0" locked="0" layoutInCell="1" allowOverlap="1" relativeHeight="513">
                <wp:simplePos x="0" y="0"/>
                <wp:positionH relativeFrom="column">
                  <wp:align>left</wp:align>
                </wp:positionH>
                <wp:positionV relativeFrom="line">
                  <wp:posOffset>635</wp:posOffset>
                </wp:positionV>
                <wp:extent cx="3200400" cy="3733800"/>
                <wp:effectExtent l="0" t="0" r="0" b="0"/>
                <wp:wrapSquare wrapText="right"/>
                <wp:docPr id="496" name="Frame470"/>
                <a:graphic xmlns:a="http://schemas.openxmlformats.org/drawingml/2006/main">
                  <a:graphicData uri="http://schemas.microsoft.com/office/word/2010/wordprocessingShape">
                    <wps:wsp>
                      <wps:cNvSpPr txBox="1"/>
                      <wps:spPr>
                        <a:xfrm>
                          <a:off x="0" y="0"/>
                          <a:ext cx="3200400" cy="3733800"/>
                        </a:xfrm>
                        <a:prstGeom prst="rect"/>
                        <a:solidFill>
                          <a:srgbClr val="FFFFFF"/>
                        </a:solidFill>
                      </wps:spPr>
                      <wps:txbx>
                        <w:txbxContent>
                          <w:tbl>
                            <w:tblPr>
                              <w:tblW w:w="6225" w:type="dxa"/>
                              <w:jc w:val="left"/>
                              <w:tblInd w:w="0" w:type="dxa"/>
                              <w:tblLayout w:type="fixed"/>
                              <w:tblCellMar>
                                <w:top w:w="0" w:type="dxa"/>
                                <w:left w:w="0" w:type="dxa"/>
                                <w:bottom w:w="28" w:type="dxa"/>
                                <w:right w:w="0" w:type="dxa"/>
                              </w:tblCellMar>
                            </w:tblPr>
                            <w:tblGrid>
                              <w:gridCol w:w="124"/>
                              <w:gridCol w:w="4876"/>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NEO">
                                    <w:r>
                                      <w:rPr>
                                        <w:rStyle w:val="InternetLink"/>
                                        <w:b/>
                                      </w:rPr>
                                      <w:t>Named Executive Officers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NEO">
                                    <w:r>
                                      <w:rPr>
                                        <w:rStyle w:val="InternetLink"/>
                                        <w:color w:val="000080"/>
                                      </w:rPr>
                                      <w:t>113</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EXSU">
                                    <w:r>
                                      <w:rPr>
                                        <w:rStyle w:val="InternetLink"/>
                                        <w:b/>
                                      </w:rPr>
                                      <w:t>Executive Summary</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EXSU">
                                    <w:r>
                                      <w:rPr>
                                        <w:rStyle w:val="InternetLink"/>
                                        <w:color w:val="000080"/>
                                      </w:rPr>
                                      <w:t>114</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PH">
                                    <w:r>
                                      <w:rPr>
                                        <w:rStyle w:val="InternetLink"/>
                                      </w:rPr>
                                      <w:t xml:space="preserve">Fiscal 2026 Performance Highlights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PH">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OB">
                                    <w:r>
                                      <w:rPr>
                                        <w:rStyle w:val="InternetLink"/>
                                      </w:rPr>
                                      <w:t xml:space="preserve">Program Objectives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OB">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FR">
                                    <w:r>
                                      <w:rPr>
                                        <w:rStyle w:val="InternetLink"/>
                                      </w:rPr>
                                      <w:t xml:space="preserve">Program Framework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FR">
                                    <w:r>
                                      <w:rPr>
                                        <w:rStyle w:val="InternetLink"/>
                                      </w:rPr>
                                      <w:t xml:space="preserve">115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BPM">
                                    <w:r>
                                      <w:rPr>
                                        <w:rStyle w:val="InternetLink"/>
                                      </w:rPr>
                                      <w:t xml:space="preserve">Balanced Performance Measures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PM">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2TTD">
                                    <w:r>
                                      <w:rPr>
                                        <w:rStyle w:val="InternetLink"/>
                                      </w:rPr>
                                      <w:t xml:space="preserve">2026 Target Total Direct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2TTD">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CO">
                                    <w:r>
                                      <w:rPr>
                                        <w:rStyle w:val="InternetLink"/>
                                      </w:rPr>
                                      <w:t xml:space="preserve">Fiscal 2026 Compensation Outcomes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CO">
                                    <w:r>
                                      <w:rPr>
                                        <w:rStyle w:val="InternetLink"/>
                                      </w:rPr>
                                      <w:t xml:space="preserve">117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876" w:type="dxa"/>
                                  <w:tcBorders>
                                    <w:bottom w:val="single" w:sz="6" w:space="0" w:color="D8D8D8"/>
                                  </w:tcBorders>
                                  <w:tcMar>
                                    <w:bottom w:w="70" w:type="dxa"/>
                                  </w:tcMar>
                                  <w:vAlign w:val="center"/>
                                </w:tcPr>
                                <w:p>
                                  <w:pPr>
                                    <w:pStyle w:val="TableContents"/>
                                    <w:bidi w:val="0"/>
                                    <w:spacing w:before="0" w:after="0"/>
                                    <w:ind w:left="400" w:right="0" w:hanging="200"/>
                                    <w:jc w:val="left"/>
                                    <w:rPr/>
                                  </w:pPr>
                                  <w:hyperlink w:anchor="tSRAS">
                                    <w:r>
                                      <w:rPr>
                                        <w:rStyle w:val="InternetLink"/>
                                      </w:rPr>
                                      <w:t xml:space="preserve">Say-on-Pay Results and Stockholder Engagement </w:t>
                                    </w:r>
                                  </w:hyperlink>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283"/>
                                    <w:jc w:val="right"/>
                                    <w:rPr/>
                                  </w:pPr>
                                  <w:r>
                                    <w:rPr/>
                                    <w:t>​</w:t>
                                  </w:r>
                                </w:p>
                              </w:tc>
                              <w:tc>
                                <w:tcPr>
                                  <w:tcW w:w="526" w:type="dxa"/>
                                  <w:tcBorders>
                                    <w:bottom w:val="single" w:sz="6" w:space="0" w:color="D8D8D8"/>
                                  </w:tcBorders>
                                  <w:shd w:fill="D8D8D8" w:val="clear"/>
                                  <w:tcMar>
                                    <w:bottom w:w="70" w:type="dxa"/>
                                  </w:tcMar>
                                  <w:vAlign w:val="center"/>
                                </w:tcPr>
                                <w:p>
                                  <w:pPr>
                                    <w:pStyle w:val="TableContents"/>
                                    <w:bidi w:val="0"/>
                                    <w:spacing w:before="0" w:after="283"/>
                                    <w:jc w:val="right"/>
                                    <w:rPr/>
                                  </w:pPr>
                                  <w:hyperlink w:anchor="tSRAS">
                                    <w:r>
                                      <w:rPr>
                                        <w:rStyle w:val="InternetLink"/>
                                      </w:rPr>
                                      <w:t xml:space="preserve">118 </w:t>
                                    </w:r>
                                  </w:hyperlink>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294pt;mso-wrap-distance-left:34pt;mso-wrap-distance-right:0pt;mso-wrap-distance-top:0pt;mso-wrap-distance-bottom:0pt;margin-top:0pt;mso-position-vertical:top;mso-position-vertical-relative:text;margin-left:34pt;mso-position-horizontal:left;mso-position-horizontal-relative:text">
                <v:textbox>
                  <w:txbxContent>
                    <w:tbl>
                      <w:tblPr>
                        <w:tblW w:w="6225" w:type="dxa"/>
                        <w:jc w:val="left"/>
                        <w:tblInd w:w="0" w:type="dxa"/>
                        <w:tblLayout w:type="fixed"/>
                        <w:tblCellMar>
                          <w:top w:w="0" w:type="dxa"/>
                          <w:left w:w="0" w:type="dxa"/>
                          <w:bottom w:w="28" w:type="dxa"/>
                          <w:right w:w="0" w:type="dxa"/>
                        </w:tblCellMar>
                      </w:tblPr>
                      <w:tblGrid>
                        <w:gridCol w:w="124"/>
                        <w:gridCol w:w="4876"/>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NEO">
                              <w:r>
                                <w:rPr>
                                  <w:rStyle w:val="InternetLink"/>
                                  <w:b/>
                                </w:rPr>
                                <w:t>Named Executive Officers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NEO">
                              <w:r>
                                <w:rPr>
                                  <w:rStyle w:val="InternetLink"/>
                                  <w:color w:val="000080"/>
                                </w:rPr>
                                <w:t>113</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EXSU">
                              <w:r>
                                <w:rPr>
                                  <w:rStyle w:val="InternetLink"/>
                                  <w:b/>
                                </w:rPr>
                                <w:t>Executive Summary</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EXSU">
                              <w:r>
                                <w:rPr>
                                  <w:rStyle w:val="InternetLink"/>
                                  <w:color w:val="000080"/>
                                </w:rPr>
                                <w:t>114</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PH">
                              <w:r>
                                <w:rPr>
                                  <w:rStyle w:val="InternetLink"/>
                                </w:rPr>
                                <w:t xml:space="preserve">Fiscal 2026 Performance Highlights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PH">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OB">
                              <w:r>
                                <w:rPr>
                                  <w:rStyle w:val="InternetLink"/>
                                </w:rPr>
                                <w:t xml:space="preserve">Program Objectives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OB">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FR">
                              <w:r>
                                <w:rPr>
                                  <w:rStyle w:val="InternetLink"/>
                                </w:rPr>
                                <w:t xml:space="preserve">Program Framework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FR">
                              <w:r>
                                <w:rPr>
                                  <w:rStyle w:val="InternetLink"/>
                                </w:rPr>
                                <w:t xml:space="preserve">115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BPM">
                              <w:r>
                                <w:rPr>
                                  <w:rStyle w:val="InternetLink"/>
                                </w:rPr>
                                <w:t xml:space="preserve">Balanced Performance Measures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PM">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2TTD">
                              <w:r>
                                <w:rPr>
                                  <w:rStyle w:val="InternetLink"/>
                                </w:rPr>
                                <w:t xml:space="preserve">2026 Target Total Direct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2TTD">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CO">
                              <w:r>
                                <w:rPr>
                                  <w:rStyle w:val="InternetLink"/>
                                </w:rPr>
                                <w:t xml:space="preserve">Fiscal 2026 Compensation Outcomes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CO">
                              <w:r>
                                <w:rPr>
                                  <w:rStyle w:val="InternetLink"/>
                                </w:rPr>
                                <w:t xml:space="preserve">117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876" w:type="dxa"/>
                            <w:tcBorders>
                              <w:bottom w:val="single" w:sz="6" w:space="0" w:color="D8D8D8"/>
                            </w:tcBorders>
                            <w:tcMar>
                              <w:bottom w:w="70" w:type="dxa"/>
                            </w:tcMar>
                            <w:vAlign w:val="center"/>
                          </w:tcPr>
                          <w:p>
                            <w:pPr>
                              <w:pStyle w:val="TableContents"/>
                              <w:bidi w:val="0"/>
                              <w:spacing w:before="0" w:after="0"/>
                              <w:ind w:left="400" w:right="0" w:hanging="200"/>
                              <w:jc w:val="left"/>
                              <w:rPr/>
                            </w:pPr>
                            <w:hyperlink w:anchor="tSRAS">
                              <w:r>
                                <w:rPr>
                                  <w:rStyle w:val="InternetLink"/>
                                </w:rPr>
                                <w:t xml:space="preserve">Say-on-Pay Results and Stockholder Engagement </w:t>
                              </w:r>
                            </w:hyperlink>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283"/>
                              <w:jc w:val="right"/>
                              <w:rPr/>
                            </w:pPr>
                            <w:r>
                              <w:rPr/>
                              <w:t>​</w:t>
                            </w:r>
                          </w:p>
                        </w:tc>
                        <w:tc>
                          <w:tcPr>
                            <w:tcW w:w="526" w:type="dxa"/>
                            <w:tcBorders>
                              <w:bottom w:val="single" w:sz="6" w:space="0" w:color="D8D8D8"/>
                            </w:tcBorders>
                            <w:shd w:fill="D8D8D8" w:val="clear"/>
                            <w:tcMar>
                              <w:bottom w:w="70" w:type="dxa"/>
                            </w:tcMar>
                            <w:vAlign w:val="center"/>
                          </w:tcPr>
                          <w:p>
                            <w:pPr>
                              <w:pStyle w:val="TableContents"/>
                              <w:bidi w:val="0"/>
                              <w:spacing w:before="0" w:after="283"/>
                              <w:jc w:val="right"/>
                              <w:rPr/>
                            </w:pPr>
                            <w:hyperlink w:anchor="tSRAS">
                              <w:r>
                                <w:rPr>
                                  <w:rStyle w:val="InternetLink"/>
                                </w:rPr>
                                <w:t xml:space="preserve">118 </w:t>
                              </w:r>
                            </w:hyperlink>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514">
                <wp:simplePos x="0" y="0"/>
                <wp:positionH relativeFrom="column">
                  <wp:align>left</wp:align>
                </wp:positionH>
                <wp:positionV relativeFrom="line">
                  <wp:posOffset>635</wp:posOffset>
                </wp:positionV>
                <wp:extent cx="3200400" cy="4127500"/>
                <wp:effectExtent l="0" t="0" r="0" b="0"/>
                <wp:wrapSquare wrapText="right"/>
                <wp:docPr id="497" name="Frame471"/>
                <a:graphic xmlns:a="http://schemas.openxmlformats.org/drawingml/2006/main">
                  <a:graphicData uri="http://schemas.microsoft.com/office/word/2010/wordprocessingShape">
                    <wps:wsp>
                      <wps:cNvSpPr txBox="1"/>
                      <wps:spPr>
                        <a:xfrm>
                          <a:off x="0" y="0"/>
                          <a:ext cx="3200400" cy="4127500"/>
                        </a:xfrm>
                        <a:prstGeom prst="rect"/>
                        <a:solidFill>
                          <a:srgbClr val="FFFFFF"/>
                        </a:solidFill>
                      </wps:spPr>
                      <wps:txbx>
                        <w:txbxContent>
                          <w:tbl>
                            <w:tblPr>
                              <w:tblW w:w="5580" w:type="dxa"/>
                              <w:jc w:val="left"/>
                              <w:tblInd w:w="0" w:type="dxa"/>
                              <w:tblLayout w:type="fixed"/>
                              <w:tblCellMar>
                                <w:top w:w="0" w:type="dxa"/>
                                <w:left w:w="0" w:type="dxa"/>
                                <w:bottom w:w="28" w:type="dxa"/>
                                <w:right w:w="0" w:type="dxa"/>
                              </w:tblCellMar>
                            </w:tblPr>
                            <w:tblGrid>
                              <w:gridCol w:w="124"/>
                              <w:gridCol w:w="4231"/>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CPAP">
                                    <w:r>
                                      <w:rPr>
                                        <w:rStyle w:val="InternetLink"/>
                                        <w:b/>
                                      </w:rPr>
                                      <w:t>Compensation Policies and Practices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CPAP">
                                    <w:r>
                                      <w:rPr>
                                        <w:rStyle w:val="InternetLink"/>
                                        <w:color w:val="000080"/>
                                      </w:rPr>
                                      <w:t>119</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HWMC">
                                    <w:r>
                                      <w:rPr>
                                        <w:rStyle w:val="InternetLink"/>
                                        <w:b/>
                                      </w:rPr>
                                      <w:t>How We Make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HWMC">
                                    <w:r>
                                      <w:rPr>
                                        <w:rStyle w:val="InternetLink"/>
                                        <w:color w:val="000080"/>
                                      </w:rPr>
                                      <w:t>120</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RAR">
                                    <w:r>
                                      <w:rPr>
                                        <w:rStyle w:val="InternetLink"/>
                                      </w:rPr>
                                      <w:t xml:space="preserve">Roles and Responsibilities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RAR">
                                    <w:r>
                                      <w:rPr>
                                        <w:rStyle w:val="InternetLink"/>
                                      </w:rPr>
                                      <w:t xml:space="preserve">120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CPG">
                                    <w:r>
                                      <w:rPr>
                                        <w:rStyle w:val="InternetLink"/>
                                      </w:rPr>
                                      <w:t xml:space="preserve">Compensation Peer Group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CPG">
                                    <w:r>
                                      <w:rPr>
                                        <w:rStyle w:val="InternetLink"/>
                                      </w:rPr>
                                      <w:t xml:space="preserve">122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F2CD">
                                    <w:r>
                                      <w:rPr>
                                        <w:rStyle w:val="InternetLink"/>
                                        <w:b/>
                                      </w:rPr>
                                      <w:t>Fiscal 2026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F2CD">
                                    <w:r>
                                      <w:rPr>
                                        <w:rStyle w:val="InternetLink"/>
                                        <w:color w:val="000080"/>
                                      </w:rPr>
                                      <w:t>122</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BASA">
                                    <w:r>
                                      <w:rPr>
                                        <w:rStyle w:val="InternetLink"/>
                                      </w:rPr>
                                      <w:t xml:space="preserve">Base Salary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AS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ACIA">
                                    <w:r>
                                      <w:rPr>
                                        <w:rStyle w:val="InternetLink"/>
                                      </w:rPr>
                                      <w:t xml:space="preserve">Annual Cash Incentive Awards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ACI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IC">
                                    <w:r>
                                      <w:rPr>
                                        <w:rStyle w:val="InternetLink"/>
                                      </w:rPr>
                                      <w:t xml:space="preserve">Long-Term Incentive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IC">
                                    <w:r>
                                      <w:rPr>
                                        <w:rStyle w:val="InternetLink"/>
                                      </w:rPr>
                                      <w:t xml:space="preserve">126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ETR">
                                    <w:r>
                                      <w:rPr>
                                        <w:rStyle w:val="InternetLink"/>
                                      </w:rPr>
                                      <w:t xml:space="preserve">129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231" w:type="dxa"/>
                                  <w:tcBorders>
                                    <w:bottom w:val="single" w:sz="6" w:space="0" w:color="D8D8D8"/>
                                  </w:tcBorders>
                                  <w:tcMar>
                                    <w:bottom w:w="70" w:type="dxa"/>
                                  </w:tcMar>
                                  <w:vAlign w:val="center"/>
                                </w:tcPr>
                                <w:p>
                                  <w:pPr>
                                    <w:pStyle w:val="TableContents"/>
                                    <w:bidi w:val="0"/>
                                    <w:spacing w:before="0" w:after="0"/>
                                    <w:jc w:val="left"/>
                                    <w:rPr/>
                                  </w:pPr>
                                  <w:hyperlink w:anchor="tOCT">
                                    <w:r>
                                      <w:rPr>
                                        <w:rStyle w:val="InternetLink"/>
                                        <w:b/>
                                      </w:rPr>
                                      <w:t>Other Compensation Topics</w:t>
                                    </w:r>
                                  </w:hyperlink>
                                  <w:r>
                                    <w:rPr>
                                      <w:b/>
                                    </w:rPr>
                                    <w:t xml:space="preserve"> </w:t>
                                  </w:r>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0"/>
                                    <w:jc w:val="right"/>
                                    <w:rPr>
                                      <w:color w:val="00BC6F"/>
                                    </w:rPr>
                                  </w:pPr>
                                  <w:r>
                                    <w:rPr>
                                      <w:color w:val="00BC6F"/>
                                    </w:rPr>
                                    <w:t>​</w:t>
                                  </w:r>
                                </w:p>
                              </w:tc>
                              <w:tc>
                                <w:tcPr>
                                  <w:tcW w:w="526" w:type="dxa"/>
                                  <w:tcBorders>
                                    <w:bottom w:val="single" w:sz="6" w:space="0" w:color="D8D8D8"/>
                                  </w:tcBorders>
                                  <w:shd w:fill="D8D8D8" w:val="clear"/>
                                  <w:tcMar>
                                    <w:bottom w:w="70" w:type="dxa"/>
                                  </w:tcMar>
                                  <w:vAlign w:val="center"/>
                                </w:tcPr>
                                <w:p>
                                  <w:pPr>
                                    <w:pStyle w:val="TableContents"/>
                                    <w:bidi w:val="0"/>
                                    <w:spacing w:before="0" w:after="0"/>
                                    <w:jc w:val="right"/>
                                    <w:rPr/>
                                  </w:pPr>
                                  <w:hyperlink w:anchor="tOCT">
                                    <w:r>
                                      <w:rPr>
                                        <w:rStyle w:val="InternetLink"/>
                                        <w:color w:val="000080"/>
                                      </w:rPr>
                                      <w:t>130</w:t>
                                    </w:r>
                                  </w:hyperlink>
                                  <w:r>
                                    <w:rPr>
                                      <w:color w:val="00BC6F"/>
                                    </w:rPr>
                                    <w:t xml:space="preserve"> </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325pt;mso-wrap-distance-left:24pt;mso-wrap-distance-right:0pt;mso-wrap-distance-top:0pt;mso-wrap-distance-bottom:0pt;margin-top:0pt;mso-position-vertical:top;mso-position-vertical-relative:text;margin-left:24pt;mso-position-horizontal:left;mso-position-horizontal-relative:text">
                <v:textbox>
                  <w:txbxContent>
                    <w:tbl>
                      <w:tblPr>
                        <w:tblW w:w="5580" w:type="dxa"/>
                        <w:jc w:val="left"/>
                        <w:tblInd w:w="0" w:type="dxa"/>
                        <w:tblLayout w:type="fixed"/>
                        <w:tblCellMar>
                          <w:top w:w="0" w:type="dxa"/>
                          <w:left w:w="0" w:type="dxa"/>
                          <w:bottom w:w="28" w:type="dxa"/>
                          <w:right w:w="0" w:type="dxa"/>
                        </w:tblCellMar>
                      </w:tblPr>
                      <w:tblGrid>
                        <w:gridCol w:w="124"/>
                        <w:gridCol w:w="4231"/>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CPAP">
                              <w:r>
                                <w:rPr>
                                  <w:rStyle w:val="InternetLink"/>
                                  <w:b/>
                                </w:rPr>
                                <w:t>Compensation Policies and Practices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CPAP">
                              <w:r>
                                <w:rPr>
                                  <w:rStyle w:val="InternetLink"/>
                                  <w:color w:val="000080"/>
                                </w:rPr>
                                <w:t>119</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HWMC">
                              <w:r>
                                <w:rPr>
                                  <w:rStyle w:val="InternetLink"/>
                                  <w:b/>
                                </w:rPr>
                                <w:t>How We Make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HWMC">
                              <w:r>
                                <w:rPr>
                                  <w:rStyle w:val="InternetLink"/>
                                  <w:color w:val="000080"/>
                                </w:rPr>
                                <w:t>120</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RAR">
                              <w:r>
                                <w:rPr>
                                  <w:rStyle w:val="InternetLink"/>
                                </w:rPr>
                                <w:t xml:space="preserve">Roles and Responsibilities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RAR">
                              <w:r>
                                <w:rPr>
                                  <w:rStyle w:val="InternetLink"/>
                                </w:rPr>
                                <w:t xml:space="preserve">120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CPG">
                              <w:r>
                                <w:rPr>
                                  <w:rStyle w:val="InternetLink"/>
                                </w:rPr>
                                <w:t xml:space="preserve">Compensation Peer Group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CPG">
                              <w:r>
                                <w:rPr>
                                  <w:rStyle w:val="InternetLink"/>
                                </w:rPr>
                                <w:t xml:space="preserve">122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F2CD">
                              <w:r>
                                <w:rPr>
                                  <w:rStyle w:val="InternetLink"/>
                                  <w:b/>
                                </w:rPr>
                                <w:t>Fiscal 2026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F2CD">
                              <w:r>
                                <w:rPr>
                                  <w:rStyle w:val="InternetLink"/>
                                  <w:color w:val="000080"/>
                                </w:rPr>
                                <w:t>122</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BASA">
                              <w:r>
                                <w:rPr>
                                  <w:rStyle w:val="InternetLink"/>
                                </w:rPr>
                                <w:t xml:space="preserve">Base Salary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AS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ACIA">
                              <w:r>
                                <w:rPr>
                                  <w:rStyle w:val="InternetLink"/>
                                </w:rPr>
                                <w:t xml:space="preserve">Annual Cash Incentive Awards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ACI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IC">
                              <w:r>
                                <w:rPr>
                                  <w:rStyle w:val="InternetLink"/>
                                </w:rPr>
                                <w:t xml:space="preserve">Long-Term Incentive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IC">
                              <w:r>
                                <w:rPr>
                                  <w:rStyle w:val="InternetLink"/>
                                </w:rPr>
                                <w:t xml:space="preserve">126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ETR">
                              <w:r>
                                <w:rPr>
                                  <w:rStyle w:val="InternetLink"/>
                                </w:rPr>
                                <w:t xml:space="preserve">129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231" w:type="dxa"/>
                            <w:tcBorders>
                              <w:bottom w:val="single" w:sz="6" w:space="0" w:color="D8D8D8"/>
                            </w:tcBorders>
                            <w:tcMar>
                              <w:bottom w:w="70" w:type="dxa"/>
                            </w:tcMar>
                            <w:vAlign w:val="center"/>
                          </w:tcPr>
                          <w:p>
                            <w:pPr>
                              <w:pStyle w:val="TableContents"/>
                              <w:bidi w:val="0"/>
                              <w:spacing w:before="0" w:after="0"/>
                              <w:jc w:val="left"/>
                              <w:rPr/>
                            </w:pPr>
                            <w:hyperlink w:anchor="tOCT">
                              <w:r>
                                <w:rPr>
                                  <w:rStyle w:val="InternetLink"/>
                                  <w:b/>
                                </w:rPr>
                                <w:t>Other Compensation Topics</w:t>
                              </w:r>
                            </w:hyperlink>
                            <w:r>
                              <w:rPr>
                                <w:b/>
                              </w:rPr>
                              <w:t xml:space="preserve"> </w:t>
                            </w:r>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0"/>
                              <w:jc w:val="right"/>
                              <w:rPr>
                                <w:color w:val="00BC6F"/>
                              </w:rPr>
                            </w:pPr>
                            <w:r>
                              <w:rPr>
                                <w:color w:val="00BC6F"/>
                              </w:rPr>
                              <w:t>​</w:t>
                            </w:r>
                          </w:p>
                        </w:tc>
                        <w:tc>
                          <w:tcPr>
                            <w:tcW w:w="526" w:type="dxa"/>
                            <w:tcBorders>
                              <w:bottom w:val="single" w:sz="6" w:space="0" w:color="D8D8D8"/>
                            </w:tcBorders>
                            <w:shd w:fill="D8D8D8" w:val="clear"/>
                            <w:tcMar>
                              <w:bottom w:w="70" w:type="dxa"/>
                            </w:tcMar>
                            <w:vAlign w:val="center"/>
                          </w:tcPr>
                          <w:p>
                            <w:pPr>
                              <w:pStyle w:val="TableContents"/>
                              <w:bidi w:val="0"/>
                              <w:spacing w:before="0" w:after="0"/>
                              <w:jc w:val="right"/>
                              <w:rPr/>
                            </w:pPr>
                            <w:hyperlink w:anchor="tOCT">
                              <w:r>
                                <w:rPr>
                                  <w:rStyle w:val="InternetLink"/>
                                  <w:color w:val="000080"/>
                                </w:rPr>
                                <w:t>130</w:t>
                              </w:r>
                            </w:hyperlink>
                            <w:r>
                              <w:rPr>
                                <w:color w:val="00BC6F"/>
                              </w:rPr>
                              <w:t xml:space="preserve"> </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320" w:before="48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Named Executive Officers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Compensation Discussion and Analysis describes the compensation program for our Named Executive Officers (collectively the “Named Executive Officers” or “NEOs”) for fiscal 2026, which ended on March 31, 2026. The following individuals are our current executive officers, each of whom is an NEO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2390775"/>
            <wp:effectExtent l="0" t="0" r="0" b="0"/>
            <wp:docPr id="49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7" descr=""/>
                    <pic:cNvPicPr>
                      <a:picLocks noChangeAspect="1" noChangeArrowheads="1"/>
                    </pic:cNvPicPr>
                  </pic:nvPicPr>
                  <pic:blipFill>
                    <a:blip r:embed="rId28"/>
                    <a:stretch>
                      <a:fillRect/>
                    </a:stretch>
                  </pic:blipFill>
                  <pic:spPr bwMode="auto">
                    <a:xfrm>
                      <a:off x="0" y="0"/>
                      <a:ext cx="6696075" cy="2390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Mohsin Hussain, our former Chief Technology Officer, is a Named Executive Officer for fiscal 2026. He ceased serving in his role as Chief Technology Officer effective March 31, 2026. Mr. Hussain’s departure constituted a termination without cause for purposes of his severance arrangement. For more information see “</w:t>
      </w:r>
      <w:r>
        <w:rPr>
          <w:rFonts w:ascii="Arial;Helvetica;sans-serif" w:hAnsi="Arial;Helvetica;sans-serif"/>
          <w:b w:val="false"/>
          <w:i/>
          <w:caps w:val="false"/>
          <w:smallCaps w:val="false"/>
          <w:color w:val="000000"/>
          <w:sz w:val="20"/>
        </w:rPr>
        <w:t>Leadership Transition — Chief Technology Officer Departure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EXSU"/>
      <w:bookmarkEnd w:id="131"/>
      <w:r>
        <w:rPr>
          <w:rFonts w:ascii="calibri;arial;sans-serif" w:hAnsi="calibri;arial;sans-serif"/>
          <w:b w:val="false"/>
          <w:i w:val="false"/>
          <w:caps w:val="false"/>
          <w:smallCaps w:val="false"/>
          <w:color w:val="000000"/>
          <w:sz w:val="16"/>
        </w:rPr>
        <w:t>​</w:t>
      </w:r>
      <w:bookmarkStart w:id="132" w:name="tF2PH"/>
      <w:bookmarkEnd w:id="132"/>
      <w:r>
        <w:rPr>
          <w:rFonts w:ascii="calibri;arial;sans-serif" w:hAnsi="calibri;arial;sans-serif"/>
          <w:b w:val="false"/>
          <w:i w:val="false"/>
          <w:caps w:val="false"/>
          <w:smallCaps w:val="false"/>
          <w:color w:val="000000"/>
          <w:sz w:val="16"/>
        </w:rPr>
        <w:t>​</w:t>
      </w:r>
      <w:bookmarkStart w:id="133" w:name="tPROB"/>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Executive Summary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Fiscal 2026 Performance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highlights certain of the Company’s financial results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3857625"/>
            <wp:effectExtent l="0" t="0" r="0" b="0"/>
            <wp:docPr id="49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8" descr=""/>
                    <pic:cNvPicPr>
                      <a:picLocks noChangeAspect="1" noChangeArrowheads="1"/>
                    </pic:cNvPicPr>
                  </pic:nvPicPr>
                  <pic:blipFill>
                    <a:blip r:embed="rId29"/>
                    <a:stretch>
                      <a:fillRect/>
                    </a:stretch>
                  </pic:blipFill>
                  <pic:spPr bwMode="auto">
                    <a:xfrm>
                      <a:off x="0" y="0"/>
                      <a:ext cx="6696075" cy="38576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Program Objectives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executive compensation objectives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Align the interests of our executive officers, including our NEOs, with those of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Consider stockholder feedback when making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Maintain transparent compensation arrangements that provide a strong link between compensation and performance and motivate our executive officers, to achieve the highest level of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Attract and retain exceptional executive officers, through clear, market-based compensation plans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0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As discussed below, we believe our executive compensation program meets these objectives by rewarding the performance and contributions of our executive officers for their contributions to company performance, including the execution of our long-term business strategy.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PRFR"/>
      <w:bookmarkEnd w:id="134"/>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Program Framework</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applied the framework reflected in the following chart to achieve our executive compensation program objectives in fiscal 2026. The three compensation elements were allocated so that the majority of each NEO’s annual target total direct compensation opportunity was “at-risk” and subject to performance-based requirements. While the exact compensation mix may vary from year to year, the goal is to achieve our compensation objectives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62675" cy="4924425"/>
            <wp:effectExtent l="0" t="0" r="0" b="0"/>
            <wp:docPr id="50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9" descr=""/>
                    <pic:cNvPicPr>
                      <a:picLocks noChangeAspect="1" noChangeArrowheads="1"/>
                    </pic:cNvPicPr>
                  </pic:nvPicPr>
                  <pic:blipFill>
                    <a:blip r:embed="rId30"/>
                    <a:stretch>
                      <a:fillRect/>
                    </a:stretch>
                  </pic:blipFill>
                  <pic:spPr bwMode="auto">
                    <a:xfrm>
                      <a:off x="0" y="0"/>
                      <a:ext cx="6162675" cy="492442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6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Mr. Sharma was a participant in the LiveRamp sales commission plan given his commercial leadership role. The commission plan is based on various sales and revenue targets in our U.S. and international markets. </w:t>
      </w:r>
      <w:r>
        <mc:AlternateContent>
          <mc:Choice Requires="wps">
            <w:drawing>
              <wp:anchor behindDoc="0" distT="165100" distB="0" distL="0" distR="0" simplePos="0" locked="0" layoutInCell="1" allowOverlap="1" relativeHeight="519">
                <wp:simplePos x="0" y="0"/>
                <wp:positionH relativeFrom="column">
                  <wp:align>left</wp:align>
                </wp:positionH>
                <wp:positionV relativeFrom="line">
                  <wp:align>top</wp:align>
                </wp:positionV>
                <wp:extent cx="254000" cy="254000"/>
                <wp:effectExtent l="0" t="0" r="0" b="0"/>
                <wp:wrapSquare wrapText="right"/>
                <wp:docPr id="505" name="Frame4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rFonts w:ascii="Arial;Helvetica;sans-serif" w:hAnsi="Arial;Helvetica;sans-serif"/>
                                <w:sz w:val="16"/>
                              </w:rPr>
                            </w:pPr>
                            <w:r>
                              <w:rPr>
                                <w:rFonts w:ascii="Arial;Helvetica;sans-serif" w:hAnsi="Arial;Helvetica;sans-serif"/>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00" w:before="0" w:after="283"/>
                        <w:jc w:val="both"/>
                        <w:rPr>
                          <w:rFonts w:ascii="Arial;Helvetica;sans-serif" w:hAnsi="Arial;Helvetica;sans-serif"/>
                          <w:sz w:val="16"/>
                        </w:rPr>
                      </w:pPr>
                      <w:r>
                        <w:rPr>
                          <w:rFonts w:ascii="Arial;Helvetica;sans-serif" w:hAnsi="Arial;Helvetica;sans-serif"/>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BPM"/>
      <w:bookmarkEnd w:id="135"/>
      <w:r>
        <w:rPr>
          <w:rFonts w:ascii="calibri;arial;sans-serif" w:hAnsi="calibri;arial;sans-serif"/>
          <w:b w:val="false"/>
          <w:i w:val="false"/>
          <w:caps w:val="false"/>
          <w:smallCaps w:val="false"/>
          <w:color w:val="000000"/>
          <w:sz w:val="16"/>
        </w:rPr>
        <w:t>​</w:t>
      </w:r>
      <w:bookmarkStart w:id="136" w:name="t2TTD"/>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Balanced Performance Measures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our meaningful compensation design framework, the Talent and Compensation Committee seeks to select a variety of balanced performance measures, both absolute and relative, to incent increased growth both in the short term and long term. The performance measures used in our fiscal 2026 executive compensation program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3482"/>
        <w:gridCol w:w="109"/>
        <w:gridCol w:w="109"/>
        <w:gridCol w:w="193"/>
        <w:gridCol w:w="193"/>
        <w:gridCol w:w="509"/>
        <w:gridCol w:w="195"/>
        <w:gridCol w:w="109"/>
        <w:gridCol w:w="109"/>
        <w:gridCol w:w="208"/>
        <w:gridCol w:w="208"/>
        <w:gridCol w:w="548"/>
        <w:gridCol w:w="211"/>
        <w:gridCol w:w="109"/>
        <w:gridCol w:w="109"/>
        <w:gridCol w:w="232"/>
        <w:gridCol w:w="232"/>
        <w:gridCol w:w="611"/>
        <w:gridCol w:w="233"/>
        <w:gridCol w:w="109"/>
        <w:gridCol w:w="109"/>
        <w:gridCol w:w="232"/>
        <w:gridCol w:w="232"/>
        <w:gridCol w:w="611"/>
        <w:gridCol w:w="233"/>
        <w:gridCol w:w="166"/>
      </w:tblGrid>
      <w:tr>
        <w:trPr/>
        <w:tc>
          <w:tcPr>
            <w:tcW w:w="124" w:type="dxa"/>
            <w:tcBorders>
              <w:bottom w:val="single" w:sz="2" w:space="0" w:color="000000"/>
            </w:tcBorders>
            <w:shd w:fill="D8D8D8" w:val="clear"/>
            <w:vAlign w:val="center"/>
          </w:tcPr>
          <w:p>
            <w:pPr>
              <w:pStyle w:val="TableContents"/>
              <w:bidi w:val="0"/>
              <w:spacing w:before="0" w:after="283"/>
              <w:jc w:val="left"/>
              <w:rPr/>
            </w:pPr>
            <w:r>
              <w:rPr/>
              <w:t>​</w:t>
            </w:r>
          </w:p>
        </w:tc>
        <w:tc>
          <w:tcPr>
            <w:tcW w:w="3482" w:type="dxa"/>
            <w:tcBorders>
              <w:bottom w:val="single" w:sz="2" w:space="0" w:color="000000"/>
            </w:tcBorders>
            <w:shd w:fill="D8D8D8" w:val="clear"/>
            <w:tcMar>
              <w:bottom w:w="46" w:type="dxa"/>
            </w:tcMar>
            <w:vAlign w:val="center"/>
          </w:tcPr>
          <w:p>
            <w:pPr>
              <w:pStyle w:val="TableContents"/>
              <w:bidi w:val="0"/>
              <w:spacing w:before="0" w:after="283"/>
              <w:jc w:val="left"/>
              <w:rPr/>
            </w:pPr>
            <w:r>
              <w:rPr/>
              <w:t>Fiscal 2026</w:t>
              <w:br/>
              <w:t xml:space="preserve">Performance Measures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0"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Cash</w:t>
              <w:br/>
              <w:t xml:space="preserve">Incentives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175"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Time Vested</w:t>
              <w:br/>
              <w:t>Restricted</w:t>
              <w:br/>
              <w:t xml:space="preserve">Stock Units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308"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“Rule of 40”</w:t>
              <w:br/>
              <w:t>Performance</w:t>
              <w:br/>
              <w:t xml:space="preserve">Stock Units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308"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 TSR</w:t>
              <w:br/>
              <w:t>Performance</w:t>
              <w:br/>
              <w:t xml:space="preserve">Stock Units </w:t>
            </w:r>
          </w:p>
        </w:tc>
        <w:tc>
          <w:tcPr>
            <w:tcW w:w="166"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8740" cy="175260"/>
                      <wp:effectExtent l="0" t="0" r="0" b="0"/>
                      <wp:wrapNone/>
                      <wp:docPr id="506" name="Frame4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Adjusted Revenue </w:t>
            </w:r>
            <w:r>
              <mc:AlternateContent>
                <mc:Choice Requires="wps">
                  <w:drawing>
                    <wp:anchor behindDoc="0" distT="0" distB="0" distL="0" distR="0" simplePos="0" locked="0" layoutInCell="1" allowOverlap="1" relativeHeight="521">
                      <wp:simplePos x="0" y="0"/>
                      <wp:positionH relativeFrom="page">
                        <wp:posOffset>-12700</wp:posOffset>
                      </wp:positionH>
                      <wp:positionV relativeFrom="line">
                        <wp:posOffset>635</wp:posOffset>
                      </wp:positionV>
                      <wp:extent cx="2211070" cy="175260"/>
                      <wp:effectExtent l="0" t="0" r="0" b="0"/>
                      <wp:wrapNone/>
                      <wp:docPr id="507" name="Frame478"/>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08"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09"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0"/>
              <w:jc w:val="right"/>
              <w:rPr/>
            </w:pPr>
            <w:r>
              <w:rPr/>
              <w:t>​</w:t>
            </w:r>
          </w:p>
        </w:tc>
        <w:tc>
          <w:tcPr>
            <w:tcW w:w="509" w:type="dxa"/>
            <w:tcBorders/>
            <w:tcMar>
              <w:bottom w:w="0" w:type="dxa"/>
            </w:tcMar>
            <w:vAlign w:val="center"/>
          </w:tcPr>
          <w:p>
            <w:pPr>
              <w:pStyle w:val="TableContents"/>
              <w:bidi w:val="0"/>
              <w:spacing w:before="0" w:after="0"/>
              <w:jc w:val="right"/>
              <w:rPr>
                <w:b/>
              </w:rPr>
            </w:pPr>
            <w:r>
              <w:rPr>
                <w:b/>
              </w:rPr>
              <w:t xml:space="preserve">X </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10"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11" name="Frame4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12"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13"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14" name="Frame4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15" name="Frame4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5410" cy="175260"/>
                      <wp:effectExtent l="0" t="0" r="0" b="0"/>
                      <wp:wrapNone/>
                      <wp:docPr id="516" name="Frame48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78740" cy="175260"/>
                      <wp:effectExtent l="0" t="0" r="0" b="0"/>
                      <wp:wrapNone/>
                      <wp:docPr id="517" name="Frame48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Non-GAAP EBIT </w:t>
            </w:r>
            <w:r>
              <mc:AlternateContent>
                <mc:Choice Requires="wps">
                  <w:drawing>
                    <wp:anchor behindDoc="0" distT="0" distB="0" distL="0" distR="0" simplePos="0" locked="0" layoutInCell="1" allowOverlap="1" relativeHeight="532">
                      <wp:simplePos x="0" y="0"/>
                      <wp:positionH relativeFrom="page">
                        <wp:posOffset>-12700</wp:posOffset>
                      </wp:positionH>
                      <wp:positionV relativeFrom="line">
                        <wp:posOffset>635</wp:posOffset>
                      </wp:positionV>
                      <wp:extent cx="2211070" cy="175260"/>
                      <wp:effectExtent l="0" t="0" r="0" b="0"/>
                      <wp:wrapNone/>
                      <wp:docPr id="518" name="Frame489"/>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19" name="Frame4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20"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0"/>
              <w:jc w:val="right"/>
              <w:rPr/>
            </w:pPr>
            <w:r>
              <w:rPr/>
              <w:t>​</w:t>
            </w:r>
          </w:p>
        </w:tc>
        <w:tc>
          <w:tcPr>
            <w:tcW w:w="509" w:type="dxa"/>
            <w:tcBorders/>
            <w:tcMar>
              <w:bottom w:w="0" w:type="dxa"/>
            </w:tcMar>
            <w:vAlign w:val="center"/>
          </w:tcPr>
          <w:p>
            <w:pPr>
              <w:pStyle w:val="TableContents"/>
              <w:bidi w:val="0"/>
              <w:spacing w:before="0" w:after="0"/>
              <w:jc w:val="right"/>
              <w:rPr>
                <w:b/>
              </w:rPr>
            </w:pPr>
            <w:r>
              <w:rPr>
                <w:b/>
              </w:rPr>
              <w:t xml:space="preserve">X </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260"/>
                      <wp:effectExtent l="0" t="0" r="0" b="0"/>
                      <wp:wrapNone/>
                      <wp:docPr id="521" name="Frame4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22"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23"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9215" cy="175260"/>
                      <wp:effectExtent l="0" t="0" r="0" b="0"/>
                      <wp:wrapNone/>
                      <wp:docPr id="524" name="Frame4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25"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26"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05410" cy="175260"/>
                      <wp:effectExtent l="0" t="0" r="0" b="0"/>
                      <wp:wrapNone/>
                      <wp:docPr id="527" name="Frame49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8740" cy="175260"/>
                      <wp:effectExtent l="0" t="0" r="0" b="0"/>
                      <wp:wrapNone/>
                      <wp:docPr id="528" name="Frame49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Long-Term Revenue Growth and EBITDA Margin (3-Year) </w:t>
            </w:r>
            <w:r>
              <mc:AlternateContent>
                <mc:Choice Requires="wps">
                  <w:drawing>
                    <wp:anchor behindDoc="0" distT="0" distB="0" distL="0" distR="0" simplePos="0" locked="0" layoutInCell="1" allowOverlap="1" relativeHeight="543">
                      <wp:simplePos x="0" y="0"/>
                      <wp:positionH relativeFrom="page">
                        <wp:posOffset>-12700</wp:posOffset>
                      </wp:positionH>
                      <wp:positionV relativeFrom="line">
                        <wp:posOffset>635</wp:posOffset>
                      </wp:positionV>
                      <wp:extent cx="2211070" cy="175260"/>
                      <wp:effectExtent l="0" t="0" r="0" b="0"/>
                      <wp:wrapNone/>
                      <wp:docPr id="529" name="Frame500"/>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9215" cy="175260"/>
                      <wp:effectExtent l="0" t="0" r="0" b="0"/>
                      <wp:wrapNone/>
                      <wp:docPr id="530" name="Frame5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31"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32"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33" name="Frame5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215" cy="175260"/>
                      <wp:effectExtent l="0" t="0" r="0" b="0"/>
                      <wp:wrapNone/>
                      <wp:docPr id="534" name="Frame5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35"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0"/>
              <w:jc w:val="right"/>
              <w:rPr/>
            </w:pPr>
            <w:r>
              <w:rPr/>
              <w:t>​</w:t>
            </w:r>
          </w:p>
        </w:tc>
        <w:tc>
          <w:tcPr>
            <w:tcW w:w="611" w:type="dxa"/>
            <w:tcBorders/>
            <w:tcMar>
              <w:bottom w:w="0" w:type="dxa"/>
            </w:tcMar>
            <w:vAlign w:val="center"/>
          </w:tcPr>
          <w:p>
            <w:pPr>
              <w:pStyle w:val="TableContents"/>
              <w:bidi w:val="0"/>
              <w:spacing w:before="0" w:after="0"/>
              <w:jc w:val="right"/>
              <w:rPr>
                <w:b/>
              </w:rPr>
            </w:pPr>
            <w:r>
              <w:rPr>
                <w:b/>
              </w:rPr>
              <w:t xml:space="preserve">X </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9215" cy="175260"/>
                      <wp:effectExtent l="0" t="0" r="0" b="0"/>
                      <wp:wrapNone/>
                      <wp:docPr id="536" name="Frame5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37"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05410" cy="175260"/>
                      <wp:effectExtent l="0" t="0" r="0" b="0"/>
                      <wp:wrapNone/>
                      <wp:docPr id="538" name="Frame50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78740" cy="175260"/>
                      <wp:effectExtent l="0" t="0" r="0" b="0"/>
                      <wp:wrapNone/>
                      <wp:docPr id="539" name="Frame5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Relative Stock Price Performance </w:t>
            </w:r>
            <w:r>
              <mc:AlternateContent>
                <mc:Choice Requires="wps">
                  <w:drawing>
                    <wp:anchor behindDoc="0" distT="0" distB="0" distL="0" distR="0" simplePos="0" locked="0" layoutInCell="1" allowOverlap="1" relativeHeight="554">
                      <wp:simplePos x="0" y="0"/>
                      <wp:positionH relativeFrom="page">
                        <wp:posOffset>-12700</wp:posOffset>
                      </wp:positionH>
                      <wp:positionV relativeFrom="line">
                        <wp:posOffset>635</wp:posOffset>
                      </wp:positionV>
                      <wp:extent cx="2211070" cy="175260"/>
                      <wp:effectExtent l="0" t="0" r="0" b="0"/>
                      <wp:wrapNone/>
                      <wp:docPr id="540" name="Frame511"/>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41"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42"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43"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9215" cy="175260"/>
                      <wp:effectExtent l="0" t="0" r="0" b="0"/>
                      <wp:wrapNone/>
                      <wp:docPr id="544"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45" name="Frame5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46"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175260"/>
                      <wp:effectExtent l="0" t="0" r="0" b="0"/>
                      <wp:wrapNone/>
                      <wp:docPr id="547"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9215" cy="175260"/>
                      <wp:effectExtent l="0" t="0" r="0" b="0"/>
                      <wp:wrapNone/>
                      <wp:docPr id="548"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0"/>
              <w:jc w:val="right"/>
              <w:rPr/>
            </w:pPr>
            <w:r>
              <w:rPr/>
              <w:t>​</w:t>
            </w:r>
          </w:p>
        </w:tc>
        <w:tc>
          <w:tcPr>
            <w:tcW w:w="611" w:type="dxa"/>
            <w:tcBorders/>
            <w:tcMar>
              <w:bottom w:w="0" w:type="dxa"/>
            </w:tcMar>
            <w:vAlign w:val="center"/>
          </w:tcPr>
          <w:p>
            <w:pPr>
              <w:pStyle w:val="TableContents"/>
              <w:bidi w:val="0"/>
              <w:spacing w:before="0" w:after="0"/>
              <w:jc w:val="right"/>
              <w:rPr>
                <w:b/>
              </w:rPr>
            </w:pPr>
            <w:r>
              <w:rPr>
                <w:b/>
              </w:rPr>
              <w:t xml:space="preserve">X </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05410" cy="175260"/>
                      <wp:effectExtent l="0" t="0" r="0" b="0"/>
                      <wp:wrapNone/>
                      <wp:docPr id="549" name="Frame52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3482" w:type="dxa"/>
            <w:tcBorders>
              <w:bottom w:val="single" w:sz="6" w:space="0" w:color="00BC6F"/>
            </w:tcBorders>
            <w:tcMar>
              <w:bottom w:w="50" w:type="dxa"/>
            </w:tcMar>
            <w:vAlign w:val="center"/>
          </w:tcPr>
          <w:p>
            <w:pPr>
              <w:pStyle w:val="TableContents"/>
              <w:bidi w:val="0"/>
              <w:spacing w:before="0" w:after="283"/>
              <w:jc w:val="left"/>
              <w:rPr/>
            </w:pPr>
            <w:r>
              <w:rPr/>
              <w:t xml:space="preserve">Share Price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93" w:type="dxa"/>
            <w:tcBorders>
              <w:bottom w:val="single" w:sz="6" w:space="0" w:color="00BC6F"/>
            </w:tcBorders>
            <w:vAlign w:val="center"/>
          </w:tcPr>
          <w:p>
            <w:pPr>
              <w:pStyle w:val="TableContents"/>
              <w:bidi w:val="0"/>
              <w:spacing w:before="0" w:after="283"/>
              <w:jc w:val="left"/>
              <w:rPr/>
            </w:pPr>
            <w:r>
              <w:rPr/>
              <w:t>​</w:t>
            </w:r>
          </w:p>
        </w:tc>
        <w:tc>
          <w:tcPr>
            <w:tcW w:w="193" w:type="dxa"/>
            <w:tcBorders>
              <w:bottom w:val="single" w:sz="6" w:space="0" w:color="00BC6F"/>
            </w:tcBorders>
            <w:tcMar>
              <w:bottom w:w="80" w:type="dxa"/>
            </w:tcMar>
            <w:vAlign w:val="center"/>
          </w:tcPr>
          <w:p>
            <w:pPr>
              <w:pStyle w:val="TableContents"/>
              <w:bidi w:val="0"/>
              <w:spacing w:before="0" w:after="283"/>
              <w:jc w:val="right"/>
              <w:rPr/>
            </w:pPr>
            <w:r>
              <w:rPr/>
              <w:t>​</w:t>
            </w:r>
          </w:p>
        </w:tc>
        <w:tc>
          <w:tcPr>
            <w:tcW w:w="509" w:type="dxa"/>
            <w:tcBorders>
              <w:bottom w:val="single" w:sz="6" w:space="0" w:color="00BC6F"/>
            </w:tcBorders>
            <w:tcMar>
              <w:bottom w:w="80" w:type="dxa"/>
            </w:tcMar>
            <w:vAlign w:val="center"/>
          </w:tcPr>
          <w:p>
            <w:pPr>
              <w:pStyle w:val="TableContents"/>
              <w:bidi w:val="0"/>
              <w:spacing w:before="0" w:after="283"/>
              <w:jc w:val="right"/>
              <w:rPr/>
            </w:pPr>
            <w:r>
              <w:rPr/>
              <w:t>​</w:t>
            </w:r>
          </w:p>
        </w:tc>
        <w:tc>
          <w:tcPr>
            <w:tcW w:w="195"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08" w:type="dxa"/>
            <w:tcBorders>
              <w:bottom w:val="single" w:sz="6" w:space="0" w:color="00BC6F"/>
            </w:tcBorders>
            <w:vAlign w:val="center"/>
          </w:tcPr>
          <w:p>
            <w:pPr>
              <w:pStyle w:val="TableContents"/>
              <w:bidi w:val="0"/>
              <w:spacing w:before="0" w:after="283"/>
              <w:jc w:val="left"/>
              <w:rPr/>
            </w:pPr>
            <w:r>
              <w:rPr/>
              <w:t>​</w:t>
            </w:r>
          </w:p>
        </w:tc>
        <w:tc>
          <w:tcPr>
            <w:tcW w:w="208" w:type="dxa"/>
            <w:tcBorders>
              <w:bottom w:val="single" w:sz="6" w:space="0" w:color="00BC6F"/>
            </w:tcBorders>
            <w:tcMar>
              <w:bottom w:w="80" w:type="dxa"/>
            </w:tcMar>
            <w:vAlign w:val="center"/>
          </w:tcPr>
          <w:p>
            <w:pPr>
              <w:pStyle w:val="TableContents"/>
              <w:bidi w:val="0"/>
              <w:spacing w:before="0" w:after="0"/>
              <w:jc w:val="right"/>
              <w:rPr/>
            </w:pPr>
            <w:r>
              <w:rPr/>
              <w:t>​</w:t>
            </w:r>
          </w:p>
        </w:tc>
        <w:tc>
          <w:tcPr>
            <w:tcW w:w="548" w:type="dxa"/>
            <w:tcBorders>
              <w:bottom w:val="single" w:sz="6" w:space="0" w:color="00BC6F"/>
            </w:tcBorders>
            <w:tcMar>
              <w:bottom w:w="80" w:type="dxa"/>
            </w:tcMar>
            <w:vAlign w:val="center"/>
          </w:tcPr>
          <w:p>
            <w:pPr>
              <w:pStyle w:val="TableContents"/>
              <w:bidi w:val="0"/>
              <w:spacing w:before="0" w:after="0"/>
              <w:jc w:val="right"/>
              <w:rPr>
                <w:b/>
              </w:rPr>
            </w:pPr>
            <w:r>
              <w:rPr>
                <w:b/>
              </w:rPr>
              <w:t xml:space="preserve">X </w:t>
            </w:r>
          </w:p>
        </w:tc>
        <w:tc>
          <w:tcPr>
            <w:tcW w:w="211"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tcMar>
              <w:bottom w:w="80" w:type="dxa"/>
            </w:tcMar>
            <w:vAlign w:val="center"/>
          </w:tcPr>
          <w:p>
            <w:pPr>
              <w:pStyle w:val="TableContents"/>
              <w:bidi w:val="0"/>
              <w:spacing w:before="0" w:after="0"/>
              <w:jc w:val="right"/>
              <w:rPr/>
            </w:pPr>
            <w:r>
              <w:rPr/>
              <w:t>​</w:t>
            </w:r>
          </w:p>
        </w:tc>
        <w:tc>
          <w:tcPr>
            <w:tcW w:w="611" w:type="dxa"/>
            <w:tcBorders>
              <w:bottom w:val="single" w:sz="6" w:space="0" w:color="00BC6F"/>
            </w:tcBorders>
            <w:tcMar>
              <w:bottom w:w="80" w:type="dxa"/>
            </w:tcMar>
            <w:vAlign w:val="center"/>
          </w:tcPr>
          <w:p>
            <w:pPr>
              <w:pStyle w:val="TableContents"/>
              <w:bidi w:val="0"/>
              <w:spacing w:before="0" w:after="0"/>
              <w:jc w:val="right"/>
              <w:rPr>
                <w:b/>
              </w:rPr>
            </w:pPr>
            <w:r>
              <w:rPr>
                <w:b/>
              </w:rPr>
              <w:t xml:space="preserve">X </w:t>
            </w:r>
          </w:p>
        </w:tc>
        <w:tc>
          <w:tcPr>
            <w:tcW w:w="233"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tcMar>
              <w:bottom w:w="50" w:type="dxa"/>
            </w:tcMar>
            <w:vAlign w:val="center"/>
          </w:tcPr>
          <w:p>
            <w:pPr>
              <w:pStyle w:val="TableContents"/>
              <w:bidi w:val="0"/>
              <w:spacing w:before="0" w:after="0"/>
              <w:jc w:val="right"/>
              <w:rPr/>
            </w:pPr>
            <w:r>
              <w:rPr/>
              <w:t>​</w:t>
            </w:r>
          </w:p>
        </w:tc>
        <w:tc>
          <w:tcPr>
            <w:tcW w:w="611" w:type="dxa"/>
            <w:tcBorders>
              <w:bottom w:val="single" w:sz="6" w:space="0" w:color="00BC6F"/>
            </w:tcBorders>
            <w:tcMar>
              <w:bottom w:w="50" w:type="dxa"/>
            </w:tcMar>
            <w:vAlign w:val="center"/>
          </w:tcPr>
          <w:p>
            <w:pPr>
              <w:pStyle w:val="TableContents"/>
              <w:bidi w:val="0"/>
              <w:spacing w:before="0" w:after="0"/>
              <w:jc w:val="right"/>
              <w:rPr>
                <w:b/>
              </w:rPr>
            </w:pPr>
            <w:r>
              <w:rPr>
                <w:b/>
              </w:rPr>
              <w:t>X</w:t>
            </w:r>
          </w:p>
        </w:tc>
        <w:tc>
          <w:tcPr>
            <w:tcW w:w="233" w:type="dxa"/>
            <w:tcBorders>
              <w:bottom w:val="single" w:sz="6" w:space="0" w:color="00BC6F"/>
            </w:tcBorders>
            <w:vAlign w:val="center"/>
          </w:tcPr>
          <w:p>
            <w:pPr>
              <w:pStyle w:val="TableContents"/>
              <w:bidi w:val="0"/>
              <w:spacing w:before="0" w:after="283"/>
              <w:jc w:val="left"/>
              <w:rPr/>
            </w:pPr>
            <w:r>
              <w:rPr/>
              <w:t>​</w:t>
            </w:r>
          </w:p>
        </w:tc>
        <w:tc>
          <w:tcPr>
            <w:tcW w:w="166"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30" w:before="11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our executive compensation program holds our executive officers accountable for delivering on the financial objectives we have communicated to our stockholders, and appropriately balances the goals of attracting, motivating, rewarding and retaining our NEOs and other leadership team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24"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2026 Target Total Direct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target total direct compensation opportunities for our CEO and our other NEOs set forth below reflect our variable “pay for performance” compensation philosophy. Target total direct compensation is the sum of base salary, target annual cash incentive opportunity and target long-term incentive opportunity (certain percentages may not sum due to rounding).</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705600" cy="2514600"/>
            <wp:effectExtent l="0" t="0" r="0" b="0"/>
            <wp:docPr id="5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0" descr=""/>
                    <pic:cNvPicPr>
                      <a:picLocks noChangeAspect="1" noChangeArrowheads="1"/>
                    </pic:cNvPicPr>
                  </pic:nvPicPr>
                  <pic:blipFill>
                    <a:blip r:embed="rId31"/>
                    <a:stretch>
                      <a:fillRect/>
                    </a:stretch>
                  </pic:blipFill>
                  <pic:spPr bwMode="auto">
                    <a:xfrm>
                      <a:off x="0" y="0"/>
                      <a:ext cx="6705600" cy="25146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1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 For illustrative purposes, Mr. Sharma’s base salary and target cash incentive opportunity are presented above in U.S. dollars based on an exchange rate of 1.1106, which was the exchange rate on the date the Talent and Compensation Committee approved such amounts. His base salary and target cash incentive opportunity in euros were each €406,704.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4620" distB="0" distL="0" distR="0" simplePos="0" locked="0" layoutInCell="1" allowOverlap="1" relativeHeight="564">
                <wp:simplePos x="0" y="0"/>
                <wp:positionH relativeFrom="column">
                  <wp:align>left</wp:align>
                </wp:positionH>
                <wp:positionV relativeFrom="line">
                  <wp:align>top</wp:align>
                </wp:positionV>
                <wp:extent cx="254000" cy="254000"/>
                <wp:effectExtent l="0" t="0" r="0" b="0"/>
                <wp:wrapSquare wrapText="right"/>
                <wp:docPr id="551" name="Frame52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reflected in the charts above, we believe that our executive compensation program design incents our NEOs to drive both short-term and long-term growth. To ensure that our executive compensation program remains aligned with stockholder interests, the Talent and Compensation Committee regularly evaluates the relationship between the reported values of the equity awards granted to our NEOs, the amount of compensation realizable (and, ultimately, realized) from such awards in subsequent years, and our TSR over the relevant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5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disclose the estimated values of these equity awards in our Summary Compensation Table at the time of grant for each covered fiscal year, the actual economic value of these awards that may be realizable by our NEOs will vary, often significantly, based on the performance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F2CO"/>
      <w:bookmarkEnd w:id="137"/>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our executive compensation program holds our executive officers accountable for delivering on the financial objectives we have communicated to our stockholders, and appropriately balances the goals of attracting, motivating, rewarding, and retaining our NEOs and other leadership team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8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Fiscal 2026 Compensation Outcomes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tables below summarize the annual cash incentive payouts for 2026 (“Fiscal 2026 CIP”) and the fiscal 2024 performance-based restricted stock unit (“PSU”) award payouts that were earned in 2026. Our executive compensation program provides a strong link between pay and Company performance. We believe the payouts below evidence LiveRamp’s ongoing commitment to align executive pay with performance and stockholder interests during this time of continued pressure on our stock price. In fiscal 2026, all of the NEOs except Mr. Sharma participated in the “Fiscal 2026 CIP” described above. Mr. Sharma’s annual cash incentive opportunity was based on a sales commission plan that aligned with his responsibilities as Chief Revenue Officer. See “</w:t>
      </w:r>
      <w:r>
        <w:rPr>
          <w:rFonts w:ascii="Arial;Helvetica;sans-serif" w:hAnsi="Arial;Helvetica;sans-serif"/>
          <w:b w:val="false"/>
          <w:i/>
          <w:caps w:val="false"/>
          <w:smallCaps w:val="false"/>
          <w:color w:val="000000"/>
          <w:sz w:val="20"/>
        </w:rPr>
        <w:t>Fiscal 2026 Compensation Decisions — Annual Cash Incentive Awards</w:t>
      </w:r>
      <w:r>
        <w:rPr>
          <w:rFonts w:ascii="Arial;Helvetica;sans-serif" w:hAnsi="Arial;Helvetica;sans-serif"/>
          <w:b w:val="false"/>
          <w:i w:val="false"/>
          <w:caps w:val="false"/>
          <w:smallCaps w:val="false"/>
          <w:color w:val="000000"/>
          <w:sz w:val="20"/>
        </w:rPr>
        <w:t>” for additional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6629400" cy="3076575"/>
            <wp:effectExtent l="0" t="0" r="0" b="0"/>
            <wp:docPr id="5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1" descr=""/>
                    <pic:cNvPicPr>
                      <a:picLocks noChangeAspect="1" noChangeArrowheads="1"/>
                    </pic:cNvPicPr>
                  </pic:nvPicPr>
                  <pic:blipFill>
                    <a:blip r:embed="rId32"/>
                    <a:stretch>
                      <a:fillRect/>
                    </a:stretch>
                  </pic:blipFill>
                  <pic:spPr bwMode="auto">
                    <a:xfrm>
                      <a:off x="0" y="0"/>
                      <a:ext cx="6629400" cy="3076575"/>
                    </a:xfrm>
                    <a:prstGeom prst="rect">
                      <a:avLst/>
                    </a:prstGeom>
                  </pic:spPr>
                </pic:pic>
              </a:graphicData>
            </a:graphic>
          </wp:inline>
        </w:drawing>
      </w:r>
      <w:r>
        <w:rPr>
          <w:caps w:val="false"/>
          <w:smallCaps w:val="false"/>
          <w:color w:val="000000"/>
        </w:rPr>
        <w:t xml:space="preserve"> </w:t>
      </w:r>
    </w:p>
    <w:p>
      <w:pPr>
        <w:pStyle w:val="TextBody"/>
        <w:bidi w:val="0"/>
        <w:spacing w:before="134" w:after="283"/>
        <w:jc w:val="center"/>
        <w:rPr>
          <w:caps w:val="false"/>
          <w:smallCaps w:val="false"/>
          <w:color w:val="000000"/>
        </w:rPr>
      </w:pPr>
      <w:r>
        <w:rPr>
          <w:caps w:val="false"/>
          <w:smallCaps w:val="false"/>
          <w:color w:val="000000"/>
        </w:rPr>
        <w:drawing>
          <wp:inline distT="0" distB="0" distL="0" distR="0">
            <wp:extent cx="6638925" cy="2981325"/>
            <wp:effectExtent l="0" t="0" r="0" b="0"/>
            <wp:docPr id="5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2" descr=""/>
                    <pic:cNvPicPr>
                      <a:picLocks noChangeAspect="1" noChangeArrowheads="1"/>
                    </pic:cNvPicPr>
                  </pic:nvPicPr>
                  <pic:blipFill>
                    <a:blip r:embed="rId33"/>
                    <a:stretch>
                      <a:fillRect/>
                    </a:stretch>
                  </pic:blipFill>
                  <pic:spPr bwMode="auto">
                    <a:xfrm>
                      <a:off x="0" y="0"/>
                      <a:ext cx="6638925" cy="29813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RAS"/>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Say-on-Pay Results and Stockholder Engagement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year at the annual meeting of stockholders, we conduct a non-binding, stockholder advisory vote to approve the compensation of our NEOs (commonly known as a “Say-on-Pay” vote). The Talent and Compensation Committee considers the results of our annual Say-on-Pay vote in determining our subsequent compensation policies and decisions and engages with our stockholders to obtain additional feedback on our executive compensation program and related pay decisions. At our 2025 annual meeting of stockholders, approximately 97.5% of the votes cast on the Say-on-Pay proposal were voted in favor of our executive compensation program. Accordingly, we did not make any significant changes to our compensation policies and practices in response to the Say-on-Pay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stockholders’ opinions on how we operate our business are very important to us. In fiscal 2026 we continued our ongoing stockholder engagement efforts. As part of these efforts, we engaged with many of our large stockholders to discuss our business and our executive compensation and governance policies and practices. The Talent and Compensation Committee gave careful consideration to the feedback received from these stockholders and as part of our ongoing governance process, incorporated the feedback into its decisions regarding the design of our executive compensation program in fiscal 2026 and beyond. Common themes we heard from our stockholder engagement in fiscal 2026 and the resulting actions include the following:</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109"/>
        <w:gridCol w:w="229"/>
        <w:gridCol w:w="109"/>
        <w:gridCol w:w="109"/>
        <w:gridCol w:w="2293"/>
        <w:gridCol w:w="109"/>
        <w:gridCol w:w="109"/>
        <w:gridCol w:w="109"/>
        <w:gridCol w:w="5960"/>
        <w:gridCol w:w="109"/>
        <w:gridCol w:w="156"/>
      </w:tblGrid>
      <w:tr>
        <w:trPr/>
        <w:tc>
          <w:tcPr>
            <w:tcW w:w="124" w:type="dxa"/>
            <w:tcBorders/>
            <w:shd w:fill="00000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93" w:type="dxa"/>
            <w:tcBorders/>
            <w:shd w:fill="D8D8D8" w:val="clear"/>
            <w:vAlign w:val="center"/>
          </w:tcPr>
          <w:p>
            <w:pPr>
              <w:pStyle w:val="TableContents"/>
              <w:bidi w:val="0"/>
              <w:spacing w:lineRule="atLeast" w:line="247" w:before="0" w:after="0"/>
              <w:jc w:val="left"/>
              <w:rPr/>
            </w:pPr>
            <w:r>
              <w:rPr/>
              <w:t xml:space="preserve">Our approach to </w:t>
              <w:br/>
              <w:t>investor engagement</w:t>
            </w:r>
          </w:p>
        </w:tc>
        <w:tc>
          <w:tcPr>
            <w:tcW w:w="109" w:type="dxa"/>
            <w:tcBorders/>
            <w:shd w:fill="D8D8D8"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60" w:type="dxa"/>
            <w:tcBorders/>
            <w:shd w:fill="D8D8D8" w:val="clear"/>
            <w:vAlign w:val="center"/>
          </w:tcPr>
          <w:p>
            <w:pPr>
              <w:pStyle w:val="TableContents"/>
              <w:bidi w:val="0"/>
              <w:spacing w:before="0" w:after="0"/>
              <w:jc w:val="left"/>
              <w:rPr/>
            </w:pPr>
            <w:r>
              <w:rPr/>
              <w:t>Topics discussed with our stockholders</w:t>
            </w:r>
          </w:p>
        </w:tc>
        <w:tc>
          <w:tcPr>
            <w:tcW w:w="109" w:type="dxa"/>
            <w:tcBorders/>
            <w:shd w:fill="D8D8D8" w:val="clear"/>
            <w:vAlign w:val="center"/>
          </w:tcPr>
          <w:p>
            <w:pPr>
              <w:pStyle w:val="TableContents"/>
              <w:bidi w:val="0"/>
              <w:spacing w:before="0" w:after="283"/>
              <w:jc w:val="left"/>
              <w:rPr/>
            </w:pPr>
            <w:r>
              <w:rPr/>
              <w:t>​</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lineRule="atLeast" w:line="240" w:before="0" w:after="0"/>
              <w:jc w:val="left"/>
              <w:rPr>
                <w:b/>
              </w:rPr>
            </w:pPr>
            <w:r>
              <w:rPr>
                <w:b/>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lineRule="atLeast" w:line="240" w:before="0" w:after="0"/>
              <w:jc w:val="left"/>
              <w:rPr/>
            </w:pPr>
            <w:r>
              <w:rPr>
                <w:b/>
              </w:rPr>
              <w:t>Proactive engagement with major stockholders</w:t>
            </w:r>
            <w:r>
              <w:rPr/>
              <w:t xml:space="preserve"> to gather their views on our business operations, executive compensation, and governance practices.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BC6F"/>
            </w:tcBorders>
            <w:tcMar>
              <w:bottom w:w="28" w:type="dxa"/>
            </w:tcMar>
            <w:vAlign w:val="center"/>
          </w:tcPr>
          <w:p>
            <w:pPr>
              <w:pStyle w:val="TableContents"/>
              <w:bidi w:val="0"/>
              <w:spacing w:before="0" w:after="283"/>
              <w:jc w:val="left"/>
              <w:rPr/>
            </w:pPr>
            <w:r>
              <w:rPr/>
              <w:t>​</w:t>
            </w:r>
          </w:p>
        </w:tc>
        <w:tc>
          <w:tcPr>
            <w:tcW w:w="5960" w:type="dxa"/>
            <w:vMerge w:val="restart"/>
            <w:tcBorders>
              <w:bottom w:val="single" w:sz="6" w:space="0" w:color="00BC6F"/>
            </w:tcBorders>
            <w:tcMar>
              <w:bottom w:w="70" w:type="dxa"/>
            </w:tcMar>
            <w:vAlign w:val="center"/>
          </w:tcPr>
          <w:p>
            <w:pPr>
              <w:pStyle w:val="TableContents"/>
              <w:bidi w:val="0"/>
              <w:spacing w:lineRule="atLeast" w:line="240" w:before="0" w:after="0"/>
              <w:jc w:val="left"/>
              <w:rPr/>
            </w:pPr>
            <w:r>
              <w:rPr>
                <w:b/>
                <w:color w:val="00BC6F"/>
              </w:rPr>
              <w:t>Managing burn rate and stock-based compensation expense</w:t>
            </w:r>
            <w:r>
              <w:rPr/>
              <w:t xml:space="preserve"> </w:t>
              <w:br/>
              <w:t>To maintain a competitive burn rate and better align stock-based compensation expense with peer companies and revenue growth, the Talent and Compensation Committee strategically maintained the reduced equity compensation eligibility for our employee population. Coupled with changes to hiring and annual equity refresh grants, this collectively aims to reinforce the equity compensation program’s core objective: linking employee compensation with stockholder interests and effectively attracting, motivating and retaining top talent.</w:t>
            </w:r>
          </w:p>
          <w:p>
            <w:pPr>
              <w:pStyle w:val="TableContents"/>
              <w:bidi w:val="0"/>
              <w:spacing w:lineRule="atLeast" w:line="240" w:before="240" w:after="283"/>
              <w:jc w:val="left"/>
              <w:rPr/>
            </w:pPr>
            <w:r>
              <w:rPr>
                <w:b/>
                <w:color w:val="00BC6F"/>
              </w:rPr>
              <w:t>Stockholders encouraged us to continue to emphasize stockholder-friendly performance metrics to ensure alignment of executive compensation payouts with driving stockholder return</w:t>
            </w:r>
            <w:r>
              <w:rPr/>
              <w:t xml:space="preserve"> </w:t>
              <w:br/>
              <w:t>The Talent and Compensation Committee approved the final attainment of PSUs granted in 2024, resulting in 97% of attainment for the Rule of 40 PSUs and relative TSR attainment of 94% because our three-year stock price performance relative to the Russell 2000 was in the 57</w:t>
            </w:r>
            <w:r>
              <w:rPr>
                <w:sz w:val="13"/>
              </w:rPr>
              <w:t>th</w:t>
            </w:r>
            <w:r>
              <w:rPr/>
              <w:t xml:space="preserve"> percentile of the market. Executives earned above target payouts under the Fiscal 2026 CIP consistent with our strong performance on key financial metrics for the year, while the PSUs granted in fiscal 2024 paid out slightly below target, consistent with our performance against our rigorous relative TSR and Rule of 40 goals over the measurement period. The results of our program demonstrate strong alignment of executive compensation with company performance. </w:t>
            </w:r>
          </w:p>
        </w:tc>
        <w:tc>
          <w:tcPr>
            <w:tcW w:w="109" w:type="dxa"/>
            <w:vMerge w:val="restart"/>
            <w:tcBorders>
              <w:bottom w:val="single" w:sz="6" w:space="0" w:color="00BC6F"/>
            </w:tcBorders>
            <w:tcMar>
              <w:bottom w:w="28" w:type="dxa"/>
            </w:tcMar>
            <w:vAlign w:val="center"/>
          </w:tcPr>
          <w:p>
            <w:pPr>
              <w:pStyle w:val="TableContents"/>
              <w:bidi w:val="0"/>
              <w:spacing w:before="0" w:after="283"/>
              <w:jc w:val="left"/>
              <w:rPr/>
            </w:pPr>
            <w:r>
              <w:rPr/>
              <w:t>​</w:t>
            </w:r>
          </w:p>
        </w:tc>
        <w:tc>
          <w:tcPr>
            <w:tcW w:w="156" w:type="dxa"/>
            <w:vMerge w:val="restart"/>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0"/>
              <w:jc w:val="left"/>
              <w:rPr>
                <w:b/>
              </w:rPr>
            </w:pPr>
            <w:r>
              <w:rPr>
                <w:b/>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before="0" w:after="283"/>
              <w:jc w:val="left"/>
              <w:rPr/>
            </w:pPr>
            <w:r>
              <w:rPr>
                <w:b/>
              </w:rPr>
              <w:t>Conducted direct outreach and discussions</w:t>
            </w:r>
            <w:r>
              <w:rPr/>
              <w:t xml:space="preserve"> to explain our compensation and governance policies to ensure transparency and alignment with stockholder expectations.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5960" w:type="dxa"/>
            <w:vMerge w:val="continue"/>
            <w:tcBorders>
              <w:bottom w:val="single" w:sz="6" w:space="0" w:color="00BC6F"/>
            </w:tcBorders>
            <w:tcMar>
              <w:bottom w:w="70" w:type="dxa"/>
            </w:tcMar>
            <w:vAlign w:val="center"/>
          </w:tcPr>
          <w:p>
            <w:pPr>
              <w:pStyle w:val="Normal"/>
              <w:bidi w:val="0"/>
              <w:jc w:val="left"/>
              <w:rPr/>
            </w:pPr>
            <w:r>
              <w:rPr/>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156" w:type="dxa"/>
            <w:vMerge w:val="continue"/>
            <w:tcBorders/>
            <w:shd w:fill="000000" w:val="clear"/>
            <w:vAlign w:val="center"/>
          </w:tcPr>
          <w:p>
            <w:pPr>
              <w:pStyle w:val="Normal"/>
              <w:bidi w:val="0"/>
              <w:jc w:val="left"/>
              <w:rPr/>
            </w:pPr>
            <w:r>
              <w:rPr/>
            </w:r>
          </w:p>
        </w:tc>
      </w:tr>
      <w:tr>
        <w:trPr/>
        <w:tc>
          <w:tcPr>
            <w:tcW w:w="124" w:type="dxa"/>
            <w:tcBorders>
              <w:bottom w:val="single" w:sz="6" w:space="0" w:color="00BC6F"/>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229" w:type="dxa"/>
            <w:tcBorders>
              <w:bottom w:val="single" w:sz="6" w:space="0" w:color="00BC6F"/>
            </w:tcBorders>
            <w:tcMar>
              <w:bottom w:w="120" w:type="dxa"/>
            </w:tcMar>
            <w:vAlign w:val="center"/>
          </w:tcPr>
          <w:p>
            <w:pPr>
              <w:pStyle w:val="TableContents"/>
              <w:bidi w:val="0"/>
              <w:spacing w:before="0" w:after="283"/>
              <w:jc w:val="left"/>
              <w:rPr/>
            </w:pPr>
            <w:r>
              <w:rPr/>
              <w:t>3.</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2293" w:type="dxa"/>
            <w:tcBorders>
              <w:bottom w:val="single" w:sz="6" w:space="0" w:color="00BC6F"/>
            </w:tcBorders>
            <w:tcMar>
              <w:bottom w:w="120" w:type="dxa"/>
            </w:tcMar>
            <w:vAlign w:val="center"/>
          </w:tcPr>
          <w:p>
            <w:pPr>
              <w:pStyle w:val="TableContents"/>
              <w:bidi w:val="0"/>
              <w:spacing w:before="0" w:after="283"/>
              <w:jc w:val="left"/>
              <w:rPr/>
            </w:pPr>
            <w:r>
              <w:rPr/>
              <w:t xml:space="preserve">The Talent and Compensation Committee reviewed and integrated stockholder feedback </w:t>
            </w:r>
            <w:r>
              <w:rPr>
                <w:b w:val="false"/>
              </w:rPr>
              <w:t>into the design of our executive compensation program for fiscal 2026 and beyond.</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5960" w:type="dxa"/>
            <w:vMerge w:val="continue"/>
            <w:tcBorders>
              <w:bottom w:val="single" w:sz="6" w:space="0" w:color="00BC6F"/>
            </w:tcBorders>
            <w:tcMar>
              <w:bottom w:w="70" w:type="dxa"/>
            </w:tcMar>
            <w:vAlign w:val="center"/>
          </w:tcPr>
          <w:p>
            <w:pPr>
              <w:pStyle w:val="Normal"/>
              <w:bidi w:val="0"/>
              <w:jc w:val="left"/>
              <w:rPr/>
            </w:pPr>
            <w:r>
              <w:rPr/>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156" w:type="dxa"/>
            <w:vMerge w:val="continue"/>
            <w:tcBorders/>
            <w:shd w:fill="000000" w:val="clear"/>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CPAP"/>
      <w:bookmarkEnd w:id="139"/>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Compensation Policies and Practices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endeavor to maintain sound executive compensation policies and practices, including compensation-related corporate governance standards, consistent with our executive compensation philosophy. We have implemented the following policies and practices, many of which are designed to either drive performance or discourage behaviors that we do not believe serve stockholders’ long-term interests.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327"/>
        <w:gridCol w:w="109"/>
        <w:gridCol w:w="109"/>
        <w:gridCol w:w="4274"/>
        <w:gridCol w:w="109"/>
        <w:gridCol w:w="109"/>
        <w:gridCol w:w="327"/>
        <w:gridCol w:w="109"/>
        <w:gridCol w:w="109"/>
        <w:gridCol w:w="3664"/>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9246" w:type="dxa"/>
            <w:gridSpan w:val="10"/>
            <w:tcBorders>
              <w:bottom w:val="single" w:sz="2" w:space="0" w:color="00BC6F"/>
            </w:tcBorders>
            <w:shd w:fill="D8D8D8" w:val="clear"/>
            <w:tcMar>
              <w:bottom w:w="44" w:type="dxa"/>
            </w:tcMar>
            <w:vAlign w:val="center"/>
          </w:tcPr>
          <w:p>
            <w:pPr>
              <w:pStyle w:val="TableContents"/>
              <w:bidi w:val="0"/>
              <w:spacing w:before="0" w:after="0"/>
              <w:jc w:val="center"/>
              <w:rPr/>
            </w:pPr>
            <w:r>
              <w:rPr/>
              <w:t xml:space="preserve">What We Do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78740" cy="175260"/>
                      <wp:effectExtent l="0" t="0" r="0" b="0"/>
                      <wp:wrapNone/>
                      <wp:docPr id="554" name="Frame5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66">
                      <wp:simplePos x="0" y="0"/>
                      <wp:positionH relativeFrom="page">
                        <wp:posOffset>-12700</wp:posOffset>
                      </wp:positionH>
                      <wp:positionV relativeFrom="line">
                        <wp:posOffset>635</wp:posOffset>
                      </wp:positionV>
                      <wp:extent cx="207645" cy="175260"/>
                      <wp:effectExtent l="0" t="0" r="0" b="0"/>
                      <wp:wrapNone/>
                      <wp:docPr id="555" name="Frame52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215" cy="175260"/>
                      <wp:effectExtent l="0" t="0" r="0" b="0"/>
                      <wp:wrapNone/>
                      <wp:docPr id="556"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57"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Use a pay-for-performance philosophy that links our executive officers’ target total direct compensation to corporate and individual performance </w:t>
            </w:r>
            <w:r>
              <mc:AlternateContent>
                <mc:Choice Requires="wps">
                  <w:drawing>
                    <wp:anchor behindDoc="0" distT="0" distB="0" distL="0" distR="0" simplePos="0" locked="0" layoutInCell="1" allowOverlap="1" relativeHeight="569">
                      <wp:simplePos x="0" y="0"/>
                      <wp:positionH relativeFrom="page">
                        <wp:posOffset>-12700</wp:posOffset>
                      </wp:positionH>
                      <wp:positionV relativeFrom="line">
                        <wp:posOffset>635</wp:posOffset>
                      </wp:positionV>
                      <wp:extent cx="2713990" cy="175260"/>
                      <wp:effectExtent l="0" t="0" r="0" b="0"/>
                      <wp:wrapNone/>
                      <wp:docPr id="558" name="Frame526"/>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59" name="Frame5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60"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72">
                      <wp:simplePos x="0" y="0"/>
                      <wp:positionH relativeFrom="page">
                        <wp:posOffset>-12700</wp:posOffset>
                      </wp:positionH>
                      <wp:positionV relativeFrom="line">
                        <wp:posOffset>635</wp:posOffset>
                      </wp:positionV>
                      <wp:extent cx="207645" cy="175260"/>
                      <wp:effectExtent l="0" t="0" r="0" b="0"/>
                      <wp:wrapNone/>
                      <wp:docPr id="561" name="Frame52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62"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9215" cy="175260"/>
                      <wp:effectExtent l="0" t="0" r="0" b="0"/>
                      <wp:wrapNone/>
                      <wp:docPr id="563" name="Frame5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Cap relative TSR PSU payouts at 100% if TSR is negative </w:t>
            </w:r>
            <w:r>
              <mc:AlternateContent>
                <mc:Choice Requires="wps">
                  <w:drawing>
                    <wp:anchor behindDoc="0" distT="0" distB="0" distL="0" distR="0" simplePos="0" locked="0" layoutInCell="1" allowOverlap="1" relativeHeight="575">
                      <wp:simplePos x="0" y="0"/>
                      <wp:positionH relativeFrom="page">
                        <wp:posOffset>-12700</wp:posOffset>
                      </wp:positionH>
                      <wp:positionV relativeFrom="line">
                        <wp:posOffset>635</wp:posOffset>
                      </wp:positionV>
                      <wp:extent cx="2326640" cy="175260"/>
                      <wp:effectExtent l="0" t="0" r="0" b="0"/>
                      <wp:wrapNone/>
                      <wp:docPr id="564" name="Frame532"/>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98425" cy="175260"/>
                      <wp:effectExtent l="0" t="0" r="0" b="0"/>
                      <wp:wrapNone/>
                      <wp:docPr id="565" name="Frame53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8740" cy="175260"/>
                      <wp:effectExtent l="0" t="0" r="0" b="0"/>
                      <wp:wrapNone/>
                      <wp:docPr id="566" name="Frame5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78">
                      <wp:simplePos x="0" y="0"/>
                      <wp:positionH relativeFrom="page">
                        <wp:posOffset>-12700</wp:posOffset>
                      </wp:positionH>
                      <wp:positionV relativeFrom="line">
                        <wp:posOffset>635</wp:posOffset>
                      </wp:positionV>
                      <wp:extent cx="207645" cy="175260"/>
                      <wp:effectExtent l="0" t="0" r="0" b="0"/>
                      <wp:wrapNone/>
                      <wp:docPr id="567" name="Frame53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9215" cy="175260"/>
                      <wp:effectExtent l="0" t="0" r="0" b="0"/>
                      <wp:wrapNone/>
                      <wp:docPr id="568"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69" name="Frame5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Conduct an annual executive compensation review </w:t>
            </w:r>
            <w:r>
              <mc:AlternateContent>
                <mc:Choice Requires="wps">
                  <w:drawing>
                    <wp:anchor behindDoc="0" distT="0" distB="0" distL="0" distR="0" simplePos="0" locked="0" layoutInCell="1" allowOverlap="1" relativeHeight="581">
                      <wp:simplePos x="0" y="0"/>
                      <wp:positionH relativeFrom="page">
                        <wp:posOffset>-12700</wp:posOffset>
                      </wp:positionH>
                      <wp:positionV relativeFrom="line">
                        <wp:posOffset>635</wp:posOffset>
                      </wp:positionV>
                      <wp:extent cx="2713990" cy="175260"/>
                      <wp:effectExtent l="0" t="0" r="0" b="0"/>
                      <wp:wrapNone/>
                      <wp:docPr id="570" name="Frame538"/>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71"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72" name="Frame5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84">
                      <wp:simplePos x="0" y="0"/>
                      <wp:positionH relativeFrom="page">
                        <wp:posOffset>-12700</wp:posOffset>
                      </wp:positionH>
                      <wp:positionV relativeFrom="line">
                        <wp:posOffset>635</wp:posOffset>
                      </wp:positionV>
                      <wp:extent cx="207645" cy="175260"/>
                      <wp:effectExtent l="0" t="0" r="0" b="0"/>
                      <wp:wrapNone/>
                      <wp:docPr id="573" name="Frame54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74" name="Frame5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75" name="Frame5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a compensation recovery (“clawback”) policy that goes beyond the minimum requirements under NYSE listing standards </w:t>
            </w:r>
            <w:r>
              <mc:AlternateContent>
                <mc:Choice Requires="wps">
                  <w:drawing>
                    <wp:anchor behindDoc="0" distT="0" distB="0" distL="0" distR="0" simplePos="0" locked="0" layoutInCell="1" allowOverlap="1" relativeHeight="587">
                      <wp:simplePos x="0" y="0"/>
                      <wp:positionH relativeFrom="page">
                        <wp:posOffset>-12700</wp:posOffset>
                      </wp:positionH>
                      <wp:positionV relativeFrom="line">
                        <wp:posOffset>635</wp:posOffset>
                      </wp:positionV>
                      <wp:extent cx="2326640" cy="175260"/>
                      <wp:effectExtent l="0" t="0" r="0" b="0"/>
                      <wp:wrapNone/>
                      <wp:docPr id="576" name="Frame544"/>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98425" cy="175260"/>
                      <wp:effectExtent l="0" t="0" r="0" b="0"/>
                      <wp:wrapNone/>
                      <wp:docPr id="577" name="Frame54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78740" cy="175260"/>
                      <wp:effectExtent l="0" t="0" r="0" b="0"/>
                      <wp:wrapNone/>
                      <wp:docPr id="578" name="Frame5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90">
                      <wp:simplePos x="0" y="0"/>
                      <wp:positionH relativeFrom="page">
                        <wp:posOffset>-12700</wp:posOffset>
                      </wp:positionH>
                      <wp:positionV relativeFrom="line">
                        <wp:posOffset>635</wp:posOffset>
                      </wp:positionV>
                      <wp:extent cx="207645" cy="175260"/>
                      <wp:effectExtent l="0" t="0" r="0" b="0"/>
                      <wp:wrapNone/>
                      <wp:docPr id="579" name="Frame54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80" name="Frame5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81" name="Frame5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Place a significant portion of executive officers’ compensation “at-risk” </w:t>
            </w:r>
            <w:r>
              <mc:AlternateContent>
                <mc:Choice Requires="wps">
                  <w:drawing>
                    <wp:anchor behindDoc="0" distT="0" distB="0" distL="0" distR="0" simplePos="0" locked="0" layoutInCell="1" allowOverlap="1" relativeHeight="593">
                      <wp:simplePos x="0" y="0"/>
                      <wp:positionH relativeFrom="page">
                        <wp:posOffset>-12700</wp:posOffset>
                      </wp:positionH>
                      <wp:positionV relativeFrom="line">
                        <wp:posOffset>635</wp:posOffset>
                      </wp:positionV>
                      <wp:extent cx="2713990" cy="175260"/>
                      <wp:effectExtent l="0" t="0" r="0" b="0"/>
                      <wp:wrapNone/>
                      <wp:docPr id="582" name="Frame550"/>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83" name="Frame5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84" name="Frame5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96">
                      <wp:simplePos x="0" y="0"/>
                      <wp:positionH relativeFrom="page">
                        <wp:posOffset>-12700</wp:posOffset>
                      </wp:positionH>
                      <wp:positionV relativeFrom="line">
                        <wp:posOffset>635</wp:posOffset>
                      </wp:positionV>
                      <wp:extent cx="207645" cy="175260"/>
                      <wp:effectExtent l="0" t="0" r="0" b="0"/>
                      <wp:wrapNone/>
                      <wp:docPr id="585" name="Frame55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86"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87"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“double-trigger” change-in-control arrangements </w:t>
            </w:r>
            <w:r>
              <mc:AlternateContent>
                <mc:Choice Requires="wps">
                  <w:drawing>
                    <wp:anchor behindDoc="0" distT="0" distB="0" distL="0" distR="0" simplePos="0" locked="0" layoutInCell="1" allowOverlap="1" relativeHeight="599">
                      <wp:simplePos x="0" y="0"/>
                      <wp:positionH relativeFrom="page">
                        <wp:posOffset>-12700</wp:posOffset>
                      </wp:positionH>
                      <wp:positionV relativeFrom="line">
                        <wp:posOffset>635</wp:posOffset>
                      </wp:positionV>
                      <wp:extent cx="2326640" cy="175260"/>
                      <wp:effectExtent l="0" t="0" r="0" b="0"/>
                      <wp:wrapNone/>
                      <wp:docPr id="588" name="Frame556"/>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98425" cy="175260"/>
                      <wp:effectExtent l="0" t="0" r="0" b="0"/>
                      <wp:wrapNone/>
                      <wp:docPr id="589" name="Frame55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8740" cy="175260"/>
                      <wp:effectExtent l="0" t="0" r="0" b="0"/>
                      <wp:wrapNone/>
                      <wp:docPr id="590" name="Frame5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02">
                      <wp:simplePos x="0" y="0"/>
                      <wp:positionH relativeFrom="page">
                        <wp:posOffset>-12700</wp:posOffset>
                      </wp:positionH>
                      <wp:positionV relativeFrom="line">
                        <wp:posOffset>635</wp:posOffset>
                      </wp:positionV>
                      <wp:extent cx="207645" cy="175260"/>
                      <wp:effectExtent l="0" t="0" r="0" b="0"/>
                      <wp:wrapNone/>
                      <wp:docPr id="591" name="Frame55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592"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593" name="Frame5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Retain an independent compensation consultant </w:t>
            </w:r>
            <w:r>
              <mc:AlternateContent>
                <mc:Choice Requires="wps">
                  <w:drawing>
                    <wp:anchor behindDoc="0" distT="0" distB="0" distL="0" distR="0" simplePos="0" locked="0" layoutInCell="1" allowOverlap="1" relativeHeight="605">
                      <wp:simplePos x="0" y="0"/>
                      <wp:positionH relativeFrom="page">
                        <wp:posOffset>-12700</wp:posOffset>
                      </wp:positionH>
                      <wp:positionV relativeFrom="line">
                        <wp:posOffset>635</wp:posOffset>
                      </wp:positionV>
                      <wp:extent cx="2713990" cy="175260"/>
                      <wp:effectExtent l="0" t="0" r="0" b="0"/>
                      <wp:wrapNone/>
                      <wp:docPr id="594" name="Frame562"/>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595"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596" name="Frame5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08">
                      <wp:simplePos x="0" y="0"/>
                      <wp:positionH relativeFrom="page">
                        <wp:posOffset>-12700</wp:posOffset>
                      </wp:positionH>
                      <wp:positionV relativeFrom="line">
                        <wp:posOffset>635</wp:posOffset>
                      </wp:positionV>
                      <wp:extent cx="207645" cy="175260"/>
                      <wp:effectExtent l="0" t="0" r="0" b="0"/>
                      <wp:wrapNone/>
                      <wp:docPr id="597" name="Frame56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598"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599"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stock ownership guidelines </w:t>
            </w:r>
            <w:r>
              <mc:AlternateContent>
                <mc:Choice Requires="wps">
                  <w:drawing>
                    <wp:anchor behindDoc="0" distT="0" distB="0" distL="0" distR="0" simplePos="0" locked="0" layoutInCell="1" allowOverlap="1" relativeHeight="611">
                      <wp:simplePos x="0" y="0"/>
                      <wp:positionH relativeFrom="page">
                        <wp:posOffset>-12700</wp:posOffset>
                      </wp:positionH>
                      <wp:positionV relativeFrom="line">
                        <wp:posOffset>635</wp:posOffset>
                      </wp:positionV>
                      <wp:extent cx="2326640" cy="175260"/>
                      <wp:effectExtent l="0" t="0" r="0" b="0"/>
                      <wp:wrapNone/>
                      <wp:docPr id="600" name="Frame568"/>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98425" cy="175260"/>
                      <wp:effectExtent l="0" t="0" r="0" b="0"/>
                      <wp:wrapNone/>
                      <wp:docPr id="601" name="Frame56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8740" cy="175260"/>
                      <wp:effectExtent l="0" t="0" r="0" b="0"/>
                      <wp:wrapNone/>
                      <wp:docPr id="602" name="Frame57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14">
                      <wp:simplePos x="0" y="0"/>
                      <wp:positionH relativeFrom="page">
                        <wp:posOffset>-12700</wp:posOffset>
                      </wp:positionH>
                      <wp:positionV relativeFrom="line">
                        <wp:posOffset>635</wp:posOffset>
                      </wp:positionV>
                      <wp:extent cx="207645" cy="175260"/>
                      <wp:effectExtent l="0" t="0" r="0" b="0"/>
                      <wp:wrapNone/>
                      <wp:docPr id="603" name="Frame57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04"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9215" cy="175260"/>
                      <wp:effectExtent l="0" t="0" r="0" b="0"/>
                      <wp:wrapNone/>
                      <wp:docPr id="605" name="Frame5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Maintain an independent Talent and Compensation Committee </w:t>
            </w:r>
            <w:r>
              <mc:AlternateContent>
                <mc:Choice Requires="wps">
                  <w:drawing>
                    <wp:anchor behindDoc="0" distT="0" distB="0" distL="0" distR="0" simplePos="0" locked="0" layoutInCell="1" allowOverlap="1" relativeHeight="617">
                      <wp:simplePos x="0" y="0"/>
                      <wp:positionH relativeFrom="page">
                        <wp:posOffset>-12700</wp:posOffset>
                      </wp:positionH>
                      <wp:positionV relativeFrom="line">
                        <wp:posOffset>635</wp:posOffset>
                      </wp:positionV>
                      <wp:extent cx="2713990" cy="175260"/>
                      <wp:effectExtent l="0" t="0" r="0" b="0"/>
                      <wp:wrapNone/>
                      <wp:docPr id="606" name="Frame574"/>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07"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08" name="Frame5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20">
                      <wp:simplePos x="0" y="0"/>
                      <wp:positionH relativeFrom="page">
                        <wp:posOffset>-12700</wp:posOffset>
                      </wp:positionH>
                      <wp:positionV relativeFrom="line">
                        <wp:posOffset>635</wp:posOffset>
                      </wp:positionV>
                      <wp:extent cx="207645" cy="175260"/>
                      <wp:effectExtent l="0" t="0" r="0" b="0"/>
                      <wp:wrapNone/>
                      <wp:docPr id="609" name="Frame57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10"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9215" cy="175260"/>
                      <wp:effectExtent l="0" t="0" r="0" b="0"/>
                      <wp:wrapNone/>
                      <wp:docPr id="611" name="Frame5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Conduct an annual stockholder advisory vote on NEO compensation </w:t>
            </w:r>
            <w:r>
              <mc:AlternateContent>
                <mc:Choice Requires="wps">
                  <w:drawing>
                    <wp:anchor behindDoc="0" distT="0" distB="0" distL="0" distR="0" simplePos="0" locked="0" layoutInCell="1" allowOverlap="1" relativeHeight="623">
                      <wp:simplePos x="0" y="0"/>
                      <wp:positionH relativeFrom="page">
                        <wp:posOffset>-12700</wp:posOffset>
                      </wp:positionH>
                      <wp:positionV relativeFrom="line">
                        <wp:posOffset>635</wp:posOffset>
                      </wp:positionV>
                      <wp:extent cx="2326640" cy="175260"/>
                      <wp:effectExtent l="0" t="0" r="0" b="0"/>
                      <wp:wrapNone/>
                      <wp:docPr id="612" name="Frame580"/>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98425" cy="175260"/>
                      <wp:effectExtent l="0" t="0" r="0" b="0"/>
                      <wp:wrapNone/>
                      <wp:docPr id="613" name="Frame58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8740" cy="175260"/>
                      <wp:effectExtent l="0" t="0" r="0" b="0"/>
                      <wp:wrapNone/>
                      <wp:docPr id="614" name="Frame5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26">
                      <wp:simplePos x="0" y="0"/>
                      <wp:positionH relativeFrom="page">
                        <wp:posOffset>-12700</wp:posOffset>
                      </wp:positionH>
                      <wp:positionV relativeFrom="line">
                        <wp:posOffset>635</wp:posOffset>
                      </wp:positionV>
                      <wp:extent cx="207645" cy="175260"/>
                      <wp:effectExtent l="0" t="0" r="0" b="0"/>
                      <wp:wrapNone/>
                      <wp:docPr id="615" name="Frame58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16"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9215" cy="175260"/>
                      <wp:effectExtent l="0" t="0" r="0" b="0"/>
                      <wp:wrapNone/>
                      <wp:docPr id="617"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Conduct an annual compensation-related risk assessment </w:t>
            </w:r>
            <w:r>
              <mc:AlternateContent>
                <mc:Choice Requires="wps">
                  <w:drawing>
                    <wp:anchor behindDoc="0" distT="0" distB="0" distL="0" distR="0" simplePos="0" locked="0" layoutInCell="1" allowOverlap="1" relativeHeight="629">
                      <wp:simplePos x="0" y="0"/>
                      <wp:positionH relativeFrom="page">
                        <wp:posOffset>-12700</wp:posOffset>
                      </wp:positionH>
                      <wp:positionV relativeFrom="line">
                        <wp:posOffset>635</wp:posOffset>
                      </wp:positionV>
                      <wp:extent cx="2713990" cy="175260"/>
                      <wp:effectExtent l="0" t="0" r="0" b="0"/>
                      <wp:wrapNone/>
                      <wp:docPr id="618" name="Frame586"/>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19"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620" name="Frame5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32">
                      <wp:simplePos x="0" y="0"/>
                      <wp:positionH relativeFrom="page">
                        <wp:posOffset>-12700</wp:posOffset>
                      </wp:positionH>
                      <wp:positionV relativeFrom="line">
                        <wp:posOffset>635</wp:posOffset>
                      </wp:positionV>
                      <wp:extent cx="207645" cy="175260"/>
                      <wp:effectExtent l="0" t="0" r="0" b="0"/>
                      <wp:wrapNone/>
                      <wp:docPr id="621" name="Frame58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22"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23"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Engage in regular dialogue with our stockholders on corporate governance and executive compensation matters </w:t>
            </w:r>
            <w:r>
              <mc:AlternateContent>
                <mc:Choice Requires="wps">
                  <w:drawing>
                    <wp:anchor behindDoc="0" distT="0" distB="0" distL="0" distR="0" simplePos="0" locked="0" layoutInCell="1" allowOverlap="1" relativeHeight="635">
                      <wp:simplePos x="0" y="0"/>
                      <wp:positionH relativeFrom="page">
                        <wp:posOffset>-12700</wp:posOffset>
                      </wp:positionH>
                      <wp:positionV relativeFrom="line">
                        <wp:posOffset>635</wp:posOffset>
                      </wp:positionV>
                      <wp:extent cx="2326640" cy="175260"/>
                      <wp:effectExtent l="0" t="0" r="0" b="0"/>
                      <wp:wrapNone/>
                      <wp:docPr id="624" name="Frame592"/>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98425" cy="175260"/>
                      <wp:effectExtent l="0" t="0" r="0" b="0"/>
                      <wp:wrapNone/>
                      <wp:docPr id="625" name="Frame59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lef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4" w:type="dxa"/>
            <w:tcBorders/>
            <w:tcMar>
              <w:bottom w:w="0" w:type="dxa"/>
            </w:tcMar>
            <w:vAlign w:val="center"/>
          </w:tcPr>
          <w:p>
            <w:pPr>
              <w:pStyle w:val="TableContents"/>
              <w:bidi w:val="0"/>
              <w:spacing w:before="0" w:after="283"/>
              <w:jc w:val="left"/>
              <w:rPr/>
            </w:pPr>
            <w:r>
              <w:rPr/>
              <w:t xml:space="preserve">Grant performance-based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lef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64" w:type="dxa"/>
            <w:tcBorders/>
            <w:tcMar>
              <w:bottom w:w="0" w:type="dxa"/>
            </w:tcMar>
            <w:vAlign w:val="center"/>
          </w:tcPr>
          <w:p>
            <w:pPr>
              <w:pStyle w:val="TableContents"/>
              <w:bidi w:val="0"/>
              <w:spacing w:before="0" w:after="283"/>
              <w:jc w:val="left"/>
              <w:rPr/>
            </w:pPr>
            <w:r>
              <w:rPr/>
              <w:t>Impose a minimum one year holding period for net shares received by the CEO through option exercise</w:t>
            </w:r>
          </w:p>
        </w:tc>
        <w:tc>
          <w:tcPr>
            <w:tcW w:w="155" w:type="dxa"/>
            <w:tcBorders/>
            <w:tcMar>
              <w:bottom w:w="0" w:type="dxa"/>
            </w:tcMar>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267"/>
        <w:gridCol w:w="109"/>
        <w:gridCol w:w="109"/>
        <w:gridCol w:w="4515"/>
        <w:gridCol w:w="109"/>
        <w:gridCol w:w="109"/>
        <w:gridCol w:w="267"/>
        <w:gridCol w:w="109"/>
        <w:gridCol w:w="109"/>
        <w:gridCol w:w="3543"/>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9246" w:type="dxa"/>
            <w:gridSpan w:val="10"/>
            <w:tcBorders>
              <w:bottom w:val="single" w:sz="2" w:space="0" w:color="00BC6F"/>
            </w:tcBorders>
            <w:shd w:fill="D8D8D8" w:val="clear"/>
            <w:tcMar>
              <w:bottom w:w="44" w:type="dxa"/>
            </w:tcMar>
            <w:vAlign w:val="center"/>
          </w:tcPr>
          <w:p>
            <w:pPr>
              <w:pStyle w:val="TableContents"/>
              <w:bidi w:val="0"/>
              <w:spacing w:before="0" w:after="0"/>
              <w:jc w:val="center"/>
              <w:rPr/>
            </w:pPr>
            <w:r>
              <w:rPr/>
              <w:t xml:space="preserve">What We Do Not Do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8740" cy="175260"/>
                      <wp:effectExtent l="0" t="0" r="0" b="0"/>
                      <wp:wrapNone/>
                      <wp:docPr id="626" name="Frame59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38">
                      <wp:simplePos x="0" y="0"/>
                      <wp:positionH relativeFrom="page">
                        <wp:posOffset>-12700</wp:posOffset>
                      </wp:positionH>
                      <wp:positionV relativeFrom="line">
                        <wp:posOffset>635</wp:posOffset>
                      </wp:positionV>
                      <wp:extent cx="169545" cy="175260"/>
                      <wp:effectExtent l="0" t="0" r="0" b="0"/>
                      <wp:wrapNone/>
                      <wp:docPr id="627" name="Frame59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9215" cy="175260"/>
                      <wp:effectExtent l="0" t="0" r="0" b="0"/>
                      <wp:wrapNone/>
                      <wp:docPr id="628"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29"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Encourage unreasonable risk taking </w:t>
            </w:r>
            <w:r>
              <mc:AlternateContent>
                <mc:Choice Requires="wps">
                  <w:drawing>
                    <wp:anchor behindDoc="0" distT="0" distB="0" distL="0" distR="0" simplePos="0" locked="0" layoutInCell="1" allowOverlap="1" relativeHeight="641">
                      <wp:simplePos x="0" y="0"/>
                      <wp:positionH relativeFrom="page">
                        <wp:posOffset>-12700</wp:posOffset>
                      </wp:positionH>
                      <wp:positionV relativeFrom="line">
                        <wp:posOffset>635</wp:posOffset>
                      </wp:positionV>
                      <wp:extent cx="2867025" cy="175260"/>
                      <wp:effectExtent l="0" t="0" r="0" b="0"/>
                      <wp:wrapNone/>
                      <wp:docPr id="630" name="Frame598"/>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31"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32" name="Frame6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44">
                      <wp:simplePos x="0" y="0"/>
                      <wp:positionH relativeFrom="page">
                        <wp:posOffset>-12700</wp:posOffset>
                      </wp:positionH>
                      <wp:positionV relativeFrom="line">
                        <wp:posOffset>635</wp:posOffset>
                      </wp:positionV>
                      <wp:extent cx="169545" cy="175260"/>
                      <wp:effectExtent l="0" t="0" r="0" b="0"/>
                      <wp:wrapNone/>
                      <wp:docPr id="633" name="Frame60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9215" cy="175260"/>
                      <wp:effectExtent l="0" t="0" r="0" b="0"/>
                      <wp:wrapNone/>
                      <wp:docPr id="634"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9215" cy="175260"/>
                      <wp:effectExtent l="0" t="0" r="0" b="0"/>
                      <wp:wrapNone/>
                      <wp:docPr id="635" name="Frame6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Pay dividends or dividend equivalents on unvested equity awards </w:t>
            </w:r>
            <w:r>
              <mc:AlternateContent>
                <mc:Choice Requires="wps">
                  <w:drawing>
                    <wp:anchor behindDoc="0" distT="0" distB="0" distL="0" distR="0" simplePos="0" locked="0" layoutInCell="1" allowOverlap="1" relativeHeight="647">
                      <wp:simplePos x="0" y="0"/>
                      <wp:positionH relativeFrom="page">
                        <wp:posOffset>-12700</wp:posOffset>
                      </wp:positionH>
                      <wp:positionV relativeFrom="line">
                        <wp:posOffset>635</wp:posOffset>
                      </wp:positionV>
                      <wp:extent cx="2249805" cy="175260"/>
                      <wp:effectExtent l="0" t="0" r="0" b="0"/>
                      <wp:wrapNone/>
                      <wp:docPr id="636" name="Frame604"/>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98425" cy="175260"/>
                      <wp:effectExtent l="0" t="0" r="0" b="0"/>
                      <wp:wrapNone/>
                      <wp:docPr id="637" name="Frame60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78740" cy="175260"/>
                      <wp:effectExtent l="0" t="0" r="0" b="0"/>
                      <wp:wrapNone/>
                      <wp:docPr id="638" name="Frame6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50">
                      <wp:simplePos x="0" y="0"/>
                      <wp:positionH relativeFrom="page">
                        <wp:posOffset>-12700</wp:posOffset>
                      </wp:positionH>
                      <wp:positionV relativeFrom="line">
                        <wp:posOffset>635</wp:posOffset>
                      </wp:positionV>
                      <wp:extent cx="169545" cy="175260"/>
                      <wp:effectExtent l="0" t="0" r="0" b="0"/>
                      <wp:wrapNone/>
                      <wp:docPr id="639" name="Frame60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40"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41" name="Frame6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Provide significant perquisites </w:t>
            </w:r>
            <w:r>
              <mc:AlternateContent>
                <mc:Choice Requires="wps">
                  <w:drawing>
                    <wp:anchor behindDoc="0" distT="0" distB="0" distL="0" distR="0" simplePos="0" locked="0" layoutInCell="1" allowOverlap="1" relativeHeight="653">
                      <wp:simplePos x="0" y="0"/>
                      <wp:positionH relativeFrom="page">
                        <wp:posOffset>-12700</wp:posOffset>
                      </wp:positionH>
                      <wp:positionV relativeFrom="line">
                        <wp:posOffset>635</wp:posOffset>
                      </wp:positionV>
                      <wp:extent cx="2867025" cy="175260"/>
                      <wp:effectExtent l="0" t="0" r="0" b="0"/>
                      <wp:wrapNone/>
                      <wp:docPr id="642" name="Frame610"/>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9215" cy="175260"/>
                      <wp:effectExtent l="0" t="0" r="0" b="0"/>
                      <wp:wrapNone/>
                      <wp:docPr id="643"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9215" cy="175260"/>
                      <wp:effectExtent l="0" t="0" r="0" b="0"/>
                      <wp:wrapNone/>
                      <wp:docPr id="644"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56">
                      <wp:simplePos x="0" y="0"/>
                      <wp:positionH relativeFrom="page">
                        <wp:posOffset>-12700</wp:posOffset>
                      </wp:positionH>
                      <wp:positionV relativeFrom="line">
                        <wp:posOffset>635</wp:posOffset>
                      </wp:positionV>
                      <wp:extent cx="169545" cy="175260"/>
                      <wp:effectExtent l="0" t="0" r="0" b="0"/>
                      <wp:wrapNone/>
                      <wp:docPr id="645" name="Frame61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215" cy="175260"/>
                      <wp:effectExtent l="0" t="0" r="0" b="0"/>
                      <wp:wrapNone/>
                      <wp:docPr id="646"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47" name="Frame6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Permit stock option repricing without prior stockholder approval </w:t>
            </w:r>
            <w:r>
              <mc:AlternateContent>
                <mc:Choice Requires="wps">
                  <w:drawing>
                    <wp:anchor behindDoc="0" distT="0" distB="0" distL="0" distR="0" simplePos="0" locked="0" layoutInCell="1" allowOverlap="1" relativeHeight="659">
                      <wp:simplePos x="0" y="0"/>
                      <wp:positionH relativeFrom="page">
                        <wp:posOffset>-12700</wp:posOffset>
                      </wp:positionH>
                      <wp:positionV relativeFrom="line">
                        <wp:posOffset>635</wp:posOffset>
                      </wp:positionV>
                      <wp:extent cx="2249805" cy="175260"/>
                      <wp:effectExtent l="0" t="0" r="0" b="0"/>
                      <wp:wrapNone/>
                      <wp:docPr id="648" name="Frame616"/>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98425" cy="175260"/>
                      <wp:effectExtent l="0" t="0" r="0" b="0"/>
                      <wp:wrapNone/>
                      <wp:docPr id="649" name="Frame61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78740" cy="175260"/>
                      <wp:effectExtent l="0" t="0" r="0" b="0"/>
                      <wp:wrapNone/>
                      <wp:docPr id="650" name="Frame61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62">
                      <wp:simplePos x="0" y="0"/>
                      <wp:positionH relativeFrom="page">
                        <wp:posOffset>-12700</wp:posOffset>
                      </wp:positionH>
                      <wp:positionV relativeFrom="line">
                        <wp:posOffset>635</wp:posOffset>
                      </wp:positionV>
                      <wp:extent cx="169545" cy="175260"/>
                      <wp:effectExtent l="0" t="0" r="0" b="0"/>
                      <wp:wrapNone/>
                      <wp:docPr id="651" name="Frame61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52"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9215" cy="175260"/>
                      <wp:effectExtent l="0" t="0" r="0" b="0"/>
                      <wp:wrapNone/>
                      <wp:docPr id="653"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Permit short selling or hedging of our securities </w:t>
            </w:r>
            <w:r>
              <mc:AlternateContent>
                <mc:Choice Requires="wps">
                  <w:drawing>
                    <wp:anchor behindDoc="0" distT="0" distB="0" distL="0" distR="0" simplePos="0" locked="0" layoutInCell="1" allowOverlap="1" relativeHeight="665">
                      <wp:simplePos x="0" y="0"/>
                      <wp:positionH relativeFrom="page">
                        <wp:posOffset>-12700</wp:posOffset>
                      </wp:positionH>
                      <wp:positionV relativeFrom="line">
                        <wp:posOffset>635</wp:posOffset>
                      </wp:positionV>
                      <wp:extent cx="2867025" cy="175260"/>
                      <wp:effectExtent l="0" t="0" r="0" b="0"/>
                      <wp:wrapNone/>
                      <wp:docPr id="654" name="Frame622"/>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9215" cy="175260"/>
                      <wp:effectExtent l="0" t="0" r="0" b="0"/>
                      <wp:wrapNone/>
                      <wp:docPr id="655"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56"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68">
                      <wp:simplePos x="0" y="0"/>
                      <wp:positionH relativeFrom="page">
                        <wp:posOffset>-12700</wp:posOffset>
                      </wp:positionH>
                      <wp:positionV relativeFrom="line">
                        <wp:posOffset>635</wp:posOffset>
                      </wp:positionV>
                      <wp:extent cx="169545" cy="175260"/>
                      <wp:effectExtent l="0" t="0" r="0" b="0"/>
                      <wp:wrapNone/>
                      <wp:docPr id="657" name="Frame6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58"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9215" cy="175260"/>
                      <wp:effectExtent l="0" t="0" r="0" b="0"/>
                      <wp:wrapNone/>
                      <wp:docPr id="659"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Provide guaranteed bonuses </w:t>
            </w:r>
            <w:r>
              <mc:AlternateContent>
                <mc:Choice Requires="wps">
                  <w:drawing>
                    <wp:anchor behindDoc="0" distT="0" distB="0" distL="0" distR="0" simplePos="0" locked="0" layoutInCell="1" allowOverlap="1" relativeHeight="671">
                      <wp:simplePos x="0" y="0"/>
                      <wp:positionH relativeFrom="page">
                        <wp:posOffset>-12700</wp:posOffset>
                      </wp:positionH>
                      <wp:positionV relativeFrom="line">
                        <wp:posOffset>635</wp:posOffset>
                      </wp:positionV>
                      <wp:extent cx="2249805" cy="175260"/>
                      <wp:effectExtent l="0" t="0" r="0" b="0"/>
                      <wp:wrapNone/>
                      <wp:docPr id="660" name="Frame628"/>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8425" cy="175260"/>
                      <wp:effectExtent l="0" t="0" r="0" b="0"/>
                      <wp:wrapNone/>
                      <wp:docPr id="661" name="Frame62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78740" cy="175260"/>
                      <wp:effectExtent l="0" t="0" r="0" b="0"/>
                      <wp:wrapNone/>
                      <wp:docPr id="662" name="Frame6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74">
                      <wp:simplePos x="0" y="0"/>
                      <wp:positionH relativeFrom="page">
                        <wp:posOffset>-12700</wp:posOffset>
                      </wp:positionH>
                      <wp:positionV relativeFrom="line">
                        <wp:posOffset>635</wp:posOffset>
                      </wp:positionV>
                      <wp:extent cx="169545" cy="175260"/>
                      <wp:effectExtent l="0" t="0" r="0" b="0"/>
                      <wp:wrapNone/>
                      <wp:docPr id="663" name="Frame63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9215" cy="175260"/>
                      <wp:effectExtent l="0" t="0" r="0" b="0"/>
                      <wp:wrapNone/>
                      <wp:docPr id="664"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9215" cy="175260"/>
                      <wp:effectExtent l="0" t="0" r="0" b="0"/>
                      <wp:wrapNone/>
                      <wp:docPr id="665"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Permit pledging of our securities </w:t>
            </w:r>
            <w:r>
              <mc:AlternateContent>
                <mc:Choice Requires="wps">
                  <w:drawing>
                    <wp:anchor behindDoc="0" distT="0" distB="0" distL="0" distR="0" simplePos="0" locked="0" layoutInCell="1" allowOverlap="1" relativeHeight="677">
                      <wp:simplePos x="0" y="0"/>
                      <wp:positionH relativeFrom="page">
                        <wp:posOffset>-12700</wp:posOffset>
                      </wp:positionH>
                      <wp:positionV relativeFrom="line">
                        <wp:posOffset>635</wp:posOffset>
                      </wp:positionV>
                      <wp:extent cx="2867025" cy="175260"/>
                      <wp:effectExtent l="0" t="0" r="0" b="0"/>
                      <wp:wrapNone/>
                      <wp:docPr id="666" name="Frame634"/>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215" cy="175260"/>
                      <wp:effectExtent l="0" t="0" r="0" b="0"/>
                      <wp:wrapNone/>
                      <wp:docPr id="667"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9215" cy="175260"/>
                      <wp:effectExtent l="0" t="0" r="0" b="0"/>
                      <wp:wrapNone/>
                      <wp:docPr id="668" name="Frame6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80">
                      <wp:simplePos x="0" y="0"/>
                      <wp:positionH relativeFrom="page">
                        <wp:posOffset>-12700</wp:posOffset>
                      </wp:positionH>
                      <wp:positionV relativeFrom="line">
                        <wp:posOffset>635</wp:posOffset>
                      </wp:positionV>
                      <wp:extent cx="169545" cy="175260"/>
                      <wp:effectExtent l="0" t="0" r="0" b="0"/>
                      <wp:wrapNone/>
                      <wp:docPr id="669" name="Frame63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9215" cy="175260"/>
                      <wp:effectExtent l="0" t="0" r="0" b="0"/>
                      <wp:wrapNone/>
                      <wp:docPr id="670" name="Frame6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9215" cy="175260"/>
                      <wp:effectExtent l="0" t="0" r="0" b="0"/>
                      <wp:wrapNone/>
                      <wp:docPr id="671" name="Frame6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Provide “single trigger” change-in-control arrangements </w:t>
            </w:r>
            <w:r>
              <mc:AlternateContent>
                <mc:Choice Requires="wps">
                  <w:drawing>
                    <wp:anchor behindDoc="0" distT="0" distB="0" distL="0" distR="0" simplePos="0" locked="0" layoutInCell="1" allowOverlap="1" relativeHeight="683">
                      <wp:simplePos x="0" y="0"/>
                      <wp:positionH relativeFrom="page">
                        <wp:posOffset>-12700</wp:posOffset>
                      </wp:positionH>
                      <wp:positionV relativeFrom="line">
                        <wp:posOffset>635</wp:posOffset>
                      </wp:positionV>
                      <wp:extent cx="2249805" cy="175260"/>
                      <wp:effectExtent l="0" t="0" r="0" b="0"/>
                      <wp:wrapNone/>
                      <wp:docPr id="672" name="Frame640"/>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98425" cy="175260"/>
                      <wp:effectExtent l="0" t="0" r="0" b="0"/>
                      <wp:wrapNone/>
                      <wp:docPr id="673" name="Frame64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67" w:type="dxa"/>
            <w:tcBorders>
              <w:bottom w:val="single" w:sz="6" w:space="0" w:color="00BC6F"/>
            </w:tcBorders>
            <w:tcMar>
              <w:bottom w:w="30" w:type="dxa"/>
            </w:tcMar>
            <w:vAlign w:val="center"/>
          </w:tcPr>
          <w:p>
            <w:pPr>
              <w:pStyle w:val="TableContents"/>
              <w:bidi w:val="0"/>
              <w:spacing w:before="0" w:after="283"/>
              <w:jc w:val="left"/>
              <w:rPr/>
            </w:pP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4515" w:type="dxa"/>
            <w:tcBorders>
              <w:bottom w:val="single" w:sz="6" w:space="0" w:color="00BC6F"/>
            </w:tcBorders>
            <w:tcMar>
              <w:bottom w:w="30" w:type="dxa"/>
            </w:tcMar>
            <w:vAlign w:val="center"/>
          </w:tcPr>
          <w:p>
            <w:pPr>
              <w:pStyle w:val="TableContents"/>
              <w:bidi w:val="0"/>
              <w:spacing w:before="0" w:after="283"/>
              <w:jc w:val="left"/>
              <w:rPr/>
            </w:pPr>
            <w:r>
              <w:rPr/>
              <w:t>Provide excise tax payments on future post-employment compensation arrangements</w:t>
            </w:r>
          </w:p>
        </w:tc>
        <w:tc>
          <w:tcPr>
            <w:tcW w:w="109" w:type="dxa"/>
            <w:tcBorders>
              <w:bottom w:val="single" w:sz="6" w:space="0" w:color="00BC6F"/>
            </w:tcBorders>
            <w:vAlign w:val="center"/>
          </w:tcPr>
          <w:p>
            <w:pPr>
              <w:pStyle w:val="TableContents"/>
              <w:bidi w:val="0"/>
              <w:spacing w:before="0" w:after="283"/>
              <w:jc w:val="left"/>
              <w:rPr/>
            </w:pPr>
            <w:r>
              <w:rPr/>
              <w:t>​</w:t>
            </w:r>
          </w:p>
        </w:tc>
        <w:tc>
          <w:tcPr>
            <w:tcW w:w="485" w:type="dxa"/>
            <w:gridSpan w:val="3"/>
            <w:tcBorders/>
            <w:tcMar>
              <w:top w:w="28" w:type="dxa"/>
              <w:left w:w="28" w:type="dxa"/>
              <w:right w:w="28" w:type="dxa"/>
            </w:tcMar>
            <w:vAlign w:val="center"/>
          </w:tcPr>
          <w:p>
            <w:pPr>
              <w:pStyle w:val="TableContents"/>
              <w:bidi w:val="0"/>
              <w:spacing w:before="0" w:after="283"/>
              <w:jc w:val="left"/>
              <w:rPr/>
            </w:pPr>
            <w:r>
              <w:rPr/>
              <w:t>​</w:t>
            </w:r>
          </w:p>
        </w:tc>
        <w:tc>
          <w:tcPr>
            <w:tcW w:w="3807"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HWMC"/>
      <w:bookmarkEnd w:id="140"/>
      <w:r>
        <w:rPr>
          <w:rFonts w:ascii="calibri;arial;sans-serif" w:hAnsi="calibri;arial;sans-serif"/>
          <w:b w:val="false"/>
          <w:i w:val="false"/>
          <w:caps w:val="false"/>
          <w:smallCaps w:val="false"/>
          <w:color w:val="000000"/>
          <w:sz w:val="16"/>
        </w:rPr>
        <w:t>​</w:t>
      </w:r>
      <w:bookmarkStart w:id="141" w:name="tRAR"/>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How We Make Compensation Decisions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Roles and Responsibilities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discharges the responsibilities of our Board relating to human capital management and the compensation of our executive officers. To that end, the Talent and Compensation Committee oversees the design, development, and implementation of our executive compensation program and all related policies and practices with input and guidance from several other stakeholders, as summarized below.</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958"/>
        <w:gridCol w:w="109"/>
        <w:gridCol w:w="109"/>
        <w:gridCol w:w="7070"/>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958"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Role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7070"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Responsibilities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78740" cy="175260"/>
                      <wp:effectExtent l="0" t="0" r="0" b="0"/>
                      <wp:wrapNone/>
                      <wp:docPr id="674" name="Frame64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Talent and Compensation</w:t>
              <w:br/>
              <w:t>Committee</w:t>
            </w:r>
            <w:r>
              <mc:AlternateContent>
                <mc:Choice Requires="wps">
                  <w:drawing>
                    <wp:anchor behindDoc="0" distT="0" distB="0" distL="0" distR="0" simplePos="0" locked="0" layoutInCell="1" allowOverlap="1" relativeHeight="686">
                      <wp:simplePos x="0" y="0"/>
                      <wp:positionH relativeFrom="page">
                        <wp:posOffset>-12700</wp:posOffset>
                      </wp:positionH>
                      <wp:positionV relativeFrom="line">
                        <wp:posOffset>635</wp:posOffset>
                      </wp:positionV>
                      <wp:extent cx="1243330" cy="175260"/>
                      <wp:effectExtent l="0" t="0" r="0" b="0"/>
                      <wp:wrapNone/>
                      <wp:docPr id="675" name="Frame643"/>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9215" cy="175260"/>
                      <wp:effectExtent l="0" t="0" r="0" b="0"/>
                      <wp:wrapNone/>
                      <wp:docPr id="676" name="Frame6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9215" cy="175260"/>
                      <wp:effectExtent l="0" t="0" r="0" b="0"/>
                      <wp:wrapNone/>
                      <wp:docPr id="677" name="Frame6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Approves:</w:t>
            </w:r>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127000" cy="350520"/>
                      <wp:effectExtent l="0" t="0" r="0" b="0"/>
                      <wp:wrapSquare wrapText="right"/>
                      <wp:docPr id="678" name="Frame6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89">
                      <wp:simplePos x="0" y="0"/>
                      <wp:positionH relativeFrom="page">
                        <wp:posOffset>-12700</wp:posOffset>
                      </wp:positionH>
                      <wp:positionV relativeFrom="line">
                        <wp:posOffset>635</wp:posOffset>
                      </wp:positionV>
                      <wp:extent cx="4489450" cy="175260"/>
                      <wp:effectExtent l="0" t="0" r="0" b="0"/>
                      <wp:wrapNone/>
                      <wp:docPr id="679" name="Frame646"/>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20" w:after="0"/>
              <w:ind w:left="400" w:right="0" w:hanging="0"/>
              <w:jc w:val="left"/>
              <w:rPr/>
            </w:pPr>
            <w:r>
              <w:rPr/>
              <w:t>Performance measures and goals under our annual cash incentive plan and PSU awards</w:t>
            </w:r>
            <w:r>
              <mc:AlternateContent>
                <mc:Choice Requires="wps">
                  <w:drawing>
                    <wp:anchor behindDoc="0" distT="12700" distB="0" distL="127000" distR="0" simplePos="0" locked="0" layoutInCell="1" allowOverlap="1" relativeHeight="691">
                      <wp:simplePos x="0" y="0"/>
                      <wp:positionH relativeFrom="column">
                        <wp:align>left</wp:align>
                      </wp:positionH>
                      <wp:positionV relativeFrom="line">
                        <wp:align>top</wp:align>
                      </wp:positionV>
                      <wp:extent cx="127000" cy="350520"/>
                      <wp:effectExtent l="0" t="0" r="0" b="0"/>
                      <wp:wrapSquare wrapText="right"/>
                      <wp:docPr id="680" name="Frame6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pt;mso-wrap-distance-bottom:0pt;margin-top:1pt;mso-position-vertical:top;mso-position-vertical-relative:text;margin-left:10pt;mso-position-horizontal:left;mso-position-horizontal-relative:text">
                      <v:textbox>
                        <w:txbxContent>
                          <w:p>
                            <w:pPr>
                              <w:pStyle w:val="TextBody"/>
                              <w:bidi w:val="0"/>
                              <w:spacing w:lineRule="atLeast" w:line="23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283"/>
              <w:ind w:left="200" w:right="0" w:hanging="0"/>
              <w:jc w:val="left"/>
              <w:rPr/>
            </w:pPr>
            <w:r>
              <w:rPr/>
              <w:t>◦</w:t>
            </w:r>
          </w:p>
          <w:p>
            <w:pPr>
              <w:pStyle w:val="TableContents"/>
              <w:bidi w:val="0"/>
              <w:spacing w:lineRule="atLeast" w:line="230" w:before="0" w:after="0"/>
              <w:ind w:left="400" w:right="0" w:hanging="0"/>
              <w:jc w:val="left"/>
              <w:rPr/>
            </w:pPr>
            <w:r>
              <w:rPr/>
              <w:t>Achievement of performance-based goals under our annual cash incentive plan and PSU awards</w:t>
            </w:r>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127000" cy="350520"/>
                      <wp:effectExtent l="0" t="0" r="0" b="0"/>
                      <wp:wrapSquare wrapText="right"/>
                      <wp:docPr id="681" name="Frame6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3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Compensation of the executive officers (other than our CEO)</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3">
                      <wp:simplePos x="0" y="0"/>
                      <wp:positionH relativeFrom="column">
                        <wp:align>left</wp:align>
                      </wp:positionH>
                      <wp:positionV relativeFrom="line">
                        <wp:align>top</wp:align>
                      </wp:positionV>
                      <wp:extent cx="127000" cy="350520"/>
                      <wp:effectExtent l="0" t="0" r="0" b="0"/>
                      <wp:wrapSquare wrapText="right"/>
                      <wp:docPr id="682" name="Frame6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All equity awards (other than our CEO)</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4">
                      <wp:simplePos x="0" y="0"/>
                      <wp:positionH relativeFrom="column">
                        <wp:align>left</wp:align>
                      </wp:positionH>
                      <wp:positionV relativeFrom="line">
                        <wp:align>top</wp:align>
                      </wp:positionV>
                      <wp:extent cx="127000" cy="350520"/>
                      <wp:effectExtent l="0" t="0" r="0" b="0"/>
                      <wp:wrapSquare wrapText="right"/>
                      <wp:docPr id="683" name="Frame6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Peer group used for executive compensation determinations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5">
                      <wp:simplePos x="0" y="0"/>
                      <wp:positionH relativeFrom="column">
                        <wp:align>left</wp:align>
                      </wp:positionH>
                      <wp:positionV relativeFrom="line">
                        <wp:align>top</wp:align>
                      </wp:positionV>
                      <wp:extent cx="127000" cy="350520"/>
                      <wp:effectExtent l="0" t="0" r="0" b="0"/>
                      <wp:wrapSquare wrapText="right"/>
                      <wp:docPr id="684" name="Frame6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Considers all factors and stockholder feedback to help align our executive compensation program with the interests of our stockholders and long-term value creation</w:t>
            </w:r>
            <w:r>
              <mc:AlternateContent>
                <mc:Choice Requires="wps">
                  <w:drawing>
                    <wp:anchor behindDoc="0" distT="76200" distB="0" distL="0" distR="0" simplePos="0" locked="0" layoutInCell="1" allowOverlap="1" relativeHeight="696">
                      <wp:simplePos x="0" y="0"/>
                      <wp:positionH relativeFrom="column">
                        <wp:align>left</wp:align>
                      </wp:positionH>
                      <wp:positionV relativeFrom="line">
                        <wp:align>top</wp:align>
                      </wp:positionV>
                      <wp:extent cx="127000" cy="350520"/>
                      <wp:effectExtent l="0" t="0" r="0" b="0"/>
                      <wp:wrapSquare wrapText="right"/>
                      <wp:docPr id="685" name="Frame6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Recommends to the Board any adjustments to our CEO’s base salary, target annual cash incentive opportunity, and equity awards</w:t>
            </w:r>
            <w:r>
              <mc:AlternateContent>
                <mc:Choice Requires="wps">
                  <w:drawing>
                    <wp:anchor behindDoc="0" distT="76200" distB="0" distL="0" distR="0" simplePos="0" locked="0" layoutInCell="1" allowOverlap="1" relativeHeight="701">
                      <wp:simplePos x="0" y="0"/>
                      <wp:positionH relativeFrom="column">
                        <wp:align>left</wp:align>
                      </wp:positionH>
                      <wp:positionV relativeFrom="line">
                        <wp:align>top</wp:align>
                      </wp:positionV>
                      <wp:extent cx="127000" cy="350520"/>
                      <wp:effectExtent l="0" t="0" r="0" b="0"/>
                      <wp:wrapSquare wrapText="right"/>
                      <wp:docPr id="686" name="Frame6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Approves share pool increases or changes to equity compensation plans (subject to stockholder approval in certain cases)</w:t>
            </w:r>
            <w:r>
              <mc:AlternateContent>
                <mc:Choice Requires="wps">
                  <w:drawing>
                    <wp:anchor behindDoc="0" distT="76200" distB="0" distL="0" distR="0" simplePos="0" locked="0" layoutInCell="1" allowOverlap="1" relativeHeight="700">
                      <wp:simplePos x="0" y="0"/>
                      <wp:positionH relativeFrom="column">
                        <wp:align>left</wp:align>
                      </wp:positionH>
                      <wp:positionV relativeFrom="line">
                        <wp:align>top</wp:align>
                      </wp:positionV>
                      <wp:extent cx="127000" cy="350520"/>
                      <wp:effectExtent l="0" t="0" r="0" b="0"/>
                      <wp:wrapSquare wrapText="right"/>
                      <wp:docPr id="687" name="Frame6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Reviews annual compensation risk assessment</w:t>
            </w:r>
            <w:r>
              <mc:AlternateContent>
                <mc:Choice Requires="wps">
                  <w:drawing>
                    <wp:anchor behindDoc="0" distT="95250" distB="0" distL="0" distR="0" simplePos="0" locked="0" layoutInCell="1" allowOverlap="1" relativeHeight="699">
                      <wp:simplePos x="0" y="0"/>
                      <wp:positionH relativeFrom="column">
                        <wp:align>left</wp:align>
                      </wp:positionH>
                      <wp:positionV relativeFrom="line">
                        <wp:align>top</wp:align>
                      </wp:positionV>
                      <wp:extent cx="127000" cy="350520"/>
                      <wp:effectExtent l="0" t="0" r="0" b="0"/>
                      <wp:wrapSquare wrapText="right"/>
                      <wp:docPr id="688" name="Frame6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recommends inclusion of the Compensation Discussion and Analysis section in our Annual Report on Form 10-K and the proxy statement</w:t>
            </w:r>
            <w:r>
              <mc:AlternateContent>
                <mc:Choice Requires="wps">
                  <w:drawing>
                    <wp:anchor behindDoc="0" distT="76200" distB="0" distL="0" distR="0" simplePos="0" locked="0" layoutInCell="1" allowOverlap="1" relativeHeight="698">
                      <wp:simplePos x="0" y="0"/>
                      <wp:positionH relativeFrom="column">
                        <wp:align>left</wp:align>
                      </wp:positionH>
                      <wp:positionV relativeFrom="line">
                        <wp:align>top</wp:align>
                      </wp:positionV>
                      <wp:extent cx="127000" cy="350520"/>
                      <wp:effectExtent l="0" t="0" r="0" b="0"/>
                      <wp:wrapSquare wrapText="right"/>
                      <wp:docPr id="689" name="Frame6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 xml:space="preserve">Periodically reviews post-employment compensation arrangements, retirement benefits and nonqualified deferred compensation program, senior leadership benefits, and perquisites </w:t>
            </w:r>
            <w:r>
              <mc:AlternateContent>
                <mc:Choice Requires="wps">
                  <w:drawing>
                    <wp:anchor behindDoc="0" distT="76200" distB="0" distL="0" distR="0" simplePos="0" locked="0" layoutInCell="1" allowOverlap="1" relativeHeight="697">
                      <wp:simplePos x="0" y="0"/>
                      <wp:positionH relativeFrom="column">
                        <wp:align>left</wp:align>
                      </wp:positionH>
                      <wp:positionV relativeFrom="line">
                        <wp:align>top</wp:align>
                      </wp:positionV>
                      <wp:extent cx="127000" cy="350520"/>
                      <wp:effectExtent l="0" t="0" r="0" b="0"/>
                      <wp:wrapSquare wrapText="right"/>
                      <wp:docPr id="690" name="Frame6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98425" cy="175260"/>
                      <wp:effectExtent l="0" t="0" r="0" b="0"/>
                      <wp:wrapNone/>
                      <wp:docPr id="691" name="Frame65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78740" cy="175260"/>
                      <wp:effectExtent l="0" t="0" r="0" b="0"/>
                      <wp:wrapNone/>
                      <wp:docPr id="692" name="Frame6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Board of</w:t>
              <w:br/>
              <w:t>Directors</w:t>
            </w:r>
            <w:r>
              <mc:AlternateContent>
                <mc:Choice Requires="wps">
                  <w:drawing>
                    <wp:anchor behindDoc="0" distT="0" distB="0" distL="0" distR="0" simplePos="0" locked="0" layoutInCell="1" allowOverlap="1" relativeHeight="704">
                      <wp:simplePos x="0" y="0"/>
                      <wp:positionH relativeFrom="page">
                        <wp:posOffset>-12700</wp:posOffset>
                      </wp:positionH>
                      <wp:positionV relativeFrom="line">
                        <wp:posOffset>635</wp:posOffset>
                      </wp:positionV>
                      <wp:extent cx="1243330" cy="175260"/>
                      <wp:effectExtent l="0" t="0" r="0" b="0"/>
                      <wp:wrapNone/>
                      <wp:docPr id="693" name="Frame661"/>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9215" cy="175260"/>
                      <wp:effectExtent l="0" t="0" r="0" b="0"/>
                      <wp:wrapNone/>
                      <wp:docPr id="694"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9215" cy="175260"/>
                      <wp:effectExtent l="0" t="0" r="0" b="0"/>
                      <wp:wrapNone/>
                      <wp:docPr id="695" name="Frame6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Evaluates CEO’s performance</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127000" cy="350520"/>
                      <wp:effectExtent l="0" t="0" r="0" b="0"/>
                      <wp:wrapSquare wrapText="right"/>
                      <wp:docPr id="696" name="Frame6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07">
                      <wp:simplePos x="0" y="0"/>
                      <wp:positionH relativeFrom="page">
                        <wp:posOffset>-12700</wp:posOffset>
                      </wp:positionH>
                      <wp:positionV relativeFrom="line">
                        <wp:posOffset>635</wp:posOffset>
                      </wp:positionV>
                      <wp:extent cx="4489450" cy="175260"/>
                      <wp:effectExtent l="0" t="0" r="0" b="0"/>
                      <wp:wrapNone/>
                      <wp:docPr id="697" name="Frame664"/>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approves the CEO’s compensation, with input and recommendations from the Talent and Compensation Committee</w:t>
            </w:r>
            <w:r>
              <mc:AlternateContent>
                <mc:Choice Requires="wps">
                  <w:drawing>
                    <wp:anchor behindDoc="0" distT="76200" distB="0" distL="0" distR="0" simplePos="0" locked="0" layoutInCell="1" allowOverlap="1" relativeHeight="709">
                      <wp:simplePos x="0" y="0"/>
                      <wp:positionH relativeFrom="column">
                        <wp:align>left</wp:align>
                      </wp:positionH>
                      <wp:positionV relativeFrom="line">
                        <wp:align>top</wp:align>
                      </wp:positionV>
                      <wp:extent cx="127000" cy="350520"/>
                      <wp:effectExtent l="0" t="0" r="0" b="0"/>
                      <wp:wrapSquare wrapText="right"/>
                      <wp:docPr id="698" name="Frame6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 xml:space="preserve">Reviews and approves our Annual Report on Form 10-K and other statutory filings </w:t>
            </w:r>
            <w:r>
              <mc:AlternateContent>
                <mc:Choice Requires="wps">
                  <w:drawing>
                    <wp:anchor behindDoc="0" distT="95250" distB="0" distL="0" distR="0" simplePos="0" locked="0" layoutInCell="1" allowOverlap="1" relativeHeight="710">
                      <wp:simplePos x="0" y="0"/>
                      <wp:positionH relativeFrom="column">
                        <wp:align>left</wp:align>
                      </wp:positionH>
                      <wp:positionV relativeFrom="line">
                        <wp:align>top</wp:align>
                      </wp:positionV>
                      <wp:extent cx="127000" cy="350520"/>
                      <wp:effectExtent l="0" t="0" r="0" b="0"/>
                      <wp:wrapSquare wrapText="right"/>
                      <wp:docPr id="699" name="Frame6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8425" cy="175260"/>
                      <wp:effectExtent l="0" t="0" r="0" b="0"/>
                      <wp:wrapNone/>
                      <wp:docPr id="700" name="Frame66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78740" cy="175260"/>
                      <wp:effectExtent l="0" t="0" r="0" b="0"/>
                      <wp:wrapNone/>
                      <wp:docPr id="701" name="Frame6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Stockholders</w:t>
            </w:r>
            <w:r>
              <mc:AlternateContent>
                <mc:Choice Requires="wps">
                  <w:drawing>
                    <wp:anchor behindDoc="0" distT="0" distB="0" distL="0" distR="0" simplePos="0" locked="0" layoutInCell="1" allowOverlap="1" relativeHeight="713">
                      <wp:simplePos x="0" y="0"/>
                      <wp:positionH relativeFrom="page">
                        <wp:posOffset>-12700</wp:posOffset>
                      </wp:positionH>
                      <wp:positionV relativeFrom="line">
                        <wp:posOffset>635</wp:posOffset>
                      </wp:positionV>
                      <wp:extent cx="1243330" cy="175260"/>
                      <wp:effectExtent l="0" t="0" r="0" b="0"/>
                      <wp:wrapNone/>
                      <wp:docPr id="702" name="Frame670"/>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9215" cy="175260"/>
                      <wp:effectExtent l="0" t="0" r="0" b="0"/>
                      <wp:wrapNone/>
                      <wp:docPr id="703" name="Frame6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04"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Cast advisory vote on NEO compensation</w:t>
            </w:r>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127000" cy="350520"/>
                      <wp:effectExtent l="0" t="0" r="0" b="0"/>
                      <wp:wrapSquare wrapText="right"/>
                      <wp:docPr id="705" name="Frame6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16">
                      <wp:simplePos x="0" y="0"/>
                      <wp:positionH relativeFrom="page">
                        <wp:posOffset>-12700</wp:posOffset>
                      </wp:positionH>
                      <wp:positionV relativeFrom="line">
                        <wp:posOffset>635</wp:posOffset>
                      </wp:positionV>
                      <wp:extent cx="4489450" cy="175260"/>
                      <wp:effectExtent l="0" t="0" r="0" b="0"/>
                      <wp:wrapNone/>
                      <wp:docPr id="706" name="Frame673"/>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Approve share pool increases or certain other changes to equity compensation plans</w:t>
            </w:r>
            <w:r>
              <mc:AlternateContent>
                <mc:Choice Requires="wps">
                  <w:drawing>
                    <wp:anchor behindDoc="0" distT="95250" distB="0" distL="0" distR="0" simplePos="0" locked="0" layoutInCell="1" allowOverlap="1" relativeHeight="718">
                      <wp:simplePos x="0" y="0"/>
                      <wp:positionH relativeFrom="column">
                        <wp:align>left</wp:align>
                      </wp:positionH>
                      <wp:positionV relativeFrom="line">
                        <wp:align>top</wp:align>
                      </wp:positionV>
                      <wp:extent cx="127000" cy="350520"/>
                      <wp:effectExtent l="0" t="0" r="0" b="0"/>
                      <wp:wrapSquare wrapText="right"/>
                      <wp:docPr id="707" name="Frame6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 xml:space="preserve">Provide feedback and input to management, our Talent and Compensation Committee and our Board </w:t>
            </w:r>
            <w:r>
              <mc:AlternateContent>
                <mc:Choice Requires="wps">
                  <w:drawing>
                    <wp:anchor behindDoc="0" distT="76200" distB="0" distL="0" distR="0" simplePos="0" locked="0" layoutInCell="1" allowOverlap="1" relativeHeight="719">
                      <wp:simplePos x="0" y="0"/>
                      <wp:positionH relativeFrom="column">
                        <wp:align>left</wp:align>
                      </wp:positionH>
                      <wp:positionV relativeFrom="line">
                        <wp:align>top</wp:align>
                      </wp:positionV>
                      <wp:extent cx="127000" cy="350520"/>
                      <wp:effectExtent l="0" t="0" r="0" b="0"/>
                      <wp:wrapSquare wrapText="right"/>
                      <wp:docPr id="708" name="Frame6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8425" cy="175260"/>
                      <wp:effectExtent l="0" t="0" r="0" b="0"/>
                      <wp:wrapNone/>
                      <wp:docPr id="709" name="Frame67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958" w:type="dxa"/>
            <w:tcBorders>
              <w:bottom w:val="single" w:sz="6" w:space="0" w:color="00BC6F"/>
            </w:tcBorders>
            <w:vAlign w:val="center"/>
          </w:tcPr>
          <w:p>
            <w:pPr>
              <w:pStyle w:val="TableContents"/>
              <w:bidi w:val="0"/>
              <w:spacing w:before="0" w:after="0"/>
              <w:jc w:val="center"/>
              <w:rPr>
                <w:b/>
              </w:rPr>
            </w:pPr>
            <w:r>
              <w:rPr>
                <w:b/>
              </w:rPr>
              <w:t>Independent</w:t>
              <w:br/>
              <w:t>Compensation</w:t>
              <w:br/>
              <w:t>Consultant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7070" w:type="dxa"/>
            <w:tcBorders>
              <w:bottom w:val="single" w:sz="6" w:space="0" w:color="00BC6F"/>
            </w:tcBorders>
            <w:vAlign w:val="center"/>
          </w:tcPr>
          <w:p>
            <w:pPr>
              <w:pStyle w:val="TableContents"/>
              <w:bidi w:val="0"/>
              <w:spacing w:lineRule="atLeast" w:line="230" w:before="0" w:after="0"/>
              <w:ind w:left="200" w:right="0" w:hanging="0"/>
              <w:jc w:val="left"/>
              <w:rPr/>
            </w:pPr>
            <w:r>
              <w:rPr/>
              <w:t>Provides advice and market data to the Talent and Compensation Committee regarding our executive compensation program, including input regarding:</w:t>
            </w:r>
            <w:r>
              <mc:AlternateContent>
                <mc:Choice Requires="wps">
                  <w:drawing>
                    <wp:anchor behindDoc="0" distT="0" distB="0" distL="0" distR="0" simplePos="0" locked="0" layoutInCell="1" allowOverlap="1" relativeHeight="721">
                      <wp:simplePos x="0" y="0"/>
                      <wp:positionH relativeFrom="column">
                        <wp:align>left</wp:align>
                      </wp:positionH>
                      <wp:positionV relativeFrom="line">
                        <wp:posOffset>635</wp:posOffset>
                      </wp:positionV>
                      <wp:extent cx="127000" cy="350520"/>
                      <wp:effectExtent l="0" t="0" r="0" b="0"/>
                      <wp:wrapSquare wrapText="right"/>
                      <wp:docPr id="710" name="Frame6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Pay philosophy, best practices and market trends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8">
                      <wp:simplePos x="0" y="0"/>
                      <wp:positionH relativeFrom="column">
                        <wp:align>left</wp:align>
                      </wp:positionH>
                      <wp:positionV relativeFrom="line">
                        <wp:align>top</wp:align>
                      </wp:positionV>
                      <wp:extent cx="127000" cy="350520"/>
                      <wp:effectExtent l="0" t="0" r="0" b="0"/>
                      <wp:wrapSquare wrapText="right"/>
                      <wp:docPr id="711" name="Frame6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Selection of compensation peer group companies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7">
                      <wp:simplePos x="0" y="0"/>
                      <wp:positionH relativeFrom="column">
                        <wp:align>left</wp:align>
                      </wp:positionH>
                      <wp:positionV relativeFrom="line">
                        <wp:align>top</wp:align>
                      </wp:positionV>
                      <wp:extent cx="127000" cy="350520"/>
                      <wp:effectExtent l="0" t="0" r="0" b="0"/>
                      <wp:wrapSquare wrapText="right"/>
                      <wp:docPr id="712" name="Frame6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Executive compensation and equity practices and levels at peer group companies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6">
                      <wp:simplePos x="0" y="0"/>
                      <wp:positionH relativeFrom="column">
                        <wp:align>left</wp:align>
                      </wp:positionH>
                      <wp:positionV relativeFrom="line">
                        <wp:align>top</wp:align>
                      </wp:positionV>
                      <wp:extent cx="127000" cy="350520"/>
                      <wp:effectExtent l="0" t="0" r="0" b="0"/>
                      <wp:wrapSquare wrapText="right"/>
                      <wp:docPr id="713" name="Frame6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Design of the annual cash incentive plan and equity compensation plans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5">
                      <wp:simplePos x="0" y="0"/>
                      <wp:positionH relativeFrom="column">
                        <wp:align>left</wp:align>
                      </wp:positionH>
                      <wp:positionV relativeFrom="line">
                        <wp:align>top</wp:align>
                      </wp:positionV>
                      <wp:extent cx="127000" cy="350520"/>
                      <wp:effectExtent l="0" t="0" r="0" b="0"/>
                      <wp:wrapSquare wrapText="right"/>
                      <wp:docPr id="714" name="Frame6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provides an independent assessment of the compensation data and materials presented by management to the Talent and Compensation Committee</w:t>
            </w:r>
            <w:r>
              <mc:AlternateContent>
                <mc:Choice Requires="wps">
                  <w:drawing>
                    <wp:anchor behindDoc="0" distT="76200" distB="0" distL="0" distR="0" simplePos="0" locked="0" layoutInCell="1" allowOverlap="1" relativeHeight="724">
                      <wp:simplePos x="0" y="0"/>
                      <wp:positionH relativeFrom="column">
                        <wp:align>left</wp:align>
                      </wp:positionH>
                      <wp:positionV relativeFrom="line">
                        <wp:align>top</wp:align>
                      </wp:positionV>
                      <wp:extent cx="127000" cy="350520"/>
                      <wp:effectExtent l="0" t="0" r="0" b="0"/>
                      <wp:wrapSquare wrapText="right"/>
                      <wp:docPr id="715" name="Frame6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Participates in Talent and Compensation Committee meetings as requested</w:t>
            </w:r>
            <w:r>
              <mc:AlternateContent>
                <mc:Choice Requires="wps">
                  <w:drawing>
                    <wp:anchor behindDoc="0" distT="95250" distB="0" distL="0" distR="0" simplePos="0" locked="0" layoutInCell="1" allowOverlap="1" relativeHeight="723">
                      <wp:simplePos x="0" y="0"/>
                      <wp:positionH relativeFrom="column">
                        <wp:align>left</wp:align>
                      </wp:positionH>
                      <wp:positionV relativeFrom="line">
                        <wp:align>top</wp:align>
                      </wp:positionV>
                      <wp:extent cx="127000" cy="350520"/>
                      <wp:effectExtent l="0" t="0" r="0" b="0"/>
                      <wp:wrapSquare wrapText="right"/>
                      <wp:docPr id="716" name="Frame6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 xml:space="preserve">Reviews compensation-related sections of the proxy statement </w:t>
            </w:r>
            <w:r>
              <mc:AlternateContent>
                <mc:Choice Requires="wps">
                  <w:drawing>
                    <wp:anchor behindDoc="0" distT="95250" distB="0" distL="0" distR="0" simplePos="0" locked="0" layoutInCell="1" allowOverlap="1" relativeHeight="722">
                      <wp:simplePos x="0" y="0"/>
                      <wp:positionH relativeFrom="column">
                        <wp:align>left</wp:align>
                      </wp:positionH>
                      <wp:positionV relativeFrom="line">
                        <wp:align>top</wp:align>
                      </wp:positionV>
                      <wp:extent cx="127000" cy="350520"/>
                      <wp:effectExtent l="0" t="0" r="0" b="0"/>
                      <wp:wrapSquare wrapText="right"/>
                      <wp:docPr id="717" name="Frame6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631"/>
        <w:gridCol w:w="109"/>
        <w:gridCol w:w="109"/>
        <w:gridCol w:w="8398"/>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631"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Role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8398"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Responsibilities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631" w:type="dxa"/>
            <w:tcBorders>
              <w:bottom w:val="single" w:sz="6" w:space="0" w:color="00BC6F"/>
            </w:tcBorders>
            <w:vAlign w:val="center"/>
          </w:tcPr>
          <w:p>
            <w:pPr>
              <w:pStyle w:val="TableContents"/>
              <w:bidi w:val="0"/>
              <w:spacing w:before="0" w:after="0"/>
              <w:jc w:val="center"/>
              <w:rPr>
                <w:b/>
              </w:rPr>
            </w:pPr>
            <w:r>
              <w:rPr>
                <w:b/>
              </w:rPr>
              <w:t>CEO</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8398" w:type="dxa"/>
            <w:tcBorders>
              <w:bottom w:val="single" w:sz="6" w:space="0" w:color="00BC6F"/>
            </w:tcBorders>
            <w:tcMar>
              <w:bottom w:w="40" w:type="dxa"/>
            </w:tcMar>
            <w:vAlign w:val="center"/>
          </w:tcPr>
          <w:p>
            <w:pPr>
              <w:pStyle w:val="TableContents"/>
              <w:bidi w:val="0"/>
              <w:spacing w:lineRule="atLeast" w:line="230" w:before="0" w:after="0"/>
              <w:ind w:left="200" w:right="0" w:hanging="0"/>
              <w:jc w:val="left"/>
              <w:rPr/>
            </w:pPr>
            <w:r>
              <w:rPr/>
              <w:t>Evaluates executive performance and recommends adjustments to base salary, annual cash incentive plan awards and long-term incentive compensation</w:t>
            </w:r>
            <w:r>
              <mc:AlternateContent>
                <mc:Choice Requires="wps">
                  <w:drawing>
                    <wp:anchor behindDoc="0" distT="0" distB="0" distL="0" distR="0" simplePos="0" locked="0" layoutInCell="1" allowOverlap="1" relativeHeight="729">
                      <wp:simplePos x="0" y="0"/>
                      <wp:positionH relativeFrom="column">
                        <wp:align>left</wp:align>
                      </wp:positionH>
                      <wp:positionV relativeFrom="line">
                        <wp:posOffset>635</wp:posOffset>
                      </wp:positionV>
                      <wp:extent cx="127000" cy="350520"/>
                      <wp:effectExtent l="0" t="0" r="0" b="0"/>
                      <wp:wrapSquare wrapText="right"/>
                      <wp:docPr id="718" name="Frame6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left"/>
              <w:rPr/>
            </w:pPr>
            <w:r>
              <w:rPr/>
              <w:t>Develops business goals and objectives, which are considered and approved by the Talent and Compensation Committee and Board for inclusion in the design of our executive compensation program</w:t>
            </w:r>
            <w:r>
              <mc:AlternateContent>
                <mc:Choice Requires="wps">
                  <w:drawing>
                    <wp:anchor behindDoc="0" distT="95250" distB="0" distL="0" distR="0" simplePos="0" locked="0" layoutInCell="1" allowOverlap="1" relativeHeight="730">
                      <wp:simplePos x="0" y="0"/>
                      <wp:positionH relativeFrom="column">
                        <wp:align>left</wp:align>
                      </wp:positionH>
                      <wp:positionV relativeFrom="line">
                        <wp:align>top</wp:align>
                      </wp:positionV>
                      <wp:extent cx="127000" cy="350520"/>
                      <wp:effectExtent l="0" t="0" r="0" b="0"/>
                      <wp:wrapSquare wrapText="right"/>
                      <wp:docPr id="719" name="Frame6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60" w:before="470" w:after="283"/>
        <w:ind w:left="680" w:right="0" w:hanging="0"/>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Independent Compensation Consultant</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permitted in its charter, the Talent and Compensation Committee engages an external compensation consultant to assist it by providing information, analysis, and other advice relating to our executive compensation program and the decisions resulting from its annual executive compensation review. The Talent and Compensation Committee directly engages the compensation consultant under an engagement letter that the Talent and Compensation Committee reviews annually.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has retained Compensia, Inc. (“Compensia”), a national compensation consulting firm, to serve as its compensation consultant. The compensation consultant reports, and is directly accountable, to the Talent and Compensation Committee. The Talent and Compensation Committee has the sole authority to retain, terminate, and obtain the advice of its compensation consultant at the Company’s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selected Compensia as its compensation consultant because of the firm’s expertise and reputation and the fact that it provides no services to us other than its services to the Talent and Compensation Committee, has no other ties to management that could jeopardize its independent status, and has strong internal governance policies (including a conflicts of interest policy) that help ensure that it maintains its independence. Based upon its review of the factors set forth in the listing standards of the NYSE and relevant SEC rules, the Talent and Compensation Committee has determined that the work of Compensia does not give rise to any conflict of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fiscal 2026, Compensia did not provide any other services to us other than the consulting services to the Talent and Compensation Committee. The Talent and Compensation Committee annually reviews the objectivity and independence of its compensation advisors.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Process for Determining CEO Compensation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year, the Board evaluates our CEO’s performance relative to our strategic plan, operating goals, compensation philosophy, and key performance indicators relating to executive compensation. The Talent and Compensation Committee considers the results of this evaluation and, in consultation with its compensation consultant, also considers general market conditions, specific industry trends and our business results.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reviews each element of our CEO’s compensation, his employment agreement, and his historical compensation levels to evaluate his target total direct compensation opportunity. Thereafter, the Talent and Compensation Committee submits recommendations with respect to the compensation of our CEO to the independent members of our Board for approval. Our CEO does not participate in decisions regarding his own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Process for Determining Compensation of Other NEOs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Each year, our CEO evaluates the performance of each of our other NEOs and makes recommendations to the Talent and Compensation Committee based upon this evaluation and a market analysis supplied by the Talent and Compensation Committee’s compensation consultant. When setting compensation for the individual NEOs, the Talent and Compensation Committee considers our CEO’s recommendation relative to our strategic plan, operating goals, compensation philosophy, and the Company’s performance against key strategic performance indicators. In consultation with its compensation consultant, the Talent and Compensation Committee also considers general market conditions and specific industry trends.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CPG"/>
      <w:bookmarkEnd w:id="142"/>
      <w:r>
        <w:rPr>
          <w:rFonts w:ascii="calibri;arial;sans-serif" w:hAnsi="calibri;arial;sans-serif"/>
          <w:b w:val="false"/>
          <w:i w:val="false"/>
          <w:caps w:val="false"/>
          <w:smallCaps w:val="false"/>
          <w:color w:val="000000"/>
          <w:sz w:val="16"/>
        </w:rPr>
        <w:t>​</w:t>
      </w:r>
      <w:bookmarkStart w:id="143" w:name="tF2CD"/>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Compensation Peer Group</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annually reviews compensation levels and practices against our peer set of software and services companies. The peer group composition is adjusted as appropriate, taking into account changes in both our business and the businesses of the companies in the peer group. In November 2024, the Talent and Compensation Committee approved the following peer group for use in fiscal 2026. Our fiscal 2026 peer group is the same peer group used in fiscal 2025, except that Alteryx and Everbridge were removed due to acquisitions and AppFolio, Guidewire Software and Smartsheet were removed due to higher market capitalization. DoubleVerify, Fastly, Pagaya Technologies, Sprinklr, Sprout Social and Verint Systems were added based on our selection criteria outlined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6410325" cy="2486025"/>
            <wp:effectExtent l="0" t="0" r="0" b="0"/>
            <wp:docPr id="72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33" descr=""/>
                    <pic:cNvPicPr>
                      <a:picLocks noChangeAspect="1" noChangeArrowheads="1"/>
                    </pic:cNvPicPr>
                  </pic:nvPicPr>
                  <pic:blipFill>
                    <a:blip r:embed="rId34"/>
                    <a:stretch>
                      <a:fillRect/>
                    </a:stretch>
                  </pic:blipFill>
                  <pic:spPr bwMode="auto">
                    <a:xfrm>
                      <a:off x="0" y="0"/>
                      <a:ext cx="6410325" cy="2486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8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companies in this revised compensation peer group were selected on the basis of their similarity to us, as determined using the following criteria: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revenue size — approximately 0.5x to 2.5x our last four fiscal quarters’ revenue (approximately $341 million to $1.7 billion)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1">
                <wp:simplePos x="0" y="0"/>
                <wp:positionH relativeFrom="column">
                  <wp:align>left</wp:align>
                </wp:positionH>
                <wp:positionV relativeFrom="line">
                  <wp:align>top</wp:align>
                </wp:positionV>
                <wp:extent cx="127000" cy="350520"/>
                <wp:effectExtent l="0" t="0" r="0" b="0"/>
                <wp:wrapSquare wrapText="right"/>
                <wp:docPr id="721" name="Frame6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market capitalization — approximately 0.3x to 3.0x our market capitalization (approximately $500 million to $5.0 billion)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2">
                <wp:simplePos x="0" y="0"/>
                <wp:positionH relativeFrom="column">
                  <wp:align>left</wp:align>
                </wp:positionH>
                <wp:positionV relativeFrom="line">
                  <wp:align>top</wp:align>
                </wp:positionV>
                <wp:extent cx="127000" cy="350520"/>
                <wp:effectExtent l="0" t="0" r="0" b="0"/>
                <wp:wrapSquare wrapText="right"/>
                <wp:docPr id="722" name="Frame6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Industry affiliation — application software, internet services and infrastructure, systems software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3">
                <wp:simplePos x="0" y="0"/>
                <wp:positionH relativeFrom="column">
                  <wp:align>left</wp:align>
                </wp:positionH>
                <wp:positionV relativeFrom="line">
                  <wp:align>top</wp:align>
                </wp:positionV>
                <wp:extent cx="127000" cy="350520"/>
                <wp:effectExtent l="0" t="0" r="0" b="0"/>
                <wp:wrapSquare wrapText="right"/>
                <wp:docPr id="723" name="Frame6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business focus — Cloud/SaaS, Business-to-Business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4">
                <wp:simplePos x="0" y="0"/>
                <wp:positionH relativeFrom="column">
                  <wp:align>left</wp:align>
                </wp:positionH>
                <wp:positionV relativeFrom="line">
                  <wp:align>top</wp:align>
                </wp:positionV>
                <wp:extent cx="127000" cy="350520"/>
                <wp:effectExtent l="0" t="0" r="0" b="0"/>
                <wp:wrapSquare wrapText="right"/>
                <wp:docPr id="724" name="Frame6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analyze the compensation practices of the companies in our compensation peer group, the compensation consultant gathered data from public filings, as supplemented by the consultant’s internal databases. This market data was then used as a reference point for the Talent and Compensation Committee to assess our executive compensation levels in the course of its deliberations on compensation forms and amounts.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reviews all compensation elements for each of our executive officers compared to the similarly situated executives of our peer group companies. In determining actual pay levels for our executive officers, the Talent and Compensation Committee considers data from the companies in the compensation peer group, as well as the other factors described above, in its collective judgment.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Fiscal 2026 Compensation Decisions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ensure that our executive compensation programs remain competitive and aligned with stockholder interests, the Talent and Compensation Committee considers the following factors when evaluating and setting the target total direct compensation opportunities for our executive officers and making recommendations to the independent members of our Board with respect to the target total direct compensation opportunity for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BASA"/>
      <w:bookmarkEnd w:id="144"/>
      <w:r>
        <w:rPr>
          <w:rFonts w:ascii="calibri;arial;sans-serif" w:hAnsi="calibri;arial;sans-serif"/>
          <w:b w:val="false"/>
          <w:i w:val="false"/>
          <w:caps w:val="false"/>
          <w:smallCaps w:val="false"/>
          <w:color w:val="000000"/>
          <w:sz w:val="16"/>
        </w:rPr>
        <w:t>​</w:t>
      </w:r>
      <w:bookmarkStart w:id="145" w:name="tACIA"/>
      <w:bookmarkEnd w:id="145"/>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performance against the financial and operational objectives established by the Talent and Compensation Committee and our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127000" cy="350520"/>
                <wp:effectExtent l="0" t="0" r="0" b="0"/>
                <wp:wrapSquare wrapText="right"/>
                <wp:docPr id="725" name="Frame6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realized and realizable from previously granted equity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6">
                <wp:simplePos x="0" y="0"/>
                <wp:positionH relativeFrom="column">
                  <wp:align>left</wp:align>
                </wp:positionH>
                <wp:positionV relativeFrom="line">
                  <wp:align>top</wp:align>
                </wp:positionV>
                <wp:extent cx="127000" cy="350520"/>
                <wp:effectExtent l="0" t="0" r="0" b="0"/>
                <wp:wrapSquare wrapText="right"/>
                <wp:docPr id="726" name="Frame6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recent TSR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7">
                <wp:simplePos x="0" y="0"/>
                <wp:positionH relativeFrom="column">
                  <wp:align>left</wp:align>
                </wp:positionH>
                <wp:positionV relativeFrom="line">
                  <wp:align>top</wp:align>
                </wp:positionV>
                <wp:extent cx="127000" cy="350520"/>
                <wp:effectExtent l="0" t="0" r="0" b="0"/>
                <wp:wrapSquare wrapText="right"/>
                <wp:docPr id="727" name="Frame6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individual’s responsibilities, qualifications, and length of service;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8">
                <wp:simplePos x="0" y="0"/>
                <wp:positionH relativeFrom="column">
                  <wp:align>left</wp:align>
                </wp:positionH>
                <wp:positionV relativeFrom="line">
                  <wp:align>top</wp:align>
                </wp:positionV>
                <wp:extent cx="127000" cy="350520"/>
                <wp:effectExtent l="0" t="0" r="0" b="0"/>
                <wp:wrapSquare wrapText="right"/>
                <wp:docPr id="728" name="Frame6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scope of each NEO’s role compared to other similarly situated executives at companies in our compensation peer group;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9">
                <wp:simplePos x="0" y="0"/>
                <wp:positionH relativeFrom="column">
                  <wp:align>left</wp:align>
                </wp:positionH>
                <wp:positionV relativeFrom="line">
                  <wp:align>top</wp:align>
                </wp:positionV>
                <wp:extent cx="127000" cy="350520"/>
                <wp:effectExtent l="0" t="0" r="0" b="0"/>
                <wp:wrapSquare wrapText="right"/>
                <wp:docPr id="729" name="Frame6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performance of each individual NEO, based on an assessment of his or her contributions to our overall performance, ability to lead his or her business unit or function, and work as part of our broader team, all of which reflect our core values;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0">
                <wp:simplePos x="0" y="0"/>
                <wp:positionH relativeFrom="column">
                  <wp:align>left</wp:align>
                </wp:positionH>
                <wp:positionV relativeFrom="line">
                  <wp:align>top</wp:align>
                </wp:positionV>
                <wp:extent cx="127000" cy="350520"/>
                <wp:effectExtent l="0" t="0" r="0" b="0"/>
                <wp:wrapSquare wrapText="right"/>
                <wp:docPr id="730" name="Frame6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Compensation parity among our NEOs;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1">
                <wp:simplePos x="0" y="0"/>
                <wp:positionH relativeFrom="column">
                  <wp:align>left</wp:align>
                </wp:positionH>
                <wp:positionV relativeFrom="line">
                  <wp:align>top</wp:align>
                </wp:positionV>
                <wp:extent cx="127000" cy="350520"/>
                <wp:effectExtent l="0" t="0" r="0" b="0"/>
                <wp:wrapSquare wrapText="right"/>
                <wp:docPr id="731" name="Frame6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practices of companies in our compensation peer group and the positioning of each NEO’s compensation in a ranking of peer company compensation levels.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2">
                <wp:simplePos x="0" y="0"/>
                <wp:positionH relativeFrom="column">
                  <wp:align>left</wp:align>
                </wp:positionH>
                <wp:positionV relativeFrom="line">
                  <wp:align>top</wp:align>
                </wp:positionV>
                <wp:extent cx="127000" cy="350520"/>
                <wp:effectExtent l="0" t="0" r="0" b="0"/>
                <wp:wrapSquare wrapText="right"/>
                <wp:docPr id="732" name="Frame6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single factor is determinative in setting pay levels, but key accomplishments help guide the pay decision making process along with other factors.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Base Salary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 salary represents the only “fixed” portion of compensation our executive officers receive and is intended to attract and retain highly talented individuals by considering their position, qualifications/experience, performance, market comparators and internal equity. The Talent and Compensation Committee reviews the base salaries of our executive officers as part of its annual compensation review and adjusts base salaries as it determines necessary or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the Talent and Compensation Committee reviewed the leadership teams’ annual base salaries. Based on such review, the Talent and Compensation Committee determined to make no changes to the base salaries of all NEOs. They also recommended to the independent directors of our Board, who approved this recommendation, that the base salary of Mr. Howe be maintained at its existing level, which has not been increased since fiscal 2019. The following table sets forth the base salaries for the NEOs for fiscal 2025 and fiscal 2026, as applicable:</w:t>
      </w:r>
      <w:r>
        <w:rPr>
          <w:rFonts w:ascii="Arial;Helvetica;sans-serif" w:hAnsi="Arial;Helvetica;sans-serif"/>
          <w:b w:val="false"/>
          <w:i w:val="false"/>
          <w:caps w:val="false"/>
          <w:smallCaps w:val="false"/>
          <w:color w:val="000000"/>
          <w:spacing w:val="4"/>
          <w:sz w:val="20"/>
        </w:rPr>
        <w:t xml:space="preserve"> </w:t>
      </w:r>
    </w:p>
    <w:tbl>
      <w:tblPr>
        <w:tblW w:w="7689" w:type="dxa"/>
        <w:jc w:val="left"/>
        <w:tblInd w:w="680" w:type="dxa"/>
        <w:tblLayout w:type="fixed"/>
        <w:tblCellMar>
          <w:top w:w="0" w:type="dxa"/>
          <w:left w:w="0" w:type="dxa"/>
          <w:bottom w:w="28" w:type="dxa"/>
          <w:right w:w="0" w:type="dxa"/>
        </w:tblCellMar>
      </w:tblPr>
      <w:tblGrid>
        <w:gridCol w:w="124"/>
        <w:gridCol w:w="2596"/>
        <w:gridCol w:w="109"/>
        <w:gridCol w:w="109"/>
        <w:gridCol w:w="109"/>
        <w:gridCol w:w="226"/>
        <w:gridCol w:w="1006"/>
        <w:gridCol w:w="109"/>
        <w:gridCol w:w="109"/>
        <w:gridCol w:w="109"/>
        <w:gridCol w:w="109"/>
        <w:gridCol w:w="226"/>
        <w:gridCol w:w="1006"/>
        <w:gridCol w:w="109"/>
        <w:gridCol w:w="109"/>
        <w:gridCol w:w="109"/>
        <w:gridCol w:w="126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Fiscal 2025</w:t>
              <w:br/>
              <w:t xml:space="preserve">Base 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Fiscal 2026</w:t>
              <w:br/>
              <w:t xml:space="preserve">Base 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261" w:type="dxa"/>
            <w:tcBorders>
              <w:bottom w:val="single" w:sz="2" w:space="0" w:color="00BC6F"/>
            </w:tcBorders>
            <w:shd w:fill="D8D8D8" w:val="clear"/>
            <w:tcMar>
              <w:bottom w:w="42" w:type="dxa"/>
            </w:tcMar>
            <w:vAlign w:val="center"/>
          </w:tcPr>
          <w:p>
            <w:pPr>
              <w:pStyle w:val="TableContents"/>
              <w:bidi w:val="0"/>
              <w:spacing w:before="0" w:after="0"/>
              <w:jc w:val="center"/>
              <w:rPr/>
            </w:pPr>
            <w:r>
              <w:rPr/>
              <w:t>Percentage</w:t>
              <w:br/>
              <w:t xml:space="preserve">Adjustment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78740" cy="175260"/>
                      <wp:effectExtent l="0" t="0" r="0" b="0"/>
                      <wp:wrapNone/>
                      <wp:docPr id="733" name="Frame7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744">
                      <wp:simplePos x="0" y="0"/>
                      <wp:positionH relativeFrom="page">
                        <wp:posOffset>-12700</wp:posOffset>
                      </wp:positionH>
                      <wp:positionV relativeFrom="line">
                        <wp:posOffset>635</wp:posOffset>
                      </wp:positionV>
                      <wp:extent cx="1648460" cy="175260"/>
                      <wp:effectExtent l="0" t="0" r="0" b="0"/>
                      <wp:wrapNone/>
                      <wp:docPr id="734" name="Frame70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9215" cy="175260"/>
                      <wp:effectExtent l="0" t="0" r="0" b="0"/>
                      <wp:wrapNone/>
                      <wp:docPr id="735" name="Frame7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9215" cy="175260"/>
                      <wp:effectExtent l="0" t="0" r="0" b="0"/>
                      <wp:wrapNone/>
                      <wp:docPr id="736" name="Frame7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690,000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69215" cy="175260"/>
                      <wp:effectExtent l="0" t="0" r="0" b="0"/>
                      <wp:wrapNone/>
                      <wp:docPr id="737" name="Frame7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38" name="Frame7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690,000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69215" cy="175260"/>
                      <wp:effectExtent l="0" t="0" r="0" b="0"/>
                      <wp:wrapNone/>
                      <wp:docPr id="739" name="Frame7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9215" cy="175260"/>
                      <wp:effectExtent l="0" t="0" r="0" b="0"/>
                      <wp:wrapNone/>
                      <wp:docPr id="740" name="Frame7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51">
                      <wp:simplePos x="0" y="0"/>
                      <wp:positionH relativeFrom="page">
                        <wp:posOffset>-12700</wp:posOffset>
                      </wp:positionH>
                      <wp:positionV relativeFrom="line">
                        <wp:posOffset>635</wp:posOffset>
                      </wp:positionV>
                      <wp:extent cx="800735" cy="175260"/>
                      <wp:effectExtent l="0" t="0" r="0" b="0"/>
                      <wp:wrapNone/>
                      <wp:docPr id="741" name="Frame70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97790" cy="175260"/>
                      <wp:effectExtent l="0" t="0" r="0" b="0"/>
                      <wp:wrapNone/>
                      <wp:docPr id="742" name="Frame7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78740" cy="175260"/>
                      <wp:effectExtent l="0" t="0" r="0" b="0"/>
                      <wp:wrapNone/>
                      <wp:docPr id="743" name="Frame7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754">
                      <wp:simplePos x="0" y="0"/>
                      <wp:positionH relativeFrom="page">
                        <wp:posOffset>-12700</wp:posOffset>
                      </wp:positionH>
                      <wp:positionV relativeFrom="line">
                        <wp:posOffset>635</wp:posOffset>
                      </wp:positionV>
                      <wp:extent cx="1648460" cy="175260"/>
                      <wp:effectExtent l="0" t="0" r="0" b="0"/>
                      <wp:wrapNone/>
                      <wp:docPr id="744" name="Frame7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9215" cy="175260"/>
                      <wp:effectExtent l="0" t="0" r="0" b="0"/>
                      <wp:wrapNone/>
                      <wp:docPr id="745" name="Frame7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69215" cy="175260"/>
                      <wp:effectExtent l="0" t="0" r="0" b="0"/>
                      <wp:wrapNone/>
                      <wp:docPr id="746" name="Frame7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69215" cy="175260"/>
                      <wp:effectExtent l="0" t="0" r="0" b="0"/>
                      <wp:wrapNone/>
                      <wp:docPr id="747" name="Frame7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9215" cy="175260"/>
                      <wp:effectExtent l="0" t="0" r="0" b="0"/>
                      <wp:wrapNone/>
                      <wp:docPr id="748" name="Frame7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69215" cy="175260"/>
                      <wp:effectExtent l="0" t="0" r="0" b="0"/>
                      <wp:wrapNone/>
                      <wp:docPr id="749" name="Frame7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9215" cy="175260"/>
                      <wp:effectExtent l="0" t="0" r="0" b="0"/>
                      <wp:wrapNone/>
                      <wp:docPr id="750" name="Frame7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61">
                      <wp:simplePos x="0" y="0"/>
                      <wp:positionH relativeFrom="page">
                        <wp:posOffset>-12700</wp:posOffset>
                      </wp:positionH>
                      <wp:positionV relativeFrom="line">
                        <wp:posOffset>635</wp:posOffset>
                      </wp:positionV>
                      <wp:extent cx="800735" cy="175260"/>
                      <wp:effectExtent l="0" t="0" r="0" b="0"/>
                      <wp:wrapNone/>
                      <wp:docPr id="751" name="Frame71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97790" cy="175260"/>
                      <wp:effectExtent l="0" t="0" r="0" b="0"/>
                      <wp:wrapNone/>
                      <wp:docPr id="752" name="Frame7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78740" cy="175260"/>
                      <wp:effectExtent l="0" t="0" r="0" b="0"/>
                      <wp:wrapNone/>
                      <wp:docPr id="753" name="Frame7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1</w:t>
            </w:r>
            <w:r>
              <w:rPr/>
              <w:t xml:space="preserve"> </w:t>
            </w:r>
            <w:r>
              <mc:AlternateContent>
                <mc:Choice Requires="wps">
                  <w:drawing>
                    <wp:anchor behindDoc="0" distT="0" distB="0" distL="0" distR="0" simplePos="0" locked="0" layoutInCell="1" allowOverlap="1" relativeHeight="764">
                      <wp:simplePos x="0" y="0"/>
                      <wp:positionH relativeFrom="page">
                        <wp:posOffset>-12700</wp:posOffset>
                      </wp:positionH>
                      <wp:positionV relativeFrom="line">
                        <wp:posOffset>635</wp:posOffset>
                      </wp:positionV>
                      <wp:extent cx="1648460" cy="175260"/>
                      <wp:effectExtent l="0" t="0" r="0" b="0"/>
                      <wp:wrapNone/>
                      <wp:docPr id="754" name="Frame72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9215" cy="175260"/>
                      <wp:effectExtent l="0" t="0" r="0" b="0"/>
                      <wp:wrapNone/>
                      <wp:docPr id="755" name="Frame7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9215" cy="175260"/>
                      <wp:effectExtent l="0" t="0" r="0" b="0"/>
                      <wp:wrapNone/>
                      <wp:docPr id="756" name="Frame7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69215" cy="175260"/>
                      <wp:effectExtent l="0" t="0" r="0" b="0"/>
                      <wp:wrapNone/>
                      <wp:docPr id="757" name="Frame7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69215" cy="175260"/>
                      <wp:effectExtent l="0" t="0" r="0" b="0"/>
                      <wp:wrapNone/>
                      <wp:docPr id="758" name="Frame7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69215" cy="175260"/>
                      <wp:effectExtent l="0" t="0" r="0" b="0"/>
                      <wp:wrapNone/>
                      <wp:docPr id="759" name="Frame7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69215" cy="175260"/>
                      <wp:effectExtent l="0" t="0" r="0" b="0"/>
                      <wp:wrapNone/>
                      <wp:docPr id="760" name="Frame7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N/A</w:t>
            </w:r>
            <w:r>
              <mc:AlternateContent>
                <mc:Choice Requires="wps">
                  <w:drawing>
                    <wp:anchor behindDoc="0" distT="0" distB="0" distL="0" distR="0" simplePos="0" locked="0" layoutInCell="1" allowOverlap="1" relativeHeight="771">
                      <wp:simplePos x="0" y="0"/>
                      <wp:positionH relativeFrom="page">
                        <wp:posOffset>-12700</wp:posOffset>
                      </wp:positionH>
                      <wp:positionV relativeFrom="line">
                        <wp:posOffset>635</wp:posOffset>
                      </wp:positionV>
                      <wp:extent cx="800735" cy="175260"/>
                      <wp:effectExtent l="0" t="0" r="0" b="0"/>
                      <wp:wrapNone/>
                      <wp:docPr id="761" name="Frame72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97790" cy="175260"/>
                      <wp:effectExtent l="0" t="0" r="0" b="0"/>
                      <wp:wrapNone/>
                      <wp:docPr id="762" name="Frame7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78740" cy="175260"/>
                      <wp:effectExtent l="0" t="0" r="0" b="0"/>
                      <wp:wrapNone/>
                      <wp:docPr id="763" name="Frame7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Sharma</w:t>
            </w:r>
            <w:r>
              <w:rPr>
                <w:sz w:val="13"/>
              </w:rPr>
              <w:t>2</w:t>
            </w:r>
            <w:r>
              <w:rPr/>
              <w:t xml:space="preserve"> </w:t>
            </w:r>
            <w:r>
              <mc:AlternateContent>
                <mc:Choice Requires="wps">
                  <w:drawing>
                    <wp:anchor behindDoc="0" distT="0" distB="0" distL="0" distR="0" simplePos="0" locked="0" layoutInCell="1" allowOverlap="1" relativeHeight="774">
                      <wp:simplePos x="0" y="0"/>
                      <wp:positionH relativeFrom="page">
                        <wp:posOffset>-12700</wp:posOffset>
                      </wp:positionH>
                      <wp:positionV relativeFrom="line">
                        <wp:posOffset>635</wp:posOffset>
                      </wp:positionV>
                      <wp:extent cx="1648460" cy="175260"/>
                      <wp:effectExtent l="0" t="0" r="0" b="0"/>
                      <wp:wrapNone/>
                      <wp:docPr id="764" name="Frame73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69215" cy="175260"/>
                      <wp:effectExtent l="0" t="0" r="0" b="0"/>
                      <wp:wrapNone/>
                      <wp:docPr id="765" name="Frame7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69215" cy="175260"/>
                      <wp:effectExtent l="0" t="0" r="0" b="0"/>
                      <wp:wrapNone/>
                      <wp:docPr id="766" name="Frame7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69215" cy="175260"/>
                      <wp:effectExtent l="0" t="0" r="0" b="0"/>
                      <wp:wrapNone/>
                      <wp:docPr id="767" name="Frame7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9215" cy="175260"/>
                      <wp:effectExtent l="0" t="0" r="0" b="0"/>
                      <wp:wrapNone/>
                      <wp:docPr id="768" name="Frame7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69215" cy="175260"/>
                      <wp:effectExtent l="0" t="0" r="0" b="0"/>
                      <wp:wrapNone/>
                      <wp:docPr id="769" name="Frame7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69215" cy="175260"/>
                      <wp:effectExtent l="0" t="0" r="0" b="0"/>
                      <wp:wrapNone/>
                      <wp:docPr id="770" name="Frame7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81">
                      <wp:simplePos x="0" y="0"/>
                      <wp:positionH relativeFrom="page">
                        <wp:posOffset>-12700</wp:posOffset>
                      </wp:positionH>
                      <wp:positionV relativeFrom="line">
                        <wp:posOffset>635</wp:posOffset>
                      </wp:positionV>
                      <wp:extent cx="800735" cy="175260"/>
                      <wp:effectExtent l="0" t="0" r="0" b="0"/>
                      <wp:wrapNone/>
                      <wp:docPr id="771" name="Frame73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97790" cy="175260"/>
                      <wp:effectExtent l="0" t="0" r="0" b="0"/>
                      <wp:wrapNone/>
                      <wp:docPr id="772" name="Frame7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78740" cy="175260"/>
                      <wp:effectExtent l="0" t="0" r="0" b="0"/>
                      <wp:wrapNone/>
                      <wp:docPr id="773" name="Frame74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784">
                      <wp:simplePos x="0" y="0"/>
                      <wp:positionH relativeFrom="page">
                        <wp:posOffset>-12700</wp:posOffset>
                      </wp:positionH>
                      <wp:positionV relativeFrom="line">
                        <wp:posOffset>635</wp:posOffset>
                      </wp:positionV>
                      <wp:extent cx="1648460" cy="175260"/>
                      <wp:effectExtent l="0" t="0" r="0" b="0"/>
                      <wp:wrapNone/>
                      <wp:docPr id="774" name="Frame74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69215" cy="175260"/>
                      <wp:effectExtent l="0" t="0" r="0" b="0"/>
                      <wp:wrapNone/>
                      <wp:docPr id="775" name="Frame7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69215" cy="175260"/>
                      <wp:effectExtent l="0" t="0" r="0" b="0"/>
                      <wp:wrapNone/>
                      <wp:docPr id="776" name="Frame7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77" name="Frame7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69215" cy="175260"/>
                      <wp:effectExtent l="0" t="0" r="0" b="0"/>
                      <wp:wrapNone/>
                      <wp:docPr id="778" name="Frame7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69215" cy="175260"/>
                      <wp:effectExtent l="0" t="0" r="0" b="0"/>
                      <wp:wrapNone/>
                      <wp:docPr id="779" name="Frame7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69215" cy="175260"/>
                      <wp:effectExtent l="0" t="0" r="0" b="0"/>
                      <wp:wrapNone/>
                      <wp:docPr id="780" name="Frame7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91">
                      <wp:simplePos x="0" y="0"/>
                      <wp:positionH relativeFrom="page">
                        <wp:posOffset>-12700</wp:posOffset>
                      </wp:positionH>
                      <wp:positionV relativeFrom="line">
                        <wp:posOffset>635</wp:posOffset>
                      </wp:positionV>
                      <wp:extent cx="800735" cy="175260"/>
                      <wp:effectExtent l="0" t="0" r="0" b="0"/>
                      <wp:wrapNone/>
                      <wp:docPr id="781" name="Frame74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97790" cy="175260"/>
                      <wp:effectExtent l="0" t="0" r="0" b="0"/>
                      <wp:wrapNone/>
                      <wp:docPr id="782" name="Frame7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596" w:type="dxa"/>
            <w:tcBorders>
              <w:bottom w:val="single" w:sz="6" w:space="0" w:color="00BC6F"/>
            </w:tcBorders>
            <w:tcMar>
              <w:bottom w:w="5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50" w:type="dxa"/>
            </w:tcMar>
            <w:vAlign w:val="center"/>
          </w:tcPr>
          <w:p>
            <w:pPr>
              <w:pStyle w:val="TableContents"/>
              <w:bidi w:val="0"/>
              <w:spacing w:before="0" w:after="283"/>
              <w:jc w:val="right"/>
              <w:rPr/>
            </w:pPr>
            <w:r>
              <w:rPr/>
              <w:t>$</w:t>
            </w:r>
          </w:p>
        </w:tc>
        <w:tc>
          <w:tcPr>
            <w:tcW w:w="1006" w:type="dxa"/>
            <w:tcBorders>
              <w:bottom w:val="single" w:sz="6" w:space="0" w:color="00BC6F"/>
            </w:tcBorders>
            <w:tcMar>
              <w:bottom w:w="50" w:type="dxa"/>
            </w:tcMar>
            <w:vAlign w:val="center"/>
          </w:tcPr>
          <w:p>
            <w:pPr>
              <w:pStyle w:val="TableContents"/>
              <w:bidi w:val="0"/>
              <w:spacing w:before="0" w:after="283"/>
              <w:jc w:val="right"/>
              <w:rPr/>
            </w:pPr>
            <w:r>
              <w:rPr/>
              <w:t>430,000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50" w:type="dxa"/>
            </w:tcMar>
            <w:vAlign w:val="center"/>
          </w:tcPr>
          <w:p>
            <w:pPr>
              <w:pStyle w:val="TableContents"/>
              <w:bidi w:val="0"/>
              <w:spacing w:before="0" w:after="283"/>
              <w:jc w:val="right"/>
              <w:rPr/>
            </w:pPr>
            <w:r>
              <w:rPr/>
              <w:t>$</w:t>
            </w:r>
          </w:p>
        </w:tc>
        <w:tc>
          <w:tcPr>
            <w:tcW w:w="1006" w:type="dxa"/>
            <w:tcBorders>
              <w:bottom w:val="single" w:sz="6" w:space="0" w:color="00BC6F"/>
            </w:tcBorders>
            <w:tcMar>
              <w:bottom w:w="50" w:type="dxa"/>
            </w:tcMar>
            <w:vAlign w:val="center"/>
          </w:tcPr>
          <w:p>
            <w:pPr>
              <w:pStyle w:val="TableContents"/>
              <w:bidi w:val="0"/>
              <w:spacing w:before="0" w:after="283"/>
              <w:jc w:val="right"/>
              <w:rPr/>
            </w:pPr>
            <w:r>
              <w:rPr/>
              <w:t>430,000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61" w:type="dxa"/>
            <w:tcBorders>
              <w:bottom w:val="single" w:sz="6" w:space="0" w:color="00BC6F"/>
            </w:tcBorders>
            <w:tcMar>
              <w:bottom w:w="50" w:type="dxa"/>
            </w:tcMar>
            <w:vAlign w:val="center"/>
          </w:tcPr>
          <w:p>
            <w:pPr>
              <w:pStyle w:val="TableContents"/>
              <w:bidi w:val="0"/>
              <w:spacing w:before="0" w:after="0"/>
              <w:jc w:val="right"/>
              <w:rPr/>
            </w:pPr>
            <w:r>
              <w:rPr/>
              <w:t>0.0%</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Karasick was not an executive officer in fiscal 2025. In connection with his promotion to Chief Product Officer in December 2025, Mr. Karasick received an increase in base salary to $430,000.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793">
                <wp:simplePos x="0" y="0"/>
                <wp:positionH relativeFrom="column">
                  <wp:align>left</wp:align>
                </wp:positionH>
                <wp:positionV relativeFrom="line">
                  <wp:align>top</wp:align>
                </wp:positionV>
                <wp:extent cx="254000" cy="254000"/>
                <wp:effectExtent l="0" t="0" r="0" b="0"/>
                <wp:wrapSquare wrapText="right"/>
                <wp:docPr id="783" name="Frame7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794">
                <wp:simplePos x="0" y="0"/>
                <wp:positionH relativeFrom="column">
                  <wp:align>left</wp:align>
                </wp:positionH>
                <wp:positionV relativeFrom="line">
                  <wp:align>top</wp:align>
                </wp:positionV>
                <wp:extent cx="254000" cy="254000"/>
                <wp:effectExtent l="0" t="0" r="0" b="0"/>
                <wp:wrapSquare wrapText="right"/>
                <wp:docPr id="784" name="Frame7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Annual Cash Incentive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Annual cash incentives, which represent the short-term variable portion of the executive officers’ compensation, provide opportunities to earn compensation by meeting or exceeding short-term financial and operational goals that are essential to company growth. Target annual cash incentive award opportunities are set as a percentage of base salary and are determined by considering market competitiveness and actual payout is based on both individual and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fiscal 2026, the NEOs participated in annual cash incentive programs. All of the NEOs except Mr. Sharma participated in the Fiscal 2026 CIP. Mr. Sharma’s annual cash incentive opportunity was based on our sales commission plan that aligned with his responsibilities as Chief Revenue Officer. Each of the incentive programs is discussed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Target Annual Cash Incentive Opportunities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the Talent and Compensation Committee reviewed the NEOs’ target annual cash incentive opportunities. Based on such review, the Talent and Compensation Committee determined to maintain the target incentive opportunities (expressed as a percentage of base salary) for all executive officers at the same level as fiscal 2025, except for Ms. Dillard, whose target annual cash incentive opportunity was increased to reflect her expanded operational responsibilities and oversight. The target annual cash incentive opportunities of our NEOs for fiscal 2026 were as follows:</w:t>
      </w:r>
      <w:r>
        <w:rPr>
          <w:rFonts w:ascii="Arial;Helvetica;sans-serif" w:hAnsi="Arial;Helvetica;sans-serif"/>
          <w:b w:val="false"/>
          <w:i w:val="false"/>
          <w:caps w:val="false"/>
          <w:smallCaps w:val="false"/>
          <w:color w:val="000000"/>
          <w:spacing w:val="4"/>
          <w:sz w:val="20"/>
        </w:rPr>
        <w:t xml:space="preserve"> </w:t>
      </w:r>
    </w:p>
    <w:tbl>
      <w:tblPr>
        <w:tblW w:w="6273" w:type="dxa"/>
        <w:jc w:val="left"/>
        <w:tblInd w:w="680" w:type="dxa"/>
        <w:tblLayout w:type="fixed"/>
        <w:tblCellMar>
          <w:top w:w="0" w:type="dxa"/>
          <w:left w:w="0" w:type="dxa"/>
          <w:bottom w:w="28" w:type="dxa"/>
          <w:right w:w="0" w:type="dxa"/>
        </w:tblCellMar>
      </w:tblPr>
      <w:tblGrid>
        <w:gridCol w:w="124"/>
        <w:gridCol w:w="2596"/>
        <w:gridCol w:w="109"/>
        <w:gridCol w:w="109"/>
        <w:gridCol w:w="207"/>
        <w:gridCol w:w="207"/>
        <w:gridCol w:w="890"/>
        <w:gridCol w:w="209"/>
        <w:gridCol w:w="109"/>
        <w:gridCol w:w="109"/>
        <w:gridCol w:w="109"/>
        <w:gridCol w:w="226"/>
        <w:gridCol w:w="1006"/>
        <w:gridCol w:w="109"/>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513" w:type="dxa"/>
            <w:gridSpan w:val="4"/>
            <w:tcBorders>
              <w:bottom w:val="single" w:sz="2" w:space="0" w:color="00BC6F"/>
            </w:tcBorders>
            <w:shd w:fill="D8D8D8" w:val="clear"/>
            <w:vAlign w:val="center"/>
          </w:tcPr>
          <w:p>
            <w:pPr>
              <w:pStyle w:val="TableContents"/>
              <w:bidi w:val="0"/>
              <w:spacing w:before="0" w:after="0"/>
              <w:jc w:val="center"/>
              <w:rPr/>
            </w:pPr>
            <w:r>
              <w:rPr/>
              <w:t>Target Annual</w:t>
              <w:br/>
              <w:t>Cash Incentive</w:t>
              <w:br/>
              <w:t>Opportunity</w:t>
              <w:br/>
              <w:t xml:space="preserve">(% of Base </w:t>
              <w:br/>
              <w:t xml:space="preserve">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Target</w:t>
              <w:br/>
              <w:t>Annual Cash</w:t>
              <w:br/>
              <w:t>Incentive</w:t>
              <w:br/>
              <w:t>Opportunity</w:t>
              <w:br/>
              <w:t xml:space="preserve">($)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78740" cy="175260"/>
                      <wp:effectExtent l="0" t="0" r="0" b="0"/>
                      <wp:wrapNone/>
                      <wp:docPr id="785" name="Frame75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796">
                      <wp:simplePos x="0" y="0"/>
                      <wp:positionH relativeFrom="page">
                        <wp:posOffset>-12700</wp:posOffset>
                      </wp:positionH>
                      <wp:positionV relativeFrom="line">
                        <wp:posOffset>635</wp:posOffset>
                      </wp:positionV>
                      <wp:extent cx="1648460" cy="175260"/>
                      <wp:effectExtent l="0" t="0" r="0" b="0"/>
                      <wp:wrapNone/>
                      <wp:docPr id="786" name="Frame75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87" name="Frame7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69215" cy="175260"/>
                      <wp:effectExtent l="0" t="0" r="0" b="0"/>
                      <wp:wrapNone/>
                      <wp:docPr id="788" name="Frame7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110%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215" cy="175260"/>
                      <wp:effectExtent l="0" t="0" r="0" b="0"/>
                      <wp:wrapNone/>
                      <wp:docPr id="789" name="Frame7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69215" cy="175260"/>
                      <wp:effectExtent l="0" t="0" r="0" b="0"/>
                      <wp:wrapNone/>
                      <wp:docPr id="790" name="Frame7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759,000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97790" cy="175260"/>
                      <wp:effectExtent l="0" t="0" r="0" b="0"/>
                      <wp:wrapNone/>
                      <wp:docPr id="791" name="Frame7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78740" cy="175260"/>
                      <wp:effectExtent l="0" t="0" r="0" b="0"/>
                      <wp:wrapNone/>
                      <wp:docPr id="792" name="Frame7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803">
                      <wp:simplePos x="0" y="0"/>
                      <wp:positionH relativeFrom="page">
                        <wp:posOffset>-12700</wp:posOffset>
                      </wp:positionH>
                      <wp:positionV relativeFrom="line">
                        <wp:posOffset>635</wp:posOffset>
                      </wp:positionV>
                      <wp:extent cx="1648460" cy="175260"/>
                      <wp:effectExtent l="0" t="0" r="0" b="0"/>
                      <wp:wrapNone/>
                      <wp:docPr id="793" name="Frame76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69215" cy="175260"/>
                      <wp:effectExtent l="0" t="0" r="0" b="0"/>
                      <wp:wrapNone/>
                      <wp:docPr id="794" name="Frame7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69215" cy="175260"/>
                      <wp:effectExtent l="0" t="0" r="0" b="0"/>
                      <wp:wrapNone/>
                      <wp:docPr id="795" name="Frame7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80%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69215" cy="175260"/>
                      <wp:effectExtent l="0" t="0" r="0" b="0"/>
                      <wp:wrapNone/>
                      <wp:docPr id="796" name="Frame7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69215" cy="175260"/>
                      <wp:effectExtent l="0" t="0" r="0" b="0"/>
                      <wp:wrapNone/>
                      <wp:docPr id="797" name="Frame7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97790" cy="175260"/>
                      <wp:effectExtent l="0" t="0" r="0" b="0"/>
                      <wp:wrapNone/>
                      <wp:docPr id="798" name="Frame7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78740" cy="175260"/>
                      <wp:effectExtent l="0" t="0" r="0" b="0"/>
                      <wp:wrapNone/>
                      <wp:docPr id="799" name="Frame76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1</w:t>
            </w:r>
            <w:r>
              <w:rPr/>
              <w:t xml:space="preserve"> </w:t>
            </w:r>
            <w:r>
              <mc:AlternateContent>
                <mc:Choice Requires="wps">
                  <w:drawing>
                    <wp:anchor behindDoc="0" distT="0" distB="0" distL="0" distR="0" simplePos="0" locked="0" layoutInCell="1" allowOverlap="1" relativeHeight="810">
                      <wp:simplePos x="0" y="0"/>
                      <wp:positionH relativeFrom="page">
                        <wp:posOffset>-12700</wp:posOffset>
                      </wp:positionH>
                      <wp:positionV relativeFrom="line">
                        <wp:posOffset>635</wp:posOffset>
                      </wp:positionV>
                      <wp:extent cx="1648460" cy="175260"/>
                      <wp:effectExtent l="0" t="0" r="0" b="0"/>
                      <wp:wrapNone/>
                      <wp:docPr id="800" name="Frame76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69215" cy="175260"/>
                      <wp:effectExtent l="0" t="0" r="0" b="0"/>
                      <wp:wrapNone/>
                      <wp:docPr id="801" name="Frame7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69215" cy="175260"/>
                      <wp:effectExtent l="0" t="0" r="0" b="0"/>
                      <wp:wrapNone/>
                      <wp:docPr id="802" name="Frame7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75%</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175260"/>
                      <wp:effectExtent l="0" t="0" r="0" b="0"/>
                      <wp:wrapNone/>
                      <wp:docPr id="803" name="Frame7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69215" cy="175260"/>
                      <wp:effectExtent l="0" t="0" r="0" b="0"/>
                      <wp:wrapNone/>
                      <wp:docPr id="804" name="Frame7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322,500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97790" cy="175260"/>
                      <wp:effectExtent l="0" t="0" r="0" b="0"/>
                      <wp:wrapNone/>
                      <wp:docPr id="805" name="Frame7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78740" cy="175260"/>
                      <wp:effectExtent l="0" t="0" r="0" b="0"/>
                      <wp:wrapNone/>
                      <wp:docPr id="806" name="Frame7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Sharma</w:t>
            </w:r>
            <w:r>
              <w:rPr>
                <w:sz w:val="13"/>
              </w:rPr>
              <w:t>2</w:t>
            </w:r>
            <w:r>
              <w:rPr/>
              <w:t xml:space="preserve"> </w:t>
            </w:r>
            <w:r>
              <mc:AlternateContent>
                <mc:Choice Requires="wps">
                  <w:drawing>
                    <wp:anchor behindDoc="0" distT="0" distB="0" distL="0" distR="0" simplePos="0" locked="0" layoutInCell="1" allowOverlap="1" relativeHeight="817">
                      <wp:simplePos x="0" y="0"/>
                      <wp:positionH relativeFrom="page">
                        <wp:posOffset>-12700</wp:posOffset>
                      </wp:positionH>
                      <wp:positionV relativeFrom="line">
                        <wp:posOffset>635</wp:posOffset>
                      </wp:positionV>
                      <wp:extent cx="1648460" cy="175260"/>
                      <wp:effectExtent l="0" t="0" r="0" b="0"/>
                      <wp:wrapNone/>
                      <wp:docPr id="807" name="Frame77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9215" cy="175260"/>
                      <wp:effectExtent l="0" t="0" r="0" b="0"/>
                      <wp:wrapNone/>
                      <wp:docPr id="808" name="Frame7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9215" cy="175260"/>
                      <wp:effectExtent l="0" t="0" r="0" b="0"/>
                      <wp:wrapNone/>
                      <wp:docPr id="809" name="Frame7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69215" cy="175260"/>
                      <wp:effectExtent l="0" t="0" r="0" b="0"/>
                      <wp:wrapNone/>
                      <wp:docPr id="810" name="Frame7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69215" cy="175260"/>
                      <wp:effectExtent l="0" t="0" r="0" b="0"/>
                      <wp:wrapNone/>
                      <wp:docPr id="811" name="Frame7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97790" cy="175260"/>
                      <wp:effectExtent l="0" t="0" r="0" b="0"/>
                      <wp:wrapNone/>
                      <wp:docPr id="812" name="Frame77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78740" cy="175260"/>
                      <wp:effectExtent l="0" t="0" r="0" b="0"/>
                      <wp:wrapNone/>
                      <wp:docPr id="813" name="Frame7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824">
                      <wp:simplePos x="0" y="0"/>
                      <wp:positionH relativeFrom="page">
                        <wp:posOffset>-12700</wp:posOffset>
                      </wp:positionH>
                      <wp:positionV relativeFrom="line">
                        <wp:posOffset>635</wp:posOffset>
                      </wp:positionV>
                      <wp:extent cx="1648460" cy="175260"/>
                      <wp:effectExtent l="0" t="0" r="0" b="0"/>
                      <wp:wrapNone/>
                      <wp:docPr id="814" name="Frame78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69215" cy="175260"/>
                      <wp:effectExtent l="0" t="0" r="0" b="0"/>
                      <wp:wrapNone/>
                      <wp:docPr id="815" name="Frame7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69215" cy="175260"/>
                      <wp:effectExtent l="0" t="0" r="0" b="0"/>
                      <wp:wrapNone/>
                      <wp:docPr id="816" name="Frame7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75%</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69215" cy="175260"/>
                      <wp:effectExtent l="0" t="0" r="0" b="0"/>
                      <wp:wrapNone/>
                      <wp:docPr id="817" name="Frame7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69215" cy="175260"/>
                      <wp:effectExtent l="0" t="0" r="0" b="0"/>
                      <wp:wrapNone/>
                      <wp:docPr id="818" name="Frame7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337,500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97790" cy="175260"/>
                      <wp:effectExtent l="0" t="0" r="0" b="0"/>
                      <wp:wrapNone/>
                      <wp:docPr id="819" name="Frame78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596" w:type="dxa"/>
            <w:tcBorders>
              <w:bottom w:val="single" w:sz="6" w:space="0" w:color="00BC6F"/>
            </w:tcBorders>
            <w:tcMar>
              <w:bottom w:w="3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07" w:type="dxa"/>
            <w:tcBorders>
              <w:bottom w:val="single" w:sz="6" w:space="0" w:color="00BC6F"/>
            </w:tcBorders>
            <w:vAlign w:val="center"/>
          </w:tcPr>
          <w:p>
            <w:pPr>
              <w:pStyle w:val="TableContents"/>
              <w:bidi w:val="0"/>
              <w:spacing w:before="0" w:after="283"/>
              <w:jc w:val="left"/>
              <w:rPr/>
            </w:pPr>
            <w:r>
              <w:rPr/>
              <w:t>​</w:t>
            </w:r>
          </w:p>
        </w:tc>
        <w:tc>
          <w:tcPr>
            <w:tcW w:w="207" w:type="dxa"/>
            <w:tcBorders>
              <w:bottom w:val="single" w:sz="6" w:space="0" w:color="00BC6F"/>
            </w:tcBorders>
            <w:tcMar>
              <w:bottom w:w="30" w:type="dxa"/>
            </w:tcMar>
            <w:vAlign w:val="center"/>
          </w:tcPr>
          <w:p>
            <w:pPr>
              <w:pStyle w:val="TableContents"/>
              <w:bidi w:val="0"/>
              <w:spacing w:before="0" w:after="283"/>
              <w:jc w:val="right"/>
              <w:rPr/>
            </w:pPr>
            <w:r>
              <w:rPr/>
              <w:t>​</w:t>
            </w:r>
          </w:p>
        </w:tc>
        <w:tc>
          <w:tcPr>
            <w:tcW w:w="890" w:type="dxa"/>
            <w:tcBorders>
              <w:bottom w:val="single" w:sz="6" w:space="0" w:color="00BC6F"/>
            </w:tcBorders>
            <w:tcMar>
              <w:bottom w:w="30" w:type="dxa"/>
            </w:tcMar>
            <w:vAlign w:val="center"/>
          </w:tcPr>
          <w:p>
            <w:pPr>
              <w:pStyle w:val="TableContents"/>
              <w:bidi w:val="0"/>
              <w:spacing w:before="0" w:after="283"/>
              <w:jc w:val="right"/>
              <w:rPr/>
            </w:pPr>
            <w:r>
              <w:rPr/>
              <w:t>75%</w:t>
            </w:r>
          </w:p>
        </w:tc>
        <w:tc>
          <w:tcPr>
            <w:tcW w:w="2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322,500</w:t>
            </w:r>
          </w:p>
        </w:tc>
        <w:tc>
          <w:tcPr>
            <w:tcW w:w="109" w:type="dxa"/>
            <w:tcBorders>
              <w:bottom w:val="single" w:sz="6" w:space="0" w:color="00BC6F"/>
            </w:tcBorders>
            <w:vAlign w:val="center"/>
          </w:tcPr>
          <w:p>
            <w:pPr>
              <w:pStyle w:val="TableContents"/>
              <w:bidi w:val="0"/>
              <w:spacing w:before="0" w:after="283"/>
              <w:jc w:val="left"/>
              <w:rPr/>
            </w:pPr>
            <w:r>
              <w:rPr/>
              <w:t>​</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Karasick’s target annual cash incentive opportunity (in dollars) is calculated using his base salary following his promotion to Chief Product Officer in December 2025. His incentive opportunity (as a % of base salary) was not increased in connection with his promotion.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830">
                <wp:simplePos x="0" y="0"/>
                <wp:positionH relativeFrom="column">
                  <wp:align>left</wp:align>
                </wp:positionH>
                <wp:positionV relativeFrom="line">
                  <wp:align>top</wp:align>
                </wp:positionV>
                <wp:extent cx="254000" cy="254000"/>
                <wp:effectExtent l="0" t="0" r="0" b="0"/>
                <wp:wrapSquare wrapText="right"/>
                <wp:docPr id="820" name="Frame78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831">
                <wp:simplePos x="0" y="0"/>
                <wp:positionH relativeFrom="column">
                  <wp:align>left</wp:align>
                </wp:positionH>
                <wp:positionV relativeFrom="line">
                  <wp:align>top</wp:align>
                </wp:positionV>
                <wp:extent cx="254000" cy="254000"/>
                <wp:effectExtent l="0" t="0" r="0" b="0"/>
                <wp:wrapSquare wrapText="right"/>
                <wp:docPr id="821" name="Frame78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CIP Performance Measures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selected Adjusted Revenue and Non-GAAP EBIT (each weighted 50%) as the corporate performance measures for the Fiscal 2026 CIP.</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384"/>
        <w:gridCol w:w="109"/>
        <w:gridCol w:w="109"/>
        <w:gridCol w:w="4619"/>
        <w:gridCol w:w="109"/>
        <w:gridCol w:w="109"/>
        <w:gridCol w:w="2807"/>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384" w:type="dxa"/>
            <w:tcBorders>
              <w:bottom w:val="single" w:sz="2" w:space="0" w:color="00BC6F"/>
            </w:tcBorders>
            <w:shd w:fill="D8D8D8" w:val="clear"/>
            <w:vAlign w:val="center"/>
          </w:tcPr>
          <w:p>
            <w:pPr>
              <w:pStyle w:val="TableContents"/>
              <w:bidi w:val="0"/>
              <w:spacing w:before="0" w:after="0"/>
              <w:jc w:val="center"/>
              <w:rPr/>
            </w:pPr>
            <w:r>
              <w:rPr/>
              <w:t>Corporate</w:t>
              <w:br/>
              <w:t xml:space="preserve">Performance Measures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4619" w:type="dxa"/>
            <w:tcBorders>
              <w:bottom w:val="single" w:sz="2" w:space="0" w:color="00BC6F"/>
            </w:tcBorders>
            <w:shd w:fill="D8D8D8" w:val="clear"/>
            <w:vAlign w:val="center"/>
          </w:tcPr>
          <w:p>
            <w:pPr>
              <w:pStyle w:val="TableContents"/>
              <w:bidi w:val="0"/>
              <w:spacing w:before="0" w:after="0"/>
              <w:jc w:val="center"/>
              <w:rPr/>
            </w:pPr>
            <w:r>
              <w:rPr/>
              <w:t xml:space="preserve">Definition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2807" w:type="dxa"/>
            <w:tcBorders>
              <w:bottom w:val="single" w:sz="2" w:space="0" w:color="00BC6F"/>
            </w:tcBorders>
            <w:shd w:fill="D8D8D8" w:val="clear"/>
            <w:vAlign w:val="center"/>
          </w:tcPr>
          <w:p>
            <w:pPr>
              <w:pStyle w:val="TableContents"/>
              <w:bidi w:val="0"/>
              <w:spacing w:before="0" w:after="0"/>
              <w:jc w:val="center"/>
              <w:rPr/>
            </w:pPr>
            <w:r>
              <w:rPr/>
              <w:t xml:space="preserve">Rationale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78740" cy="175260"/>
                      <wp:effectExtent l="0" t="0" r="0" b="0"/>
                      <wp:wrapNone/>
                      <wp:docPr id="822" name="Frame7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84" w:type="dxa"/>
            <w:tcBorders/>
            <w:tcMar>
              <w:bottom w:w="0" w:type="dxa"/>
            </w:tcMar>
            <w:vAlign w:val="center"/>
          </w:tcPr>
          <w:p>
            <w:pPr>
              <w:pStyle w:val="TableContents"/>
              <w:bidi w:val="0"/>
              <w:spacing w:before="0" w:after="0"/>
              <w:jc w:val="left"/>
              <w:rPr>
                <w:b/>
              </w:rPr>
            </w:pPr>
            <w:r>
              <w:rPr>
                <w:b/>
              </w:rPr>
              <w:t>Adjusted Revenue</w:t>
            </w:r>
            <w:r>
              <w:rPr>
                <w:b/>
                <w:sz w:val="13"/>
              </w:rPr>
              <w:t>1</w:t>
            </w:r>
            <w:r>
              <mc:AlternateContent>
                <mc:Choice Requires="wps">
                  <w:drawing>
                    <wp:anchor behindDoc="0" distT="0" distB="0" distL="0" distR="0" simplePos="0" locked="0" layoutInCell="1" allowOverlap="1" relativeHeight="833">
                      <wp:simplePos x="0" y="0"/>
                      <wp:positionH relativeFrom="page">
                        <wp:posOffset>-12700</wp:posOffset>
                      </wp:positionH>
                      <wp:positionV relativeFrom="line">
                        <wp:posOffset>635</wp:posOffset>
                      </wp:positionV>
                      <wp:extent cx="878840" cy="175260"/>
                      <wp:effectExtent l="0" t="0" r="0" b="0"/>
                      <wp:wrapNone/>
                      <wp:docPr id="823" name="Frame790"/>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69215" cy="175260"/>
                      <wp:effectExtent l="0" t="0" r="0" b="0"/>
                      <wp:wrapNone/>
                      <wp:docPr id="824" name="Frame7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69215" cy="175260"/>
                      <wp:effectExtent l="0" t="0" r="0" b="0"/>
                      <wp:wrapNone/>
                      <wp:docPr id="825" name="Frame7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619" w:type="dxa"/>
            <w:tcBorders/>
            <w:tcMar>
              <w:bottom w:w="0" w:type="dxa"/>
            </w:tcMar>
            <w:vAlign w:val="center"/>
          </w:tcPr>
          <w:p>
            <w:pPr>
              <w:pStyle w:val="TableContents"/>
              <w:bidi w:val="0"/>
              <w:spacing w:before="0" w:after="0"/>
              <w:jc w:val="left"/>
              <w:rPr/>
            </w:pPr>
            <w:r>
              <w:rPr/>
              <w:t xml:space="preserve">Revenue as reported under GAAP adjusted to reflect the impact, if any, of acquisitions and divestitures during the year. </w:t>
            </w:r>
            <w:r>
              <mc:AlternateContent>
                <mc:Choice Requires="wps">
                  <w:drawing>
                    <wp:anchor behindDoc="0" distT="0" distB="0" distL="0" distR="0" simplePos="0" locked="0" layoutInCell="1" allowOverlap="1" relativeHeight="836">
                      <wp:simplePos x="0" y="0"/>
                      <wp:positionH relativeFrom="page">
                        <wp:posOffset>-12700</wp:posOffset>
                      </wp:positionH>
                      <wp:positionV relativeFrom="line">
                        <wp:posOffset>635</wp:posOffset>
                      </wp:positionV>
                      <wp:extent cx="2933065" cy="175260"/>
                      <wp:effectExtent l="0" t="0" r="0" b="0"/>
                      <wp:wrapNone/>
                      <wp:docPr id="826" name="Frame793"/>
                      <a:graphic xmlns:a="http://schemas.openxmlformats.org/drawingml/2006/main">
                        <a:graphicData uri="http://schemas.microsoft.com/office/word/2010/wordprocessingShape">
                          <wps:wsp>
                            <wps:cNvSpPr txBox="1"/>
                            <wps:spPr>
                              <a:xfrm>
                                <a:off x="0" y="0"/>
                                <a:ext cx="293306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69215" cy="175260"/>
                      <wp:effectExtent l="0" t="0" r="0" b="0"/>
                      <wp:wrapNone/>
                      <wp:docPr id="827" name="Frame7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69215" cy="175260"/>
                      <wp:effectExtent l="0" t="0" r="0" b="0"/>
                      <wp:wrapNone/>
                      <wp:docPr id="828" name="Frame7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807" w:type="dxa"/>
            <w:tcBorders/>
            <w:tcMar>
              <w:bottom w:w="0" w:type="dxa"/>
            </w:tcMar>
            <w:vAlign w:val="center"/>
          </w:tcPr>
          <w:p>
            <w:pPr>
              <w:pStyle w:val="TableContents"/>
              <w:bidi w:val="0"/>
              <w:spacing w:before="0" w:after="0"/>
              <w:jc w:val="left"/>
              <w:rPr/>
            </w:pPr>
            <w:r>
              <w:rPr/>
              <w:t xml:space="preserve">Revenue growth is important to the creation of long-term stockholder value because it reflects management’s ability to grow our top line through execution of our digital marketing ecosystem strategy. </w:t>
            </w:r>
            <w:r>
              <mc:AlternateContent>
                <mc:Choice Requires="wps">
                  <w:drawing>
                    <wp:anchor behindDoc="0" distT="0" distB="0" distL="0" distR="0" simplePos="0" locked="0" layoutInCell="1" allowOverlap="1" relativeHeight="839">
                      <wp:simplePos x="0" y="0"/>
                      <wp:positionH relativeFrom="page">
                        <wp:posOffset>-12700</wp:posOffset>
                      </wp:positionH>
                      <wp:positionV relativeFrom="line">
                        <wp:posOffset>635</wp:posOffset>
                      </wp:positionV>
                      <wp:extent cx="1782445" cy="175260"/>
                      <wp:effectExtent l="0" t="0" r="0" b="0"/>
                      <wp:wrapNone/>
                      <wp:docPr id="829" name="Frame796"/>
                      <a:graphic xmlns:a="http://schemas.openxmlformats.org/drawingml/2006/main">
                        <a:graphicData uri="http://schemas.microsoft.com/office/word/2010/wordprocessingShape">
                          <wps:wsp>
                            <wps:cNvSpPr txBox="1"/>
                            <wps:spPr>
                              <a:xfrm>
                                <a:off x="0" y="0"/>
                                <a:ext cx="17824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98425" cy="175260"/>
                      <wp:effectExtent l="0" t="0" r="0" b="0"/>
                      <wp:wrapNone/>
                      <wp:docPr id="830" name="Frame79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9"/>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384" w:type="dxa"/>
            <w:tcBorders>
              <w:bottom w:val="single" w:sz="6" w:space="0" w:color="00BC6F"/>
            </w:tcBorders>
            <w:tcMar>
              <w:bottom w:w="30" w:type="dxa"/>
            </w:tcMar>
            <w:vAlign w:val="center"/>
          </w:tcPr>
          <w:p>
            <w:pPr>
              <w:pStyle w:val="TableContents"/>
              <w:bidi w:val="0"/>
              <w:spacing w:before="0" w:after="0"/>
              <w:jc w:val="left"/>
              <w:rPr>
                <w:b/>
              </w:rPr>
            </w:pPr>
            <w:r>
              <w:rPr>
                <w:b/>
              </w:rPr>
              <w:t>Non-GAAP EBIT</w:t>
            </w:r>
            <w:r>
              <w:rPr>
                <w:b/>
                <w:sz w:val="13"/>
              </w:rPr>
              <w:t>2</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4619" w:type="dxa"/>
            <w:tcBorders>
              <w:bottom w:val="single" w:sz="6" w:space="0" w:color="00BC6F"/>
            </w:tcBorders>
            <w:tcMar>
              <w:bottom w:w="30" w:type="dxa"/>
            </w:tcMar>
            <w:vAlign w:val="center"/>
          </w:tcPr>
          <w:p>
            <w:pPr>
              <w:pStyle w:val="TableContents"/>
              <w:bidi w:val="0"/>
              <w:spacing w:before="0" w:after="283"/>
              <w:jc w:val="left"/>
              <w:rPr/>
            </w:pPr>
            <w:r>
              <w:rPr/>
              <w:t xml:space="preserve">Earnings before interest, other, and income tax expense (EBIT) adjusted to exclude certain items such as stock-based compensation expense, amortization of acquired intangibles, one-time transformation expenses, and restructuring charges consistent with the presentation of non-GAAP operating income (loss). Non-GAAP EBIT is also adjusted to reflect the impact, if any, of acquisitions and divestitures during the year and excludes bonus expense.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807" w:type="dxa"/>
            <w:tcBorders>
              <w:bottom w:val="single" w:sz="6" w:space="0" w:color="00BC6F"/>
            </w:tcBorders>
            <w:tcMar>
              <w:bottom w:w="30" w:type="dxa"/>
            </w:tcMar>
            <w:vAlign w:val="center"/>
          </w:tcPr>
          <w:p>
            <w:pPr>
              <w:pStyle w:val="TableContents"/>
              <w:bidi w:val="0"/>
              <w:spacing w:before="0" w:after="283"/>
              <w:jc w:val="left"/>
              <w:rPr/>
            </w:pPr>
            <w:r>
              <w:rPr/>
              <w:t>Non-GAAP EBIT is an indicator of our profitability. This measure focuses on the outcome of operating decisions, while excluding the impact of non-operating decisions such as interest and tax rates.</w:t>
            </w:r>
          </w:p>
        </w:tc>
        <w:tc>
          <w:tcPr>
            <w:tcW w:w="155"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There were no acquisitions or divestitures in fiscal 2026. Accordingly, there were no adjustments and Adjusted Revenue is equal to revenue as reported under GAAP for purposes of the Fiscal 2026 CIP.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841">
                <wp:simplePos x="0" y="0"/>
                <wp:positionH relativeFrom="column">
                  <wp:align>left</wp:align>
                </wp:positionH>
                <wp:positionV relativeFrom="line">
                  <wp:posOffset>635</wp:posOffset>
                </wp:positionV>
                <wp:extent cx="254000" cy="14605"/>
                <wp:effectExtent l="0" t="0" r="0" b="0"/>
                <wp:wrapSquare wrapText="right"/>
                <wp:docPr id="831" name="Frame79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Schedule 1 on page [  ] of this Compensation Discussion and Analysis for a reconciliation of our GAAP operating income to Non-GAAP EBIT.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842">
                <wp:simplePos x="0" y="0"/>
                <wp:positionH relativeFrom="column">
                  <wp:align>left</wp:align>
                </wp:positionH>
                <wp:positionV relativeFrom="line">
                  <wp:posOffset>635</wp:posOffset>
                </wp:positionV>
                <wp:extent cx="254000" cy="14605"/>
                <wp:effectExtent l="0" t="0" r="0" b="0"/>
                <wp:wrapSquare wrapText="right"/>
                <wp:docPr id="832" name="Frame79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1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set the threshold, target, and maximum performance levels and the payment percentages for each of the corporate performance measures as shown below. Performance goals were set consistent with our financial plan for fiscal 2026.</w:t>
      </w:r>
      <w:r>
        <w:rPr>
          <w:rFonts w:ascii="Arial;Helvetica;sans-serif" w:hAnsi="Arial;Helvetica;sans-serif"/>
          <w:b w:val="false"/>
          <w:i w:val="false"/>
          <w:caps w:val="false"/>
          <w:smallCaps w:val="false"/>
          <w:color w:val="000000"/>
          <w:spacing w:val="4"/>
          <w:sz w:val="20"/>
        </w:rPr>
        <w:t xml:space="preserve"> </w:t>
      </w:r>
    </w:p>
    <w:tbl>
      <w:tblPr>
        <w:tblW w:w="6588" w:type="dxa"/>
        <w:jc w:val="left"/>
        <w:tblInd w:w="680" w:type="dxa"/>
        <w:tblLayout w:type="fixed"/>
        <w:tblCellMar>
          <w:top w:w="0" w:type="dxa"/>
          <w:left w:w="0" w:type="dxa"/>
          <w:bottom w:w="28" w:type="dxa"/>
          <w:right w:w="0" w:type="dxa"/>
        </w:tblCellMar>
      </w:tblPr>
      <w:tblGrid>
        <w:gridCol w:w="124"/>
        <w:gridCol w:w="1936"/>
        <w:gridCol w:w="109"/>
        <w:gridCol w:w="109"/>
        <w:gridCol w:w="109"/>
        <w:gridCol w:w="226"/>
        <w:gridCol w:w="796"/>
        <w:gridCol w:w="109"/>
        <w:gridCol w:w="109"/>
        <w:gridCol w:w="109"/>
        <w:gridCol w:w="109"/>
        <w:gridCol w:w="226"/>
        <w:gridCol w:w="796"/>
        <w:gridCol w:w="109"/>
        <w:gridCol w:w="109"/>
        <w:gridCol w:w="109"/>
        <w:gridCol w:w="109"/>
        <w:gridCol w:w="226"/>
        <w:gridCol w:w="796"/>
        <w:gridCol w:w="109"/>
        <w:gridCol w:w="154"/>
      </w:tblGrid>
      <w:tr>
        <w:trPr/>
        <w:tc>
          <w:tcPr>
            <w:tcW w:w="124" w:type="dxa"/>
            <w:tcBorders>
              <w:bottom w:val="single" w:sz="2" w:space="0" w:color="000000"/>
            </w:tcBorders>
            <w:shd w:fill="D8D8D8" w:val="clear"/>
            <w:vAlign w:val="center"/>
          </w:tcPr>
          <w:p>
            <w:pPr>
              <w:pStyle w:val="TableContents"/>
              <w:bidi w:val="0"/>
              <w:spacing w:before="0" w:after="283"/>
              <w:jc w:val="left"/>
              <w:rPr/>
            </w:pPr>
            <w:r>
              <w:rPr/>
              <w:t>​</w:t>
            </w:r>
          </w:p>
        </w:tc>
        <w:tc>
          <w:tcPr>
            <w:tcW w:w="1936" w:type="dxa"/>
            <w:tcBorders>
              <w:bottom w:val="single" w:sz="2" w:space="0" w:color="000000"/>
            </w:tcBorders>
            <w:shd w:fill="D8D8D8" w:val="clear"/>
            <w:tcMar>
              <w:bottom w:w="50" w:type="dxa"/>
            </w:tcMar>
            <w:vAlign w:val="center"/>
          </w:tcPr>
          <w:p>
            <w:pPr>
              <w:pStyle w:val="TableContents"/>
              <w:bidi w:val="0"/>
              <w:spacing w:before="0" w:after="0"/>
              <w:jc w:val="left"/>
              <w:rPr/>
            </w:pPr>
            <w:r>
              <w:rPr/>
              <w:t xml:space="preserve">Metrics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Threshold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Target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Maximum </w:t>
            </w:r>
          </w:p>
        </w:tc>
        <w:tc>
          <w:tcPr>
            <w:tcW w:w="154"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78740" cy="175260"/>
                      <wp:effectExtent l="0" t="0" r="0" b="0"/>
                      <wp:wrapNone/>
                      <wp:docPr id="833" name="Frame8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6" w:type="dxa"/>
            <w:tcBorders/>
            <w:tcMar>
              <w:bottom w:w="0" w:type="dxa"/>
            </w:tcMar>
            <w:vAlign w:val="center"/>
          </w:tcPr>
          <w:p>
            <w:pPr>
              <w:pStyle w:val="TableContents"/>
              <w:bidi w:val="0"/>
              <w:spacing w:before="0" w:after="0"/>
              <w:jc w:val="left"/>
              <w:rPr/>
            </w:pPr>
            <w:r>
              <w:rPr/>
              <w:t xml:space="preserve">Adjusted Revenue </w:t>
            </w:r>
            <w:r>
              <mc:AlternateContent>
                <mc:Choice Requires="wps">
                  <w:drawing>
                    <wp:anchor behindDoc="0" distT="0" distB="0" distL="0" distR="0" simplePos="0" locked="0" layoutInCell="1" allowOverlap="1" relativeHeight="844">
                      <wp:simplePos x="0" y="0"/>
                      <wp:positionH relativeFrom="page">
                        <wp:posOffset>-12700</wp:posOffset>
                      </wp:positionH>
                      <wp:positionV relativeFrom="line">
                        <wp:posOffset>635</wp:posOffset>
                      </wp:positionV>
                      <wp:extent cx="1229360" cy="175260"/>
                      <wp:effectExtent l="0" t="0" r="0" b="0"/>
                      <wp:wrapNone/>
                      <wp:docPr id="834" name="Frame80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69215" cy="175260"/>
                      <wp:effectExtent l="0" t="0" r="0" b="0"/>
                      <wp:wrapNone/>
                      <wp:docPr id="835" name="Frame8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69215" cy="175260"/>
                      <wp:effectExtent l="0" t="0" r="0" b="0"/>
                      <wp:wrapNone/>
                      <wp:docPr id="836" name="Frame8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778M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69215" cy="175260"/>
                      <wp:effectExtent l="0" t="0" r="0" b="0"/>
                      <wp:wrapNone/>
                      <wp:docPr id="837" name="Frame8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69215" cy="175260"/>
                      <wp:effectExtent l="0" t="0" r="0" b="0"/>
                      <wp:wrapNone/>
                      <wp:docPr id="838" name="Frame8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806M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69215" cy="175260"/>
                      <wp:effectExtent l="0" t="0" r="0" b="0"/>
                      <wp:wrapNone/>
                      <wp:docPr id="839" name="Frame8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69215" cy="175260"/>
                      <wp:effectExtent l="0" t="0" r="0" b="0"/>
                      <wp:wrapNone/>
                      <wp:docPr id="840" name="Frame8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834M</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97790" cy="175260"/>
                      <wp:effectExtent l="0" t="0" r="0" b="0"/>
                      <wp:wrapNone/>
                      <wp:docPr id="841" name="Frame8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588"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78740" cy="175260"/>
                      <wp:effectExtent l="0" t="0" r="0" b="0"/>
                      <wp:wrapNone/>
                      <wp:docPr id="842" name="Frame80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6" w:type="dxa"/>
            <w:tcBorders/>
            <w:tcMar>
              <w:bottom w:w="0" w:type="dxa"/>
            </w:tcMar>
            <w:vAlign w:val="center"/>
          </w:tcPr>
          <w:p>
            <w:pPr>
              <w:pStyle w:val="TableContents"/>
              <w:bidi w:val="0"/>
              <w:spacing w:before="0" w:after="0"/>
              <w:jc w:val="left"/>
              <w:rPr/>
            </w:pPr>
            <w:r>
              <w:rPr/>
              <w:t xml:space="preserve">Non-GAAP EBIT </w:t>
            </w:r>
            <w:r>
              <mc:AlternateContent>
                <mc:Choice Requires="wps">
                  <w:drawing>
                    <wp:anchor behindDoc="0" distT="0" distB="0" distL="0" distR="0" simplePos="0" locked="0" layoutInCell="1" allowOverlap="1" relativeHeight="853">
                      <wp:simplePos x="0" y="0"/>
                      <wp:positionH relativeFrom="page">
                        <wp:posOffset>-12700</wp:posOffset>
                      </wp:positionH>
                      <wp:positionV relativeFrom="line">
                        <wp:posOffset>635</wp:posOffset>
                      </wp:positionV>
                      <wp:extent cx="1229360" cy="175260"/>
                      <wp:effectExtent l="0" t="0" r="0" b="0"/>
                      <wp:wrapNone/>
                      <wp:docPr id="843" name="Frame810"/>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69215" cy="175260"/>
                      <wp:effectExtent l="0" t="0" r="0" b="0"/>
                      <wp:wrapNone/>
                      <wp:docPr id="844" name="Frame8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69215" cy="175260"/>
                      <wp:effectExtent l="0" t="0" r="0" b="0"/>
                      <wp:wrapNone/>
                      <wp:docPr id="845" name="Frame8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170M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69215" cy="175260"/>
                      <wp:effectExtent l="0" t="0" r="0" b="0"/>
                      <wp:wrapNone/>
                      <wp:docPr id="846" name="Frame8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69215" cy="175260"/>
                      <wp:effectExtent l="0" t="0" r="0" b="0"/>
                      <wp:wrapNone/>
                      <wp:docPr id="847" name="Frame8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208M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69215" cy="175260"/>
                      <wp:effectExtent l="0" t="0" r="0" b="0"/>
                      <wp:wrapNone/>
                      <wp:docPr id="848" name="Frame8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69215" cy="175260"/>
                      <wp:effectExtent l="0" t="0" r="0" b="0"/>
                      <wp:wrapNone/>
                      <wp:docPr id="849" name="Frame8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254M</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97790" cy="175260"/>
                      <wp:effectExtent l="0" t="0" r="0" b="0"/>
                      <wp:wrapNone/>
                      <wp:docPr id="850" name="Frame8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588"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936" w:type="dxa"/>
            <w:tcBorders>
              <w:bottom w:val="single" w:sz="6" w:space="0" w:color="00BC6F"/>
            </w:tcBorders>
            <w:tcMar>
              <w:bottom w:w="50" w:type="dxa"/>
            </w:tcMar>
            <w:vAlign w:val="center"/>
          </w:tcPr>
          <w:p>
            <w:pPr>
              <w:pStyle w:val="TableContents"/>
              <w:bidi w:val="0"/>
              <w:spacing w:lineRule="atLeast" w:line="142" w:before="0" w:after="283"/>
              <w:jc w:val="left"/>
              <w:rPr/>
            </w:pPr>
            <w:r>
              <w:rPr/>
              <w:t>Funding</w:t>
            </w:r>
            <w:r>
              <w:rPr>
                <w:sz w:val="13"/>
              </w:rPr>
              <w:t>1</w:t>
            </w: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 xml:space="preserve">25%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 xml:space="preserve">100%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200%</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 payout is earned under the Fiscal 2026 CIP for below-threshold performance, and payout is capped at 200% of target even if performance exceeds the maximum goal. Payouts for performance between specific goals are determined using linear interpolation. Regardless of the Company’s results on these two performance metrics, the payout under the Fiscal 2026 CIP cannot exceed the payout under the Company’s broad-based bonus plans for non-executive employees. In addition, regardless of the Company’s results for the Adjusted Revenue metric, the payout under the Fiscal 2026 CIP cannot exceed 25% unless we attain at least threshold performance for the Non-GAAP EBIT metric.</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861">
                <wp:simplePos x="0" y="0"/>
                <wp:positionH relativeFrom="column">
                  <wp:align>left</wp:align>
                </wp:positionH>
                <wp:positionV relativeFrom="line">
                  <wp:align>top</wp:align>
                </wp:positionV>
                <wp:extent cx="254000" cy="254000"/>
                <wp:effectExtent l="0" t="0" r="0" b="0"/>
                <wp:wrapSquare wrapText="right"/>
                <wp:docPr id="851" name="Frame81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CIP Results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actual financial results for the Fiscal 2026 CIP are shown below. These results were subject to further adjustment based on individual performance as discussed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2924175"/>
            <wp:effectExtent l="0" t="0" r="0" b="0"/>
            <wp:docPr id="8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34" descr=""/>
                    <pic:cNvPicPr>
                      <a:picLocks noChangeAspect="1" noChangeArrowheads="1"/>
                    </pic:cNvPicPr>
                  </pic:nvPicPr>
                  <pic:blipFill>
                    <a:blip r:embed="rId35"/>
                    <a:stretch>
                      <a:fillRect/>
                    </a:stretch>
                  </pic:blipFill>
                  <pic:spPr bwMode="auto">
                    <a:xfrm>
                      <a:off x="0" y="0"/>
                      <a:ext cx="6696075" cy="29241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Individual Payments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Fiscal 2026 CIP permitted an individual payout modifier ranging from 0% to 200% of the funded payout to recognize individual performance, with any payment adjustments subject to approval by the Talent and Compensation Committee or the Board (in the case of the CEO), in its sole discretion. For the Fiscal 2026 CIP, our CEO reviewed each NEO’s individual performance to determine if he should recommend any adjustments to the final payments for NEOs (other than himself). After reviewing the individual performance of all of the leadership team, including each of the NEOs, our CEO recommended, and the Talent and Compensation Committee approved, certain adjustments to Fiscal 2026 CIP payouts of the Company’s leadership team (except Mr. Howe and Mr. Hussain) as shown in the table below. The difference between the percentages in the “Actual Payment (% of Target)” and the “Formulaic Achievement (% of Target)” columns in the table below reflect the final payment recommendations of our CEO. The Talent and Compensation Committee determined, notwithstanding strong leadership for the year, to apply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LIC"/>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individual multiplier of 100% so that our CEO’s final payout reflected the attainment of 115.8% in its final payment recommendation to the independent members of our Board for our CEO’s Fiscal 2026 CIP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 payments made to our NEOs that participated in the Fiscal 2026 CIP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681"/>
        <w:gridCol w:w="109"/>
        <w:gridCol w:w="109"/>
        <w:gridCol w:w="109"/>
        <w:gridCol w:w="226"/>
        <w:gridCol w:w="1006"/>
        <w:gridCol w:w="109"/>
        <w:gridCol w:w="109"/>
        <w:gridCol w:w="109"/>
        <w:gridCol w:w="155"/>
        <w:gridCol w:w="155"/>
        <w:gridCol w:w="919"/>
        <w:gridCol w:w="156"/>
        <w:gridCol w:w="109"/>
        <w:gridCol w:w="109"/>
        <w:gridCol w:w="109"/>
        <w:gridCol w:w="109"/>
        <w:gridCol w:w="766"/>
        <w:gridCol w:w="109"/>
        <w:gridCol w:w="109"/>
        <w:gridCol w:w="109"/>
        <w:gridCol w:w="115"/>
        <w:gridCol w:w="115"/>
        <w:gridCol w:w="749"/>
        <w:gridCol w:w="115"/>
        <w:gridCol w:w="109"/>
        <w:gridCol w:w="109"/>
        <w:gridCol w:w="109"/>
        <w:gridCol w:w="226"/>
        <w:gridCol w:w="1006"/>
        <w:gridCol w:w="109"/>
        <w:gridCol w:w="158"/>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681" w:type="dxa"/>
            <w:tcBorders>
              <w:bottom w:val="single" w:sz="2" w:space="0" w:color="00BC6F"/>
            </w:tcBorders>
            <w:shd w:fill="D8D8D8" w:val="cle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Target</w:t>
              <w:br/>
              <w:t>Award</w:t>
              <w:br/>
              <w:t xml:space="preserv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85" w:type="dxa"/>
            <w:gridSpan w:val="4"/>
            <w:tcBorders>
              <w:bottom w:val="single" w:sz="2" w:space="0" w:color="00BC6F"/>
            </w:tcBorders>
            <w:shd w:fill="D8D8D8" w:val="clear"/>
            <w:vAlign w:val="center"/>
          </w:tcPr>
          <w:p>
            <w:pPr>
              <w:pStyle w:val="TableContents"/>
              <w:bidi w:val="0"/>
              <w:spacing w:before="0" w:after="0"/>
              <w:jc w:val="center"/>
              <w:rPr/>
            </w:pPr>
            <w:r>
              <w:rPr/>
              <w:t>Formulaic</w:t>
              <w:br/>
              <w:t>Achievement</w:t>
              <w:br/>
              <w:t xml:space="preserve">(% of 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3" w:type="dxa"/>
            <w:gridSpan w:val="4"/>
            <w:tcBorders>
              <w:bottom w:val="single" w:sz="2" w:space="0" w:color="00BC6F"/>
            </w:tcBorders>
            <w:shd w:fill="D8D8D8" w:val="clear"/>
            <w:vAlign w:val="center"/>
          </w:tcPr>
          <w:p>
            <w:pPr>
              <w:pStyle w:val="TableContents"/>
              <w:bidi w:val="0"/>
              <w:spacing w:before="0" w:after="0"/>
              <w:jc w:val="center"/>
              <w:rPr/>
            </w:pPr>
            <w:r>
              <w:rPr/>
              <w:t xml:space="preserve">Individual </w:t>
              <w:br/>
              <w:t xml:space="preserve">Multiplier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4" w:type="dxa"/>
            <w:gridSpan w:val="4"/>
            <w:tcBorders>
              <w:bottom w:val="single" w:sz="2" w:space="0" w:color="00BC6F"/>
            </w:tcBorders>
            <w:shd w:fill="D8D8D8" w:val="clear"/>
            <w:vAlign w:val="center"/>
          </w:tcPr>
          <w:p>
            <w:pPr>
              <w:pStyle w:val="TableContents"/>
              <w:bidi w:val="0"/>
              <w:spacing w:before="0" w:after="0"/>
              <w:jc w:val="center"/>
              <w:rPr/>
            </w:pPr>
            <w:r>
              <w:rPr/>
              <w:t>Actual</w:t>
              <w:br/>
              <w:t>Payment</w:t>
              <w:br/>
              <w:t xml:space="preserve">(% of 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Actual</w:t>
              <w:br/>
              <w:t>Payment</w:t>
              <w:br/>
              <w:t xml:space="preserve">($) </w:t>
            </w:r>
          </w:p>
        </w:tc>
        <w:tc>
          <w:tcPr>
            <w:tcW w:w="158"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78740" cy="175260"/>
                      <wp:effectExtent l="0" t="0" r="0" b="0"/>
                      <wp:wrapNone/>
                      <wp:docPr id="853" name="Frame8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863">
                      <wp:simplePos x="0" y="0"/>
                      <wp:positionH relativeFrom="page">
                        <wp:posOffset>-12700</wp:posOffset>
                      </wp:positionH>
                      <wp:positionV relativeFrom="line">
                        <wp:posOffset>635</wp:posOffset>
                      </wp:positionV>
                      <wp:extent cx="1067435" cy="175260"/>
                      <wp:effectExtent l="0" t="0" r="0" b="0"/>
                      <wp:wrapNone/>
                      <wp:docPr id="854" name="Frame82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69215" cy="175260"/>
                      <wp:effectExtent l="0" t="0" r="0" b="0"/>
                      <wp:wrapNone/>
                      <wp:docPr id="855" name="Frame8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69215" cy="175260"/>
                      <wp:effectExtent l="0" t="0" r="0" b="0"/>
                      <wp:wrapNone/>
                      <wp:docPr id="856" name="Frame8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759,000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69215" cy="175260"/>
                      <wp:effectExtent l="0" t="0" r="0" b="0"/>
                      <wp:wrapNone/>
                      <wp:docPr id="857" name="Frame8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69215" cy="175260"/>
                      <wp:effectExtent l="0" t="0" r="0" b="0"/>
                      <wp:wrapNone/>
                      <wp:docPr id="858" name="Frame8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69215" cy="175260"/>
                      <wp:effectExtent l="0" t="0" r="0" b="0"/>
                      <wp:wrapNone/>
                      <wp:docPr id="859" name="Frame8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69215" cy="175260"/>
                      <wp:effectExtent l="0" t="0" r="0" b="0"/>
                      <wp:wrapNone/>
                      <wp:docPr id="860" name="Frame8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69215" cy="175260"/>
                      <wp:effectExtent l="0" t="0" r="0" b="0"/>
                      <wp:wrapNone/>
                      <wp:docPr id="861" name="Frame8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69215" cy="175260"/>
                      <wp:effectExtent l="0" t="0" r="0" b="0"/>
                      <wp:wrapNone/>
                      <wp:docPr id="862" name="Frame8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115.8%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69215" cy="175260"/>
                      <wp:effectExtent l="0" t="0" r="0" b="0"/>
                      <wp:wrapNone/>
                      <wp:docPr id="863" name="Frame8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64" name="Frame8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878,922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00330" cy="175260"/>
                      <wp:effectExtent l="0" t="0" r="0" b="0"/>
                      <wp:wrapNone/>
                      <wp:docPr id="865" name="Frame831"/>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78740" cy="175260"/>
                      <wp:effectExtent l="0" t="0" r="0" b="0"/>
                      <wp:wrapNone/>
                      <wp:docPr id="866" name="Frame8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876">
                      <wp:simplePos x="0" y="0"/>
                      <wp:positionH relativeFrom="page">
                        <wp:posOffset>-12700</wp:posOffset>
                      </wp:positionH>
                      <wp:positionV relativeFrom="line">
                        <wp:posOffset>635</wp:posOffset>
                      </wp:positionV>
                      <wp:extent cx="1067435" cy="175260"/>
                      <wp:effectExtent l="0" t="0" r="0" b="0"/>
                      <wp:wrapNone/>
                      <wp:docPr id="867" name="Frame83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69215" cy="175260"/>
                      <wp:effectExtent l="0" t="0" r="0" b="0"/>
                      <wp:wrapNone/>
                      <wp:docPr id="868" name="Frame8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69215" cy="175260"/>
                      <wp:effectExtent l="0" t="0" r="0" b="0"/>
                      <wp:wrapNone/>
                      <wp:docPr id="869" name="Frame8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69215" cy="175260"/>
                      <wp:effectExtent l="0" t="0" r="0" b="0"/>
                      <wp:wrapNone/>
                      <wp:docPr id="870" name="Frame8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69215" cy="175260"/>
                      <wp:effectExtent l="0" t="0" r="0" b="0"/>
                      <wp:wrapNone/>
                      <wp:docPr id="871" name="Frame8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175260"/>
                      <wp:effectExtent l="0" t="0" r="0" b="0"/>
                      <wp:wrapNone/>
                      <wp:docPr id="872" name="Frame8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69215" cy="175260"/>
                      <wp:effectExtent l="0" t="0" r="0" b="0"/>
                      <wp:wrapNone/>
                      <wp:docPr id="873" name="Frame8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69215" cy="175260"/>
                      <wp:effectExtent l="0" t="0" r="0" b="0"/>
                      <wp:wrapNone/>
                      <wp:docPr id="874" name="Frame8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69215" cy="175260"/>
                      <wp:effectExtent l="0" t="0" r="0" b="0"/>
                      <wp:wrapNone/>
                      <wp:docPr id="875" name="Frame8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116.7%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69215" cy="175260"/>
                      <wp:effectExtent l="0" t="0" r="0" b="0"/>
                      <wp:wrapNone/>
                      <wp:docPr id="876" name="Frame8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9215" cy="175260"/>
                      <wp:effectExtent l="0" t="0" r="0" b="0"/>
                      <wp:wrapNone/>
                      <wp:docPr id="877" name="Frame8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420,000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100330" cy="175260"/>
                      <wp:effectExtent l="0" t="0" r="0" b="0"/>
                      <wp:wrapNone/>
                      <wp:docPr id="878" name="Frame84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78740" cy="175260"/>
                      <wp:effectExtent l="0" t="0" r="0" b="0"/>
                      <wp:wrapNone/>
                      <wp:docPr id="879" name="Frame84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Karasick </w:t>
            </w:r>
            <w:r>
              <mc:AlternateContent>
                <mc:Choice Requires="wps">
                  <w:drawing>
                    <wp:anchor behindDoc="0" distT="0" distB="0" distL="0" distR="0" simplePos="0" locked="0" layoutInCell="1" allowOverlap="1" relativeHeight="889">
                      <wp:simplePos x="0" y="0"/>
                      <wp:positionH relativeFrom="page">
                        <wp:posOffset>-12700</wp:posOffset>
                      </wp:positionH>
                      <wp:positionV relativeFrom="line">
                        <wp:posOffset>635</wp:posOffset>
                      </wp:positionV>
                      <wp:extent cx="1067435" cy="175260"/>
                      <wp:effectExtent l="0" t="0" r="0" b="0"/>
                      <wp:wrapNone/>
                      <wp:docPr id="880" name="Frame84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69215" cy="175260"/>
                      <wp:effectExtent l="0" t="0" r="0" b="0"/>
                      <wp:wrapNone/>
                      <wp:docPr id="881" name="Frame8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69215" cy="175260"/>
                      <wp:effectExtent l="0" t="0" r="0" b="0"/>
                      <wp:wrapNone/>
                      <wp:docPr id="882" name="Frame8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322,500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69215" cy="175260"/>
                      <wp:effectExtent l="0" t="0" r="0" b="0"/>
                      <wp:wrapNone/>
                      <wp:docPr id="883" name="Frame8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9215" cy="175260"/>
                      <wp:effectExtent l="0" t="0" r="0" b="0"/>
                      <wp:wrapNone/>
                      <wp:docPr id="884" name="Frame8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69215" cy="175260"/>
                      <wp:effectExtent l="0" t="0" r="0" b="0"/>
                      <wp:wrapNone/>
                      <wp:docPr id="885" name="Frame8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69215" cy="175260"/>
                      <wp:effectExtent l="0" t="0" r="0" b="0"/>
                      <wp:wrapNone/>
                      <wp:docPr id="886" name="Frame8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69215" cy="175260"/>
                      <wp:effectExtent l="0" t="0" r="0" b="0"/>
                      <wp:wrapNone/>
                      <wp:docPr id="887" name="Frame8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69215" cy="175260"/>
                      <wp:effectExtent l="0" t="0" r="0" b="0"/>
                      <wp:wrapNone/>
                      <wp:docPr id="888" name="Frame8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116.3%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69215" cy="175260"/>
                      <wp:effectExtent l="0" t="0" r="0" b="0"/>
                      <wp:wrapNone/>
                      <wp:docPr id="889" name="Frame8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69215" cy="175260"/>
                      <wp:effectExtent l="0" t="0" r="0" b="0"/>
                      <wp:wrapNone/>
                      <wp:docPr id="890" name="Frame8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375,000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100330" cy="175260"/>
                      <wp:effectExtent l="0" t="0" r="0" b="0"/>
                      <wp:wrapNone/>
                      <wp:docPr id="891" name="Frame85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78740" cy="175260"/>
                      <wp:effectExtent l="0" t="0" r="0" b="0"/>
                      <wp:wrapNone/>
                      <wp:docPr id="892" name="Frame8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902">
                      <wp:simplePos x="0" y="0"/>
                      <wp:positionH relativeFrom="page">
                        <wp:posOffset>-12700</wp:posOffset>
                      </wp:positionH>
                      <wp:positionV relativeFrom="line">
                        <wp:posOffset>635</wp:posOffset>
                      </wp:positionV>
                      <wp:extent cx="1067435" cy="175260"/>
                      <wp:effectExtent l="0" t="0" r="0" b="0"/>
                      <wp:wrapNone/>
                      <wp:docPr id="893" name="Frame85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69215" cy="175260"/>
                      <wp:effectExtent l="0" t="0" r="0" b="0"/>
                      <wp:wrapNone/>
                      <wp:docPr id="894" name="Frame8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69215" cy="175260"/>
                      <wp:effectExtent l="0" t="0" r="0" b="0"/>
                      <wp:wrapNone/>
                      <wp:docPr id="895" name="Frame8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337,500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69215" cy="175260"/>
                      <wp:effectExtent l="0" t="0" r="0" b="0"/>
                      <wp:wrapNone/>
                      <wp:docPr id="896" name="Frame8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69215" cy="175260"/>
                      <wp:effectExtent l="0" t="0" r="0" b="0"/>
                      <wp:wrapNone/>
                      <wp:docPr id="897" name="Frame8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69215" cy="175260"/>
                      <wp:effectExtent l="0" t="0" r="0" b="0"/>
                      <wp:wrapNone/>
                      <wp:docPr id="898" name="Frame8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69215" cy="175260"/>
                      <wp:effectExtent l="0" t="0" r="0" b="0"/>
                      <wp:wrapNone/>
                      <wp:docPr id="899" name="Frame8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69215" cy="175260"/>
                      <wp:effectExtent l="0" t="0" r="0" b="0"/>
                      <wp:wrapNone/>
                      <wp:docPr id="900" name="Frame8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69215" cy="175260"/>
                      <wp:effectExtent l="0" t="0" r="0" b="0"/>
                      <wp:wrapNone/>
                      <wp:docPr id="901" name="Frame8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115.6%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69215" cy="175260"/>
                      <wp:effectExtent l="0" t="0" r="0" b="0"/>
                      <wp:wrapNone/>
                      <wp:docPr id="902" name="Frame8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69215" cy="175260"/>
                      <wp:effectExtent l="0" t="0" r="0" b="0"/>
                      <wp:wrapNone/>
                      <wp:docPr id="903" name="Frame8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390,000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100330" cy="175260"/>
                      <wp:effectExtent l="0" t="0" r="0" b="0"/>
                      <wp:wrapNone/>
                      <wp:docPr id="904" name="Frame87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681" w:type="dxa"/>
            <w:tcBorders>
              <w:bottom w:val="single" w:sz="6" w:space="0" w:color="00BC6F"/>
            </w:tcBorders>
            <w:tcMar>
              <w:bottom w:w="3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322,500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5" w:type="dxa"/>
            <w:tcBorders>
              <w:bottom w:val="single" w:sz="6" w:space="0" w:color="00BC6F"/>
            </w:tcBorders>
            <w:vAlign w:val="center"/>
          </w:tcPr>
          <w:p>
            <w:pPr>
              <w:pStyle w:val="TableContents"/>
              <w:bidi w:val="0"/>
              <w:spacing w:before="0" w:after="283"/>
              <w:jc w:val="left"/>
              <w:rPr/>
            </w:pPr>
            <w:r>
              <w:rPr/>
              <w:t>​</w:t>
            </w:r>
          </w:p>
        </w:tc>
        <w:tc>
          <w:tcPr>
            <w:tcW w:w="155" w:type="dxa"/>
            <w:tcBorders>
              <w:bottom w:val="single" w:sz="6" w:space="0" w:color="00BC6F"/>
            </w:tcBorders>
            <w:tcMar>
              <w:bottom w:w="30" w:type="dxa"/>
            </w:tcMar>
            <w:vAlign w:val="center"/>
          </w:tcPr>
          <w:p>
            <w:pPr>
              <w:pStyle w:val="TableContents"/>
              <w:bidi w:val="0"/>
              <w:spacing w:before="0" w:after="283"/>
              <w:jc w:val="right"/>
              <w:rPr/>
            </w:pPr>
            <w:r>
              <w:rPr/>
              <w:t>​</w:t>
            </w:r>
          </w:p>
        </w:tc>
        <w:tc>
          <w:tcPr>
            <w:tcW w:w="919" w:type="dxa"/>
            <w:tcBorders>
              <w:bottom w:val="single" w:sz="6" w:space="0" w:color="00BC6F"/>
            </w:tcBorders>
            <w:tcMar>
              <w:bottom w:w="30" w:type="dxa"/>
            </w:tcMar>
            <w:vAlign w:val="center"/>
          </w:tcPr>
          <w:p>
            <w:pPr>
              <w:pStyle w:val="TableContents"/>
              <w:bidi w:val="0"/>
              <w:spacing w:before="0" w:after="283"/>
              <w:jc w:val="right"/>
              <w:rPr/>
            </w:pPr>
            <w:r>
              <w:rPr/>
              <w:t>115.8%</w:t>
            </w:r>
          </w:p>
        </w:tc>
        <w:tc>
          <w:tcPr>
            <w:tcW w:w="156"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tcMar>
              <w:bottom w:w="30" w:type="dxa"/>
            </w:tcMar>
            <w:vAlign w:val="center"/>
          </w:tcPr>
          <w:p>
            <w:pPr>
              <w:pStyle w:val="TableContents"/>
              <w:bidi w:val="0"/>
              <w:spacing w:before="0" w:after="283"/>
              <w:jc w:val="right"/>
              <w:rPr/>
            </w:pPr>
            <w:r>
              <w:rPr/>
              <w:t>​</w:t>
            </w:r>
          </w:p>
        </w:tc>
        <w:tc>
          <w:tcPr>
            <w:tcW w:w="766" w:type="dxa"/>
            <w:tcBorders>
              <w:bottom w:val="single" w:sz="6" w:space="0" w:color="00BC6F"/>
            </w:tcBorders>
            <w:tcMar>
              <w:bottom w:w="30" w:type="dxa"/>
            </w:tcMar>
            <w:vAlign w:val="center"/>
          </w:tcPr>
          <w:p>
            <w:pPr>
              <w:pStyle w:val="TableContents"/>
              <w:bidi w:val="0"/>
              <w:spacing w:before="0" w:after="283"/>
              <w:jc w:val="right"/>
              <w:rPr/>
            </w:pPr>
            <w:r>
              <w:rPr/>
              <w:t>100.0%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15" w:type="dxa"/>
            <w:tcBorders>
              <w:bottom w:val="single" w:sz="6" w:space="0" w:color="00BC6F"/>
            </w:tcBorders>
            <w:vAlign w:val="center"/>
          </w:tcPr>
          <w:p>
            <w:pPr>
              <w:pStyle w:val="TableContents"/>
              <w:bidi w:val="0"/>
              <w:spacing w:before="0" w:after="283"/>
              <w:jc w:val="left"/>
              <w:rPr/>
            </w:pPr>
            <w:r>
              <w:rPr/>
              <w:t>​</w:t>
            </w:r>
          </w:p>
        </w:tc>
        <w:tc>
          <w:tcPr>
            <w:tcW w:w="115" w:type="dxa"/>
            <w:tcBorders>
              <w:bottom w:val="single" w:sz="6" w:space="0" w:color="00BC6F"/>
            </w:tcBorders>
            <w:tcMar>
              <w:bottom w:w="30" w:type="dxa"/>
            </w:tcMar>
            <w:vAlign w:val="center"/>
          </w:tcPr>
          <w:p>
            <w:pPr>
              <w:pStyle w:val="TableContents"/>
              <w:bidi w:val="0"/>
              <w:spacing w:before="0" w:after="283"/>
              <w:jc w:val="right"/>
              <w:rPr/>
            </w:pPr>
            <w:r>
              <w:rPr/>
              <w:t>​</w:t>
            </w:r>
          </w:p>
        </w:tc>
        <w:tc>
          <w:tcPr>
            <w:tcW w:w="749" w:type="dxa"/>
            <w:tcBorders>
              <w:bottom w:val="single" w:sz="6" w:space="0" w:color="00BC6F"/>
            </w:tcBorders>
            <w:tcMar>
              <w:bottom w:w="30" w:type="dxa"/>
            </w:tcMar>
            <w:vAlign w:val="center"/>
          </w:tcPr>
          <w:p>
            <w:pPr>
              <w:pStyle w:val="TableContents"/>
              <w:bidi w:val="0"/>
              <w:spacing w:before="0" w:after="283"/>
              <w:jc w:val="right"/>
              <w:rPr/>
            </w:pPr>
            <w:r>
              <w:rPr/>
              <w:t>115.8%</w:t>
            </w:r>
          </w:p>
        </w:tc>
        <w:tc>
          <w:tcPr>
            <w:tcW w:w="115"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373,455</w:t>
            </w:r>
          </w:p>
        </w:tc>
        <w:tc>
          <w:tcPr>
            <w:tcW w:w="109" w:type="dxa"/>
            <w:tcBorders>
              <w:bottom w:val="single" w:sz="6" w:space="0" w:color="00BC6F"/>
            </w:tcBorders>
            <w:vAlign w:val="center"/>
          </w:tcPr>
          <w:p>
            <w:pPr>
              <w:pStyle w:val="TableContents"/>
              <w:bidi w:val="0"/>
              <w:spacing w:before="0" w:after="283"/>
              <w:jc w:val="left"/>
              <w:rPr/>
            </w:pPr>
            <w:r>
              <w:rPr/>
              <w:t>​</w:t>
            </w:r>
          </w:p>
        </w:tc>
        <w:tc>
          <w:tcPr>
            <w:tcW w:w="158"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60" w:before="220" w:after="283"/>
        <w:ind w:left="680" w:right="0" w:hanging="0"/>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LiveRamp Sales Commission Plan — Mr. Sharma</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Sharma was a participant in the LiveRamp sales commission plan given his commercial leadership role. The commission plan is based on various sales and revenue targets in our U.S. and international markets. Mr. Sharma’s target commission opportunity was set at 100% of his base salary. The maximum commission opportunity is uncapped, provided that the Company’s budgeted operating income target set at the beginning of the year is met, otherwise earnings under this plan are capped at 200% of target. For fiscal 2026, Mr. Sharma earned a total commission payment in the amount of €667,908, which represented 164% of his target commission opportunity. The payout was largely driven by revenue growth. For illustrative purposes, Mr. Sharma’s total payout in U.S. dollars was $776,644 based on an exchange rate of 1.1628, which was the exchange rate on the date the Talent and Compensation Committee approved such payout.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Long-Term Incentive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Long-term incentive compensation represents the long-term variable portion of our executive officers’ annual target total direct compensation, and it rewards growth in stockholder value. We use time-based restricted stock unit (“RSU”) awards and PSU awards in our long-term incentive compensation program to directly align most of the compensation of our executive officers to stockholder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Long-term incentive compensation is an effective tool for focusing our NEOs on stockholder value creation over a multi-year period. Long-term incentives also serve as a core retention tool and can discourage inappropriate short-term risky behaviors.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determined the amount of long-term incentive compensation for our NEOs (and, in the case of our CEO, formulated its recommendation to the independent members of the Board) as part of its annual compensation review. In making these awards and recommendations, the Talent and Compensation Committee took the following factors into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competitive market analysis prepared by its compensation consultant;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127000" distR="0" simplePos="0" locked="0" layoutInCell="1" allowOverlap="1" relativeHeight="914">
                <wp:simplePos x="0" y="0"/>
                <wp:positionH relativeFrom="column">
                  <wp:align>left</wp:align>
                </wp:positionH>
                <wp:positionV relativeFrom="line">
                  <wp:align>top</wp:align>
                </wp:positionV>
                <wp:extent cx="127000" cy="350520"/>
                <wp:effectExtent l="0" t="0" r="0" b="0"/>
                <wp:wrapSquare wrapText="right"/>
                <wp:docPr id="905" name="Frame8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executive’s role, skills, experience and performance, taking into consideration the recommendations of our CEO (except with respect to his own long-term incentive compensation award);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5">
                <wp:simplePos x="0" y="0"/>
                <wp:positionH relativeFrom="column">
                  <wp:align>left</wp:align>
                </wp:positionH>
                <wp:positionV relativeFrom="line">
                  <wp:align>top</wp:align>
                </wp:positionV>
                <wp:extent cx="127000" cy="350520"/>
                <wp:effectExtent l="0" t="0" r="0" b="0"/>
                <wp:wrapSquare wrapText="right"/>
                <wp:docPr id="906" name="Frame8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outstanding equity holdings of each NEO;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6">
                <wp:simplePos x="0" y="0"/>
                <wp:positionH relativeFrom="column">
                  <wp:align>left</wp:align>
                </wp:positionH>
                <wp:positionV relativeFrom="line">
                  <wp:align>top</wp:align>
                </wp:positionV>
                <wp:extent cx="127000" cy="350520"/>
                <wp:effectExtent l="0" t="0" r="0" b="0"/>
                <wp:wrapSquare wrapText="right"/>
                <wp:docPr id="907" name="Frame8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projected impact of the proposed awards on our earnings;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7">
                <wp:simplePos x="0" y="0"/>
                <wp:positionH relativeFrom="column">
                  <wp:align>left</wp:align>
                </wp:positionH>
                <wp:positionV relativeFrom="line">
                  <wp:align>top</wp:align>
                </wp:positionV>
                <wp:extent cx="127000" cy="350520"/>
                <wp:effectExtent l="0" t="0" r="0" b="0"/>
                <wp:wrapSquare wrapText="right"/>
                <wp:docPr id="908" name="Frame8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proportion of our total shares outstanding used for annual employee long-term incentive compensation awards (our “burn rate”) in relation to the median proportions of the companies in our compensation peer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8">
                <wp:simplePos x="0" y="0"/>
                <wp:positionH relativeFrom="column">
                  <wp:align>left</wp:align>
                </wp:positionH>
                <wp:positionV relativeFrom="line">
                  <wp:align>top</wp:align>
                </wp:positionV>
                <wp:extent cx="127000" cy="350520"/>
                <wp:effectExtent l="0" t="0" r="0" b="0"/>
                <wp:wrapSquare wrapText="right"/>
                <wp:docPr id="909" name="Frame8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potential dilution to our stockholders (our “overhang”) in relation to the median practice of the companies in our compensation peer group after taking into account each of the other factors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9">
                <wp:simplePos x="0" y="0"/>
                <wp:positionH relativeFrom="column">
                  <wp:align>left</wp:align>
                </wp:positionH>
                <wp:positionV relativeFrom="line">
                  <wp:align>top</wp:align>
                </wp:positionV>
                <wp:extent cx="127000" cy="350520"/>
                <wp:effectExtent l="0" t="0" r="0" b="0"/>
                <wp:wrapSquare wrapText="right"/>
                <wp:docPr id="910" name="Frame8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26"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Annual Equity Award Design</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fiscal 2026, annual “refresh” long-term incentive compensation awards were granted to our NEOs in May 2025 in the form of PSU awards and time-based RSU awards. The fiscal 2026 equity grants were weighted more heavily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towards PSUs for our CEO, with 60% of his long-term incentive compensation opportunity in the form of PSU awards and 40% in the form of an RSU award. The Talent and Compensation Committee believed that weighting our CEO’s long-term compensation opportunity more heavily toward PSUs in comparison to other executives better aligns our CEO’s goals with those of our stockholders. Long-term incentive compensation for the other NEOs was divided equally between PSU awards and RSU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64" w:after="283"/>
        <w:jc w:val="center"/>
        <w:rPr>
          <w:caps w:val="false"/>
          <w:smallCaps w:val="false"/>
          <w:color w:val="000000"/>
        </w:rPr>
      </w:pPr>
      <w:r>
        <w:rPr>
          <w:caps w:val="false"/>
          <w:smallCaps w:val="false"/>
          <w:color w:val="000000"/>
        </w:rPr>
        <w:drawing>
          <wp:inline distT="0" distB="0" distL="0" distR="0">
            <wp:extent cx="6696075" cy="3381375"/>
            <wp:effectExtent l="0" t="0" r="0" b="0"/>
            <wp:docPr id="91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35" descr=""/>
                    <pic:cNvPicPr>
                      <a:picLocks noChangeAspect="1" noChangeArrowheads="1"/>
                    </pic:cNvPicPr>
                  </pic:nvPicPr>
                  <pic:blipFill>
                    <a:blip r:embed="rId36"/>
                    <a:stretch>
                      <a:fillRect/>
                    </a:stretch>
                  </pic:blipFill>
                  <pic:spPr bwMode="auto">
                    <a:xfrm>
                      <a:off x="0" y="0"/>
                      <a:ext cx="6696075" cy="3381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1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equity awards granted to our NEOs in May 2025 were as follows:</w:t>
      </w:r>
      <w:r>
        <w:rPr>
          <w:rFonts w:ascii="Arial;Helvetica;sans-serif" w:hAnsi="Arial;Helvetica;sans-serif"/>
          <w:b w:val="false"/>
          <w:i w:val="false"/>
          <w:caps w:val="false"/>
          <w:smallCaps w:val="false"/>
          <w:color w:val="000000"/>
          <w:spacing w:val="4"/>
          <w:sz w:val="20"/>
        </w:rPr>
        <w:t xml:space="preserve"> </w:t>
      </w:r>
    </w:p>
    <w:tbl>
      <w:tblPr>
        <w:tblW w:w="8849" w:type="dxa"/>
        <w:jc w:val="left"/>
        <w:tblInd w:w="680" w:type="dxa"/>
        <w:tblLayout w:type="fixed"/>
        <w:tblCellMar>
          <w:top w:w="0" w:type="dxa"/>
          <w:left w:w="0" w:type="dxa"/>
          <w:bottom w:w="28" w:type="dxa"/>
          <w:right w:w="0" w:type="dxa"/>
        </w:tblCellMar>
      </w:tblPr>
      <w:tblGrid>
        <w:gridCol w:w="124"/>
        <w:gridCol w:w="2596"/>
        <w:gridCol w:w="109"/>
        <w:gridCol w:w="109"/>
        <w:gridCol w:w="125"/>
        <w:gridCol w:w="125"/>
        <w:gridCol w:w="1019"/>
        <w:gridCol w:w="125"/>
        <w:gridCol w:w="109"/>
        <w:gridCol w:w="109"/>
        <w:gridCol w:w="122"/>
        <w:gridCol w:w="122"/>
        <w:gridCol w:w="997"/>
        <w:gridCol w:w="122"/>
        <w:gridCol w:w="109"/>
        <w:gridCol w:w="109"/>
        <w:gridCol w:w="171"/>
        <w:gridCol w:w="355"/>
        <w:gridCol w:w="1867"/>
        <w:gridCol w:w="17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94"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RSU Awards</w:t>
              <w:br/>
              <w:t xml:space="preserve">(Shares)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63"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PSU Awards</w:t>
              <w:br/>
              <w:t xml:space="preserve">(Shares)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2564" w:type="dxa"/>
            <w:gridSpan w:val="4"/>
            <w:tcBorders>
              <w:bottom w:val="single" w:sz="2" w:space="0" w:color="00BC6F"/>
            </w:tcBorders>
            <w:shd w:fill="D8D8D8" w:val="clear"/>
            <w:tcMar>
              <w:bottom w:w="42" w:type="dxa"/>
            </w:tcMar>
            <w:vAlign w:val="center"/>
          </w:tcPr>
          <w:p>
            <w:pPr>
              <w:pStyle w:val="TableContents"/>
              <w:bidi w:val="0"/>
              <w:spacing w:lineRule="atLeast" w:line="142" w:before="0" w:after="0"/>
              <w:jc w:val="center"/>
              <w:rPr/>
            </w:pPr>
            <w:r>
              <w:rPr/>
              <w:t>Target</w:t>
              <w:br/>
              <w:t>Value of RSUs and PSUs</w:t>
              <w:br/>
              <w:t>($)</w:t>
            </w:r>
            <w:r>
              <w:rPr>
                <w:sz w:val="13"/>
              </w:rPr>
              <w:t>1</w:t>
            </w:r>
            <w:r>
              <w:rPr/>
              <w:t xml:space="preserve">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78740" cy="175260"/>
                      <wp:effectExtent l="0" t="0" r="0" b="0"/>
                      <wp:wrapNone/>
                      <wp:docPr id="912" name="Frame8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921">
                      <wp:simplePos x="0" y="0"/>
                      <wp:positionH relativeFrom="page">
                        <wp:posOffset>-12700</wp:posOffset>
                      </wp:positionH>
                      <wp:positionV relativeFrom="line">
                        <wp:posOffset>635</wp:posOffset>
                      </wp:positionV>
                      <wp:extent cx="1648460" cy="175260"/>
                      <wp:effectExtent l="0" t="0" r="0" b="0"/>
                      <wp:wrapNone/>
                      <wp:docPr id="913" name="Frame87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69215" cy="175260"/>
                      <wp:effectExtent l="0" t="0" r="0" b="0"/>
                      <wp:wrapNone/>
                      <wp:docPr id="914" name="Frame8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69215" cy="175260"/>
                      <wp:effectExtent l="0" t="0" r="0" b="0"/>
                      <wp:wrapNone/>
                      <wp:docPr id="915" name="Frame8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109,326</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69215" cy="175260"/>
                      <wp:effectExtent l="0" t="0" r="0" b="0"/>
                      <wp:wrapNone/>
                      <wp:docPr id="916" name="Frame8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69215" cy="175260"/>
                      <wp:effectExtent l="0" t="0" r="0" b="0"/>
                      <wp:wrapNone/>
                      <wp:docPr id="917" name="Frame8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163,990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69215" cy="175260"/>
                      <wp:effectExtent l="0" t="0" r="0" b="0"/>
                      <wp:wrapNone/>
                      <wp:docPr id="918" name="Frame8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69215" cy="175260"/>
                      <wp:effectExtent l="0" t="0" r="0" b="0"/>
                      <wp:wrapNone/>
                      <wp:docPr id="919" name="Frame8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 </w:t>
            </w:r>
            <w:r>
              <w:rPr/>
              <w:t>8,000,000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97790" cy="175260"/>
                      <wp:effectExtent l="0" t="0" r="0" b="0"/>
                      <wp:wrapNone/>
                      <wp:docPr id="920" name="Frame8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78740" cy="175260"/>
                      <wp:effectExtent l="0" t="0" r="0" b="0"/>
                      <wp:wrapNone/>
                      <wp:docPr id="921" name="Frame8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930">
                      <wp:simplePos x="0" y="0"/>
                      <wp:positionH relativeFrom="page">
                        <wp:posOffset>-12700</wp:posOffset>
                      </wp:positionH>
                      <wp:positionV relativeFrom="line">
                        <wp:posOffset>635</wp:posOffset>
                      </wp:positionV>
                      <wp:extent cx="1648460" cy="175260"/>
                      <wp:effectExtent l="0" t="0" r="0" b="0"/>
                      <wp:wrapNone/>
                      <wp:docPr id="922" name="Frame88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69215" cy="175260"/>
                      <wp:effectExtent l="0" t="0" r="0" b="0"/>
                      <wp:wrapNone/>
                      <wp:docPr id="923" name="Frame8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69215" cy="175260"/>
                      <wp:effectExtent l="0" t="0" r="0" b="0"/>
                      <wp:wrapNone/>
                      <wp:docPr id="924" name="Frame8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75,162</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69215" cy="175260"/>
                      <wp:effectExtent l="0" t="0" r="0" b="0"/>
                      <wp:wrapNone/>
                      <wp:docPr id="925" name="Frame8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69215" cy="175260"/>
                      <wp:effectExtent l="0" t="0" r="0" b="0"/>
                      <wp:wrapNone/>
                      <wp:docPr id="926" name="Frame8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75,161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69215" cy="175260"/>
                      <wp:effectExtent l="0" t="0" r="0" b="0"/>
                      <wp:wrapNone/>
                      <wp:docPr id="927" name="Frame8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69215" cy="175260"/>
                      <wp:effectExtent l="0" t="0" r="0" b="0"/>
                      <wp:wrapNone/>
                      <wp:docPr id="928" name="Frame8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4,400,000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97790" cy="175260"/>
                      <wp:effectExtent l="0" t="0" r="0" b="0"/>
                      <wp:wrapNone/>
                      <wp:docPr id="929" name="Frame8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78740" cy="175260"/>
                      <wp:effectExtent l="0" t="0" r="0" b="0"/>
                      <wp:wrapNone/>
                      <wp:docPr id="930" name="Frame8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2</w:t>
            </w:r>
            <w:r>
              <w:rPr/>
              <w:t xml:space="preserve"> </w:t>
            </w:r>
            <w:r>
              <mc:AlternateContent>
                <mc:Choice Requires="wps">
                  <w:drawing>
                    <wp:anchor behindDoc="0" distT="0" distB="0" distL="0" distR="0" simplePos="0" locked="0" layoutInCell="1" allowOverlap="1" relativeHeight="939">
                      <wp:simplePos x="0" y="0"/>
                      <wp:positionH relativeFrom="page">
                        <wp:posOffset>-12700</wp:posOffset>
                      </wp:positionH>
                      <wp:positionV relativeFrom="line">
                        <wp:posOffset>635</wp:posOffset>
                      </wp:positionV>
                      <wp:extent cx="1648460" cy="175260"/>
                      <wp:effectExtent l="0" t="0" r="0" b="0"/>
                      <wp:wrapNone/>
                      <wp:docPr id="931" name="Frame89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69215" cy="175260"/>
                      <wp:effectExtent l="0" t="0" r="0" b="0"/>
                      <wp:wrapNone/>
                      <wp:docPr id="932" name="Frame8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9215" cy="175260"/>
                      <wp:effectExtent l="0" t="0" r="0" b="0"/>
                      <wp:wrapNone/>
                      <wp:docPr id="933" name="Frame8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17,082</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69215" cy="175260"/>
                      <wp:effectExtent l="0" t="0" r="0" b="0"/>
                      <wp:wrapNone/>
                      <wp:docPr id="934" name="Frame8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69215" cy="175260"/>
                      <wp:effectExtent l="0" t="0" r="0" b="0"/>
                      <wp:wrapNone/>
                      <wp:docPr id="935" name="Frame9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17,081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69215" cy="175260"/>
                      <wp:effectExtent l="0" t="0" r="0" b="0"/>
                      <wp:wrapNone/>
                      <wp:docPr id="936" name="Frame9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69215" cy="175260"/>
                      <wp:effectExtent l="0" t="0" r="0" b="0"/>
                      <wp:wrapNone/>
                      <wp:docPr id="937" name="Frame9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1,000,000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97790" cy="175260"/>
                      <wp:effectExtent l="0" t="0" r="0" b="0"/>
                      <wp:wrapNone/>
                      <wp:docPr id="938" name="Frame9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78740" cy="175260"/>
                      <wp:effectExtent l="0" t="0" r="0" b="0"/>
                      <wp:wrapNone/>
                      <wp:docPr id="939" name="Frame9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Sharma </w:t>
            </w:r>
            <w:r>
              <mc:AlternateContent>
                <mc:Choice Requires="wps">
                  <w:drawing>
                    <wp:anchor behindDoc="0" distT="0" distB="0" distL="0" distR="0" simplePos="0" locked="0" layoutInCell="1" allowOverlap="1" relativeHeight="948">
                      <wp:simplePos x="0" y="0"/>
                      <wp:positionH relativeFrom="page">
                        <wp:posOffset>-12700</wp:posOffset>
                      </wp:positionH>
                      <wp:positionV relativeFrom="line">
                        <wp:posOffset>635</wp:posOffset>
                      </wp:positionV>
                      <wp:extent cx="1648460" cy="175260"/>
                      <wp:effectExtent l="0" t="0" r="0" b="0"/>
                      <wp:wrapNone/>
                      <wp:docPr id="940" name="Frame90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69215" cy="175260"/>
                      <wp:effectExtent l="0" t="0" r="0" b="0"/>
                      <wp:wrapNone/>
                      <wp:docPr id="941" name="Frame9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69215" cy="175260"/>
                      <wp:effectExtent l="0" t="0" r="0" b="0"/>
                      <wp:wrapNone/>
                      <wp:docPr id="942" name="Frame9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43,559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69215" cy="175260"/>
                      <wp:effectExtent l="0" t="0" r="0" b="0"/>
                      <wp:wrapNone/>
                      <wp:docPr id="943" name="Frame9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69215" cy="175260"/>
                      <wp:effectExtent l="0" t="0" r="0" b="0"/>
                      <wp:wrapNone/>
                      <wp:docPr id="944" name="Frame9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43,558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69215" cy="175260"/>
                      <wp:effectExtent l="0" t="0" r="0" b="0"/>
                      <wp:wrapNone/>
                      <wp:docPr id="945" name="Frame9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69215" cy="175260"/>
                      <wp:effectExtent l="0" t="0" r="0" b="0"/>
                      <wp:wrapNone/>
                      <wp:docPr id="946" name="Frame9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2,550,000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97790" cy="175260"/>
                      <wp:effectExtent l="0" t="0" r="0" b="0"/>
                      <wp:wrapNone/>
                      <wp:docPr id="947" name="Frame9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78740" cy="175260"/>
                      <wp:effectExtent l="0" t="0" r="0" b="0"/>
                      <wp:wrapNone/>
                      <wp:docPr id="948" name="Frame9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957">
                      <wp:simplePos x="0" y="0"/>
                      <wp:positionH relativeFrom="page">
                        <wp:posOffset>-12700</wp:posOffset>
                      </wp:positionH>
                      <wp:positionV relativeFrom="line">
                        <wp:posOffset>635</wp:posOffset>
                      </wp:positionV>
                      <wp:extent cx="1648460" cy="175260"/>
                      <wp:effectExtent l="0" t="0" r="0" b="0"/>
                      <wp:wrapNone/>
                      <wp:docPr id="949" name="Frame91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9215" cy="175260"/>
                      <wp:effectExtent l="0" t="0" r="0" b="0"/>
                      <wp:wrapNone/>
                      <wp:docPr id="950" name="Frame9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9215" cy="175260"/>
                      <wp:effectExtent l="0" t="0" r="0" b="0"/>
                      <wp:wrapNone/>
                      <wp:docPr id="951" name="Frame9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26,477</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69215" cy="175260"/>
                      <wp:effectExtent l="0" t="0" r="0" b="0"/>
                      <wp:wrapNone/>
                      <wp:docPr id="952" name="Frame9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9215" cy="175260"/>
                      <wp:effectExtent l="0" t="0" r="0" b="0"/>
                      <wp:wrapNone/>
                      <wp:docPr id="953" name="Frame9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26,477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9215" cy="175260"/>
                      <wp:effectExtent l="0" t="0" r="0" b="0"/>
                      <wp:wrapNone/>
                      <wp:docPr id="954" name="Frame9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69215" cy="175260"/>
                      <wp:effectExtent l="0" t="0" r="0" b="0"/>
                      <wp:wrapNone/>
                      <wp:docPr id="955" name="Frame9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1,550,000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97790" cy="175260"/>
                      <wp:effectExtent l="0" t="0" r="0" b="0"/>
                      <wp:wrapNone/>
                      <wp:docPr id="956" name="Frame9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78740" cy="175260"/>
                      <wp:effectExtent l="0" t="0" r="0" b="0"/>
                      <wp:wrapNone/>
                      <wp:docPr id="957" name="Frame9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Hussain </w:t>
            </w:r>
            <w:r>
              <mc:AlternateContent>
                <mc:Choice Requires="wps">
                  <w:drawing>
                    <wp:anchor behindDoc="0" distT="0" distB="0" distL="0" distR="0" simplePos="0" locked="0" layoutInCell="1" allowOverlap="1" relativeHeight="966">
                      <wp:simplePos x="0" y="0"/>
                      <wp:positionH relativeFrom="page">
                        <wp:posOffset>-12700</wp:posOffset>
                      </wp:positionH>
                      <wp:positionV relativeFrom="line">
                        <wp:posOffset>635</wp:posOffset>
                      </wp:positionV>
                      <wp:extent cx="1648460" cy="175260"/>
                      <wp:effectExtent l="0" t="0" r="0" b="0"/>
                      <wp:wrapNone/>
                      <wp:docPr id="958" name="Frame92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69215" cy="175260"/>
                      <wp:effectExtent l="0" t="0" r="0" b="0"/>
                      <wp:wrapNone/>
                      <wp:docPr id="959" name="Frame9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69215" cy="175260"/>
                      <wp:effectExtent l="0" t="0" r="0" b="0"/>
                      <wp:wrapNone/>
                      <wp:docPr id="960" name="Frame9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37,581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69215" cy="175260"/>
                      <wp:effectExtent l="0" t="0" r="0" b="0"/>
                      <wp:wrapNone/>
                      <wp:docPr id="961" name="Frame9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69215" cy="175260"/>
                      <wp:effectExtent l="0" t="0" r="0" b="0"/>
                      <wp:wrapNone/>
                      <wp:docPr id="962" name="Frame9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37,580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69215" cy="175260"/>
                      <wp:effectExtent l="0" t="0" r="0" b="0"/>
                      <wp:wrapNone/>
                      <wp:docPr id="963" name="Frame9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69215" cy="175260"/>
                      <wp:effectExtent l="0" t="0" r="0" b="0"/>
                      <wp:wrapNone/>
                      <wp:docPr id="964" name="Frame9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2,200,000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97790" cy="175260"/>
                      <wp:effectExtent l="0" t="0" r="0" b="0"/>
                      <wp:wrapNone/>
                      <wp:docPr id="965" name="Frame9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target number of shares granted in fiscal 2026 reported in the table above are based on the 100-day trailing average stock price of $29.27 per share on May 13,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660" distB="0" distL="0" distR="0" simplePos="0" locked="0" layoutInCell="1" allowOverlap="1" relativeHeight="974">
                <wp:simplePos x="0" y="0"/>
                <wp:positionH relativeFrom="column">
                  <wp:align>left</wp:align>
                </wp:positionH>
                <wp:positionV relativeFrom="line">
                  <wp:align>top</wp:align>
                </wp:positionV>
                <wp:extent cx="254000" cy="254000"/>
                <wp:effectExtent l="0" t="0" r="0" b="0"/>
                <wp:wrapSquare wrapText="right"/>
                <wp:docPr id="966" name="Frame9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z w:val="16"/>
        </w:rPr>
        <w:t>In addition to the annual refresh awards set forth above, Mr. Karasick received additional equity awards in connection with his promotions in Fiscal 2026. For more information, see the section below titled “</w:t>
      </w:r>
      <w:r>
        <w:rPr>
          <w:rFonts w:ascii="Arial;Helvetica;sans-serif" w:hAnsi="Arial;Helvetica;sans-serif"/>
          <w:b w:val="false"/>
          <w:i/>
          <w:caps w:val="false"/>
          <w:smallCaps w:val="false"/>
          <w:color w:val="000000"/>
          <w:sz w:val="16"/>
        </w:rPr>
        <w:t>Leadership Transition — Promotion Compensation — Matthew Karasick.”</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8890" distB="0" distL="0" distR="0" simplePos="0" locked="0" layoutInCell="1" allowOverlap="1" relativeHeight="975">
                <wp:simplePos x="0" y="0"/>
                <wp:positionH relativeFrom="column">
                  <wp:align>left</wp:align>
                </wp:positionH>
                <wp:positionV relativeFrom="line">
                  <wp:align>top</wp:align>
                </wp:positionV>
                <wp:extent cx="254000" cy="254000"/>
                <wp:effectExtent l="0" t="0" r="0" b="0"/>
                <wp:wrapSquare wrapText="right"/>
                <wp:docPr id="967" name="Frame9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val="false"/>
                                <w:caps w:val="false"/>
                                <w:smallCaps w:val="false"/>
                                <w:sz w:val="16"/>
                              </w:rPr>
                              <w:t>2.</w:t>
                            </w:r>
                            <w:r>
                              <w:rPr>
                                <w:i/>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val="false"/>
                          <w:caps w:val="false"/>
                          <w:smallCaps w:val="false"/>
                          <w:sz w:val="16"/>
                        </w:rPr>
                        <w:t>2.</w:t>
                      </w:r>
                      <w:r>
                        <w:rPr>
                          <w:i/>
                          <w:sz w:val="16"/>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193"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Time-Based RSU Awards</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fiscal 2026 time-based RSU awards were for shares of Common Stock and vest over a three-year period. One-third of the shares subject to each award will vest on the first standard vesting date following the first anniversary of the grant date, with the remainder vesting in equal amounts quarterly thereafter, contingent upon the grantee’s continued employment as of each applicable vesting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28"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PSU Awards</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fiscal 2026 PSU awards were subject to one internal performance measure and one relative performance measure, described below, each with a three-year performance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Rule of 40.</w:t>
      </w:r>
      <w:r>
        <w:rPr>
          <w:rFonts w:ascii="Arial;Helvetica;sans-serif" w:hAnsi="Arial;Helvetica;sans-serif"/>
          <w:b w:val="false"/>
          <w:i w:val="false"/>
          <w:caps w:val="false"/>
          <w:smallCaps w:val="false"/>
          <w:color w:val="000000"/>
          <w:sz w:val="20"/>
        </w:rPr>
        <w:t xml:space="preserve"> The Talent and Compensation Committee believes the Rule of 40 is a critical metric in driving stockholder value creation, so this performance measure influences 70% of the total value of each PSU award. Specifically, 70% of the target number of shares of Common Stock subject to the fiscal 2026 PSU awards may be earned based on our annual revenue growth percentages and EBITDA margin percentages during the three-year performance period, commencing on April 1, 2025, and ending on March 31, 2028. We will combine the revenue growth and EBITDA margin percentages for each fiscal year during the performance period, and then average those amounts at the end of the full three-year performance period, as illustrated below. The number of shares of Common Stock for which these Rule of 40 PSU awards may be earned and settled can range from 0% to 200% of the target number of shares, based on the following scale:</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4131"/>
        <w:gridCol w:w="109"/>
        <w:gridCol w:w="109"/>
        <w:gridCol w:w="144"/>
        <w:gridCol w:w="144"/>
        <w:gridCol w:w="667"/>
        <w:gridCol w:w="147"/>
        <w:gridCol w:w="109"/>
        <w:gridCol w:w="109"/>
        <w:gridCol w:w="177"/>
        <w:gridCol w:w="177"/>
        <w:gridCol w:w="567"/>
        <w:gridCol w:w="179"/>
        <w:gridCol w:w="109"/>
        <w:gridCol w:w="109"/>
        <w:gridCol w:w="109"/>
        <w:gridCol w:w="109"/>
        <w:gridCol w:w="592"/>
        <w:gridCol w:w="109"/>
        <w:gridCol w:w="109"/>
        <w:gridCol w:w="109"/>
        <w:gridCol w:w="150"/>
        <w:gridCol w:w="150"/>
        <w:gridCol w:w="664"/>
        <w:gridCol w:w="152"/>
        <w:gridCol w:w="161"/>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4131"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Performance Criteria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02"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Below</w:t>
              <w:br/>
              <w:t xml:space="preserve">Threshold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0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Threshold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919"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16"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Maximum </w:t>
            </w:r>
          </w:p>
        </w:tc>
        <w:tc>
          <w:tcPr>
            <w:tcW w:w="161"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78740" cy="175260"/>
                      <wp:effectExtent l="0" t="0" r="0" b="0"/>
                      <wp:wrapNone/>
                      <wp:docPr id="968" name="Frame9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131" w:type="dxa"/>
            <w:tcBorders/>
            <w:tcMar>
              <w:bottom w:w="0" w:type="dxa"/>
            </w:tcMar>
            <w:vAlign w:val="center"/>
          </w:tcPr>
          <w:p>
            <w:pPr>
              <w:pStyle w:val="TableContents"/>
              <w:bidi w:val="0"/>
              <w:spacing w:before="0" w:after="0"/>
              <w:jc w:val="left"/>
              <w:rPr/>
            </w:pPr>
            <w:r>
              <w:rPr/>
              <w:t xml:space="preserve">3-Yr Average Revenue Growth % + EBITDA Margin % </w:t>
            </w:r>
            <w:r>
              <mc:AlternateContent>
                <mc:Choice Requires="wps">
                  <w:drawing>
                    <wp:anchor behindDoc="0" distT="0" distB="0" distL="0" distR="0" simplePos="0" locked="0" layoutInCell="1" allowOverlap="1" relativeHeight="977">
                      <wp:simplePos x="0" y="0"/>
                      <wp:positionH relativeFrom="page">
                        <wp:posOffset>-12700</wp:posOffset>
                      </wp:positionH>
                      <wp:positionV relativeFrom="line">
                        <wp:posOffset>635</wp:posOffset>
                      </wp:positionV>
                      <wp:extent cx="2623185" cy="175260"/>
                      <wp:effectExtent l="0" t="0" r="0" b="0"/>
                      <wp:wrapNone/>
                      <wp:docPr id="969" name="Frame934"/>
                      <a:graphic xmlns:a="http://schemas.openxmlformats.org/drawingml/2006/main">
                        <a:graphicData uri="http://schemas.microsoft.com/office/word/2010/wordprocessingShape">
                          <wps:wsp>
                            <wps:cNvSpPr txBox="1"/>
                            <wps:spPr>
                              <a:xfrm>
                                <a:off x="0" y="0"/>
                                <a:ext cx="26231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69215" cy="175260"/>
                      <wp:effectExtent l="0" t="0" r="0" b="0"/>
                      <wp:wrapNone/>
                      <wp:docPr id="970" name="Frame9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175260"/>
                      <wp:effectExtent l="0" t="0" r="0" b="0"/>
                      <wp:wrapNone/>
                      <wp:docPr id="971" name="Frame9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&lt;20%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69215" cy="175260"/>
                      <wp:effectExtent l="0" t="0" r="0" b="0"/>
                      <wp:wrapNone/>
                      <wp:docPr id="972" name="Frame9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69215" cy="175260"/>
                      <wp:effectExtent l="0" t="0" r="0" b="0"/>
                      <wp:wrapNone/>
                      <wp:docPr id="973" name="Frame9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20%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175260"/>
                      <wp:effectExtent l="0" t="0" r="0" b="0"/>
                      <wp:wrapNone/>
                      <wp:docPr id="974" name="Frame9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69215" cy="175260"/>
                      <wp:effectExtent l="0" t="0" r="0" b="0"/>
                      <wp:wrapNone/>
                      <wp:docPr id="975" name="Frame9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69215" cy="175260"/>
                      <wp:effectExtent l="0" t="0" r="0" b="0"/>
                      <wp:wrapNone/>
                      <wp:docPr id="976" name="Frame9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175260"/>
                      <wp:effectExtent l="0" t="0" r="0" b="0"/>
                      <wp:wrapNone/>
                      <wp:docPr id="977" name="Frame9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40%</w:t>
            </w:r>
          </w:p>
        </w:tc>
        <w:tc>
          <w:tcPr>
            <w:tcW w:w="15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102235" cy="175260"/>
                      <wp:effectExtent l="0" t="0" r="0" b="0"/>
                      <wp:wrapNone/>
                      <wp:docPr id="978" name="Frame943"/>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4131" w:type="dxa"/>
            <w:tcBorders>
              <w:bottom w:val="single" w:sz="6" w:space="0" w:color="00BC6F"/>
            </w:tcBorders>
            <w:tcMar>
              <w:bottom w:w="50" w:type="dxa"/>
            </w:tcMar>
            <w:vAlign w:val="center"/>
          </w:tcPr>
          <w:p>
            <w:pPr>
              <w:pStyle w:val="TableContents"/>
              <w:bidi w:val="0"/>
              <w:spacing w:lineRule="atLeast" w:line="142" w:before="0" w:after="0"/>
              <w:jc w:val="left"/>
              <w:rPr>
                <w:b/>
              </w:rPr>
            </w:pPr>
            <w:r>
              <w:rPr>
                <w:b/>
              </w:rPr>
              <w:t>Payout Opportunity (% of target)</w:t>
            </w:r>
            <w:r>
              <w:rPr>
                <w:b/>
                <w:sz w:val="13"/>
              </w:rPr>
              <w:t>1</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44" w:type="dxa"/>
            <w:tcBorders>
              <w:bottom w:val="single" w:sz="6" w:space="0" w:color="00BC6F"/>
            </w:tcBorders>
            <w:vAlign w:val="center"/>
          </w:tcPr>
          <w:p>
            <w:pPr>
              <w:pStyle w:val="TableContents"/>
              <w:bidi w:val="0"/>
              <w:spacing w:before="0" w:after="283"/>
              <w:jc w:val="left"/>
              <w:rPr/>
            </w:pPr>
            <w:r>
              <w:rPr/>
              <w:t>​</w:t>
            </w:r>
          </w:p>
        </w:tc>
        <w:tc>
          <w:tcPr>
            <w:tcW w:w="144" w:type="dxa"/>
            <w:tcBorders>
              <w:bottom w:val="single" w:sz="6" w:space="0" w:color="00BC6F"/>
            </w:tcBorders>
            <w:tcMar>
              <w:bottom w:w="50" w:type="dxa"/>
            </w:tcMar>
            <w:vAlign w:val="center"/>
          </w:tcPr>
          <w:p>
            <w:pPr>
              <w:pStyle w:val="TableContents"/>
              <w:bidi w:val="0"/>
              <w:spacing w:before="0" w:after="283"/>
              <w:jc w:val="right"/>
              <w:rPr/>
            </w:pPr>
            <w:r>
              <w:rPr/>
              <w:t>​</w:t>
            </w:r>
          </w:p>
        </w:tc>
        <w:tc>
          <w:tcPr>
            <w:tcW w:w="667" w:type="dxa"/>
            <w:tcBorders>
              <w:bottom w:val="single" w:sz="6" w:space="0" w:color="00BC6F"/>
            </w:tcBorders>
            <w:tcMar>
              <w:bottom w:w="50" w:type="dxa"/>
            </w:tcMar>
            <w:vAlign w:val="center"/>
          </w:tcPr>
          <w:p>
            <w:pPr>
              <w:pStyle w:val="TableContents"/>
              <w:bidi w:val="0"/>
              <w:spacing w:before="0" w:after="283"/>
              <w:jc w:val="right"/>
              <w:rPr/>
            </w:pPr>
            <w:r>
              <w:rPr/>
              <w:t>0%</w:t>
            </w:r>
          </w:p>
        </w:tc>
        <w:tc>
          <w:tcPr>
            <w:tcW w:w="147"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7" w:type="dxa"/>
            <w:tcBorders>
              <w:bottom w:val="single" w:sz="6" w:space="0" w:color="00BC6F"/>
            </w:tcBorders>
            <w:vAlign w:val="center"/>
          </w:tcPr>
          <w:p>
            <w:pPr>
              <w:pStyle w:val="TableContents"/>
              <w:bidi w:val="0"/>
              <w:spacing w:before="0" w:after="283"/>
              <w:jc w:val="left"/>
              <w:rPr/>
            </w:pPr>
            <w:r>
              <w:rPr/>
              <w:t>​</w:t>
            </w:r>
          </w:p>
        </w:tc>
        <w:tc>
          <w:tcPr>
            <w:tcW w:w="177" w:type="dxa"/>
            <w:tcBorders>
              <w:bottom w:val="single" w:sz="6" w:space="0" w:color="00BC6F"/>
            </w:tcBorders>
            <w:tcMar>
              <w:bottom w:w="50" w:type="dxa"/>
            </w:tcMar>
            <w:vAlign w:val="center"/>
          </w:tcPr>
          <w:p>
            <w:pPr>
              <w:pStyle w:val="TableContents"/>
              <w:bidi w:val="0"/>
              <w:spacing w:before="0" w:after="283"/>
              <w:jc w:val="right"/>
              <w:rPr/>
            </w:pPr>
            <w:r>
              <w:rPr/>
              <w:t>​</w:t>
            </w:r>
          </w:p>
        </w:tc>
        <w:tc>
          <w:tcPr>
            <w:tcW w:w="567" w:type="dxa"/>
            <w:tcBorders>
              <w:bottom w:val="single" w:sz="6" w:space="0" w:color="00BC6F"/>
            </w:tcBorders>
            <w:tcMar>
              <w:bottom w:w="50" w:type="dxa"/>
            </w:tcMar>
            <w:vAlign w:val="center"/>
          </w:tcPr>
          <w:p>
            <w:pPr>
              <w:pStyle w:val="TableContents"/>
              <w:bidi w:val="0"/>
              <w:spacing w:before="0" w:after="283"/>
              <w:jc w:val="right"/>
              <w:rPr/>
            </w:pPr>
            <w:r>
              <w:rPr/>
              <w:t>50%</w:t>
            </w:r>
          </w:p>
        </w:tc>
        <w:tc>
          <w:tcPr>
            <w:tcW w:w="17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tcMar>
              <w:bottom w:w="50" w:type="dxa"/>
            </w:tcMar>
            <w:vAlign w:val="center"/>
          </w:tcPr>
          <w:p>
            <w:pPr>
              <w:pStyle w:val="TableContents"/>
              <w:bidi w:val="0"/>
              <w:spacing w:before="0" w:after="283"/>
              <w:jc w:val="right"/>
              <w:rPr/>
            </w:pPr>
            <w:r>
              <w:rPr/>
              <w:t>​</w:t>
            </w:r>
          </w:p>
        </w:tc>
        <w:tc>
          <w:tcPr>
            <w:tcW w:w="592" w:type="dxa"/>
            <w:tcBorders>
              <w:bottom w:val="single" w:sz="6" w:space="0" w:color="00BC6F"/>
            </w:tcBorders>
            <w:tcMar>
              <w:bottom w:w="50" w:type="dxa"/>
            </w:tcMar>
            <w:vAlign w:val="center"/>
          </w:tcPr>
          <w:p>
            <w:pPr>
              <w:pStyle w:val="TableContents"/>
              <w:bidi w:val="0"/>
              <w:spacing w:before="0" w:after="283"/>
              <w:jc w:val="right"/>
              <w:rPr/>
            </w:pPr>
            <w:r>
              <w:rPr/>
              <w:t>100%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0" w:type="dxa"/>
            <w:tcBorders>
              <w:bottom w:val="single" w:sz="6" w:space="0" w:color="00BC6F"/>
            </w:tcBorders>
            <w:vAlign w:val="center"/>
          </w:tcPr>
          <w:p>
            <w:pPr>
              <w:pStyle w:val="TableContents"/>
              <w:bidi w:val="0"/>
              <w:spacing w:before="0" w:after="283"/>
              <w:jc w:val="left"/>
              <w:rPr/>
            </w:pPr>
            <w:r>
              <w:rPr/>
              <w:t>​</w:t>
            </w:r>
          </w:p>
        </w:tc>
        <w:tc>
          <w:tcPr>
            <w:tcW w:w="150" w:type="dxa"/>
            <w:tcBorders>
              <w:bottom w:val="single" w:sz="6" w:space="0" w:color="00BC6F"/>
            </w:tcBorders>
            <w:tcMar>
              <w:bottom w:w="50" w:type="dxa"/>
            </w:tcMar>
            <w:vAlign w:val="center"/>
          </w:tcPr>
          <w:p>
            <w:pPr>
              <w:pStyle w:val="TableContents"/>
              <w:bidi w:val="0"/>
              <w:spacing w:before="0" w:after="283"/>
              <w:jc w:val="right"/>
              <w:rPr/>
            </w:pPr>
            <w:r>
              <w:rPr/>
              <w:t>​</w:t>
            </w:r>
          </w:p>
        </w:tc>
        <w:tc>
          <w:tcPr>
            <w:tcW w:w="664" w:type="dxa"/>
            <w:tcBorders>
              <w:bottom w:val="single" w:sz="6" w:space="0" w:color="00BC6F"/>
            </w:tcBorders>
            <w:tcMar>
              <w:bottom w:w="50" w:type="dxa"/>
            </w:tcMar>
            <w:vAlign w:val="center"/>
          </w:tcPr>
          <w:p>
            <w:pPr>
              <w:pStyle w:val="TableContents"/>
              <w:bidi w:val="0"/>
              <w:spacing w:before="0" w:after="283"/>
              <w:jc w:val="right"/>
              <w:rPr/>
            </w:pPr>
            <w:r>
              <w:rPr/>
              <w:t>200%</w:t>
            </w:r>
          </w:p>
        </w:tc>
        <w:tc>
          <w:tcPr>
            <w:tcW w:w="152" w:type="dxa"/>
            <w:tcBorders>
              <w:bottom w:val="single" w:sz="6" w:space="0" w:color="00BC6F"/>
            </w:tcBorders>
            <w:vAlign w:val="center"/>
          </w:tcPr>
          <w:p>
            <w:pPr>
              <w:pStyle w:val="TableContents"/>
              <w:bidi w:val="0"/>
              <w:spacing w:before="0" w:after="283"/>
              <w:jc w:val="left"/>
              <w:rPr/>
            </w:pPr>
            <w:r>
              <w:rPr/>
              <w:t>​</w:t>
            </w:r>
          </w:p>
        </w:tc>
        <w:tc>
          <w:tcPr>
            <w:tcW w:w="161"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Note that the amount earned is to be interpolated for amounts between the designated percentages. No PSUs are earned for below-threshold performance, and payout is capped at 200% of target even if performance exceeds the maximum goal.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987">
                <wp:simplePos x="0" y="0"/>
                <wp:positionH relativeFrom="column">
                  <wp:align>left</wp:align>
                </wp:positionH>
                <wp:positionV relativeFrom="line">
                  <wp:align>top</wp:align>
                </wp:positionV>
                <wp:extent cx="254000" cy="254000"/>
                <wp:effectExtent l="0" t="0" r="0" b="0"/>
                <wp:wrapSquare wrapText="right"/>
                <wp:docPr id="979" name="Frame94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867400" cy="3733800"/>
            <wp:effectExtent l="0" t="0" r="0" b="0"/>
            <wp:docPr id="98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36" descr=""/>
                    <pic:cNvPicPr>
                      <a:picLocks noChangeAspect="1" noChangeArrowheads="1"/>
                    </pic:cNvPicPr>
                  </pic:nvPicPr>
                  <pic:blipFill>
                    <a:blip r:embed="rId37"/>
                    <a:stretch>
                      <a:fillRect/>
                    </a:stretch>
                  </pic:blipFill>
                  <pic:spPr bwMode="auto">
                    <a:xfrm>
                      <a:off x="0" y="0"/>
                      <a:ext cx="5867400" cy="37338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LETR"/>
      <w:bookmarkEnd w:id="147"/>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Relative TSR.</w:t>
      </w:r>
      <w:r>
        <w:rPr>
          <w:rFonts w:ascii="Arial;Helvetica;sans-serif" w:hAnsi="Arial;Helvetica;sans-serif"/>
          <w:b w:val="false"/>
          <w:i w:val="false"/>
          <w:caps w:val="false"/>
          <w:smallCaps w:val="false"/>
          <w:color w:val="000000"/>
          <w:sz w:val="20"/>
        </w:rPr>
        <w:t xml:space="preserve"> The remaining 30% of the target number of shares of Common Stock subject to the NEOs’ PSU awards may be earned based on our relative TSR compared to the Russell 2000 Index as measured over a three-year performance period, commencing on April 1, 2025 and ending on March 31, 2028, based on the following scale:</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2674"/>
        <w:gridCol w:w="109"/>
        <w:gridCol w:w="109"/>
        <w:gridCol w:w="196"/>
        <w:gridCol w:w="196"/>
        <w:gridCol w:w="544"/>
        <w:gridCol w:w="199"/>
        <w:gridCol w:w="109"/>
        <w:gridCol w:w="109"/>
        <w:gridCol w:w="171"/>
        <w:gridCol w:w="171"/>
        <w:gridCol w:w="551"/>
        <w:gridCol w:w="174"/>
        <w:gridCol w:w="109"/>
        <w:gridCol w:w="109"/>
        <w:gridCol w:w="171"/>
        <w:gridCol w:w="171"/>
        <w:gridCol w:w="551"/>
        <w:gridCol w:w="174"/>
        <w:gridCol w:w="109"/>
        <w:gridCol w:w="109"/>
        <w:gridCol w:w="142"/>
        <w:gridCol w:w="142"/>
        <w:gridCol w:w="640"/>
        <w:gridCol w:w="144"/>
        <w:gridCol w:w="109"/>
        <w:gridCol w:w="109"/>
        <w:gridCol w:w="151"/>
        <w:gridCol w:w="151"/>
        <w:gridCol w:w="681"/>
        <w:gridCol w:w="153"/>
        <w:gridCol w:w="16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674"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Relative TSR 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35"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Below 25th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7"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25th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7"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50th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8"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60th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36"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90th</w:t>
              <w:br/>
              <w:t>Percentile</w:t>
              <w:br/>
              <w:t xml:space="preserve">and Above </w:t>
            </w:r>
          </w:p>
        </w:tc>
        <w:tc>
          <w:tcPr>
            <w:tcW w:w="16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674" w:type="dxa"/>
            <w:tcBorders>
              <w:bottom w:val="single" w:sz="6" w:space="0" w:color="00BC6F"/>
            </w:tcBorders>
            <w:tcMar>
              <w:bottom w:w="30" w:type="dxa"/>
            </w:tcMar>
            <w:vAlign w:val="center"/>
          </w:tcPr>
          <w:p>
            <w:pPr>
              <w:pStyle w:val="TableContents"/>
              <w:bidi w:val="0"/>
              <w:spacing w:lineRule="atLeast" w:line="142" w:before="0" w:after="283"/>
              <w:jc w:val="left"/>
              <w:rPr/>
            </w:pPr>
            <w:r>
              <w:rPr/>
              <w:t>Attainment (% of total shares granted)</w:t>
            </w:r>
            <w:r>
              <w:rPr>
                <w:sz w:val="13"/>
              </w:rPr>
              <w:t>1</w:t>
            </w: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96" w:type="dxa"/>
            <w:tcBorders>
              <w:bottom w:val="single" w:sz="6" w:space="0" w:color="00BC6F"/>
            </w:tcBorders>
            <w:vAlign w:val="center"/>
          </w:tcPr>
          <w:p>
            <w:pPr>
              <w:pStyle w:val="TableContents"/>
              <w:bidi w:val="0"/>
              <w:spacing w:before="0" w:after="283"/>
              <w:jc w:val="left"/>
              <w:rPr/>
            </w:pPr>
            <w:r>
              <w:rPr/>
              <w:t>​</w:t>
            </w:r>
          </w:p>
        </w:tc>
        <w:tc>
          <w:tcPr>
            <w:tcW w:w="196" w:type="dxa"/>
            <w:tcBorders>
              <w:bottom w:val="single" w:sz="6" w:space="0" w:color="00BC6F"/>
            </w:tcBorders>
            <w:tcMar>
              <w:bottom w:w="30" w:type="dxa"/>
            </w:tcMar>
            <w:vAlign w:val="center"/>
          </w:tcPr>
          <w:p>
            <w:pPr>
              <w:pStyle w:val="TableContents"/>
              <w:bidi w:val="0"/>
              <w:spacing w:before="0" w:after="283"/>
              <w:jc w:val="right"/>
              <w:rPr/>
            </w:pPr>
            <w:r>
              <w:rPr/>
              <w:t>​</w:t>
            </w:r>
          </w:p>
        </w:tc>
        <w:tc>
          <w:tcPr>
            <w:tcW w:w="544" w:type="dxa"/>
            <w:tcBorders>
              <w:bottom w:val="single" w:sz="6" w:space="0" w:color="00BC6F"/>
            </w:tcBorders>
            <w:tcMar>
              <w:bottom w:w="30" w:type="dxa"/>
            </w:tcMar>
            <w:vAlign w:val="center"/>
          </w:tcPr>
          <w:p>
            <w:pPr>
              <w:pStyle w:val="TableContents"/>
              <w:bidi w:val="0"/>
              <w:spacing w:before="0" w:after="283"/>
              <w:jc w:val="right"/>
              <w:rPr/>
            </w:pPr>
            <w:r>
              <w:rPr/>
              <w:t>0%</w:t>
            </w:r>
          </w:p>
        </w:tc>
        <w:tc>
          <w:tcPr>
            <w:tcW w:w="19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tcMar>
              <w:bottom w:w="30" w:type="dxa"/>
            </w:tcMar>
            <w:vAlign w:val="center"/>
          </w:tcPr>
          <w:p>
            <w:pPr>
              <w:pStyle w:val="TableContents"/>
              <w:bidi w:val="0"/>
              <w:spacing w:before="0" w:after="283"/>
              <w:jc w:val="right"/>
              <w:rPr/>
            </w:pPr>
            <w:r>
              <w:rPr/>
              <w:t>​</w:t>
            </w:r>
          </w:p>
        </w:tc>
        <w:tc>
          <w:tcPr>
            <w:tcW w:w="551" w:type="dxa"/>
            <w:tcBorders>
              <w:bottom w:val="single" w:sz="6" w:space="0" w:color="00BC6F"/>
            </w:tcBorders>
            <w:tcMar>
              <w:bottom w:w="30" w:type="dxa"/>
            </w:tcMar>
            <w:vAlign w:val="center"/>
          </w:tcPr>
          <w:p>
            <w:pPr>
              <w:pStyle w:val="TableContents"/>
              <w:bidi w:val="0"/>
              <w:spacing w:before="0" w:after="283"/>
              <w:jc w:val="right"/>
              <w:rPr/>
            </w:pPr>
            <w:r>
              <w:rPr/>
              <w:t>25%</w:t>
            </w:r>
          </w:p>
        </w:tc>
        <w:tc>
          <w:tcPr>
            <w:tcW w:w="17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tcMar>
              <w:bottom w:w="30" w:type="dxa"/>
            </w:tcMar>
            <w:vAlign w:val="center"/>
          </w:tcPr>
          <w:p>
            <w:pPr>
              <w:pStyle w:val="TableContents"/>
              <w:bidi w:val="0"/>
              <w:spacing w:before="0" w:after="283"/>
              <w:jc w:val="right"/>
              <w:rPr/>
            </w:pPr>
            <w:r>
              <w:rPr/>
              <w:t>​</w:t>
            </w:r>
          </w:p>
        </w:tc>
        <w:tc>
          <w:tcPr>
            <w:tcW w:w="551" w:type="dxa"/>
            <w:tcBorders>
              <w:bottom w:val="single" w:sz="6" w:space="0" w:color="00BC6F"/>
            </w:tcBorders>
            <w:tcMar>
              <w:bottom w:w="30" w:type="dxa"/>
            </w:tcMar>
            <w:vAlign w:val="center"/>
          </w:tcPr>
          <w:p>
            <w:pPr>
              <w:pStyle w:val="TableContents"/>
              <w:bidi w:val="0"/>
              <w:spacing w:before="0" w:after="283"/>
              <w:jc w:val="right"/>
              <w:rPr/>
            </w:pPr>
            <w:r>
              <w:rPr/>
              <w:t>77%</w:t>
            </w:r>
          </w:p>
        </w:tc>
        <w:tc>
          <w:tcPr>
            <w:tcW w:w="17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42" w:type="dxa"/>
            <w:tcBorders>
              <w:bottom w:val="single" w:sz="6" w:space="0" w:color="00BC6F"/>
            </w:tcBorders>
            <w:vAlign w:val="center"/>
          </w:tcPr>
          <w:p>
            <w:pPr>
              <w:pStyle w:val="TableContents"/>
              <w:bidi w:val="0"/>
              <w:spacing w:before="0" w:after="283"/>
              <w:jc w:val="left"/>
              <w:rPr/>
            </w:pPr>
            <w:r>
              <w:rPr/>
              <w:t>​</w:t>
            </w:r>
          </w:p>
        </w:tc>
        <w:tc>
          <w:tcPr>
            <w:tcW w:w="142" w:type="dxa"/>
            <w:tcBorders>
              <w:bottom w:val="single" w:sz="6" w:space="0" w:color="00BC6F"/>
            </w:tcBorders>
            <w:tcMar>
              <w:bottom w:w="30" w:type="dxa"/>
            </w:tcMar>
            <w:vAlign w:val="center"/>
          </w:tcPr>
          <w:p>
            <w:pPr>
              <w:pStyle w:val="TableContents"/>
              <w:bidi w:val="0"/>
              <w:spacing w:before="0" w:after="283"/>
              <w:jc w:val="right"/>
              <w:rPr/>
            </w:pPr>
            <w:r>
              <w:rPr/>
              <w:t>​</w:t>
            </w:r>
          </w:p>
        </w:tc>
        <w:tc>
          <w:tcPr>
            <w:tcW w:w="640" w:type="dxa"/>
            <w:tcBorders>
              <w:bottom w:val="single" w:sz="6" w:space="0" w:color="00BC6F"/>
            </w:tcBorders>
            <w:tcMar>
              <w:bottom w:w="30" w:type="dxa"/>
            </w:tcMar>
            <w:vAlign w:val="center"/>
          </w:tcPr>
          <w:p>
            <w:pPr>
              <w:pStyle w:val="TableContents"/>
              <w:bidi w:val="0"/>
              <w:spacing w:before="0" w:after="283"/>
              <w:jc w:val="right"/>
              <w:rPr/>
            </w:pPr>
            <w:r>
              <w:rPr/>
              <w:t>100%</w:t>
            </w:r>
          </w:p>
        </w:tc>
        <w:tc>
          <w:tcPr>
            <w:tcW w:w="14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1" w:type="dxa"/>
            <w:tcBorders>
              <w:bottom w:val="single" w:sz="6" w:space="0" w:color="00BC6F"/>
            </w:tcBorders>
            <w:vAlign w:val="center"/>
          </w:tcPr>
          <w:p>
            <w:pPr>
              <w:pStyle w:val="TableContents"/>
              <w:bidi w:val="0"/>
              <w:spacing w:before="0" w:after="283"/>
              <w:jc w:val="left"/>
              <w:rPr/>
            </w:pPr>
            <w:r>
              <w:rPr/>
              <w:t>​</w:t>
            </w:r>
          </w:p>
        </w:tc>
        <w:tc>
          <w:tcPr>
            <w:tcW w:w="151" w:type="dxa"/>
            <w:tcBorders>
              <w:bottom w:val="single" w:sz="6" w:space="0" w:color="00BC6F"/>
            </w:tcBorders>
            <w:tcMar>
              <w:bottom w:w="30" w:type="dxa"/>
            </w:tcMar>
            <w:vAlign w:val="center"/>
          </w:tcPr>
          <w:p>
            <w:pPr>
              <w:pStyle w:val="TableContents"/>
              <w:bidi w:val="0"/>
              <w:spacing w:before="0" w:after="283"/>
              <w:jc w:val="right"/>
              <w:rPr/>
            </w:pPr>
            <w:r>
              <w:rPr/>
              <w:t>​</w:t>
            </w:r>
          </w:p>
        </w:tc>
        <w:tc>
          <w:tcPr>
            <w:tcW w:w="681" w:type="dxa"/>
            <w:tcBorders>
              <w:bottom w:val="single" w:sz="6" w:space="0" w:color="00BC6F"/>
            </w:tcBorders>
            <w:tcMar>
              <w:bottom w:w="30" w:type="dxa"/>
            </w:tcMar>
            <w:vAlign w:val="center"/>
          </w:tcPr>
          <w:p>
            <w:pPr>
              <w:pStyle w:val="TableContents"/>
              <w:bidi w:val="0"/>
              <w:spacing w:before="0" w:after="283"/>
              <w:jc w:val="right"/>
              <w:rPr/>
            </w:pPr>
            <w:r>
              <w:rPr/>
              <w:t>200%</w:t>
            </w:r>
          </w:p>
        </w:tc>
        <w:tc>
          <w:tcPr>
            <w:tcW w:w="153" w:type="dxa"/>
            <w:tcBorders>
              <w:bottom w:val="single" w:sz="6" w:space="0" w:color="00BC6F"/>
            </w:tcBorders>
            <w:vAlign w:val="center"/>
          </w:tcPr>
          <w:p>
            <w:pPr>
              <w:pStyle w:val="TableContents"/>
              <w:bidi w:val="0"/>
              <w:spacing w:before="0" w:after="283"/>
              <w:jc w:val="left"/>
              <w:rPr/>
            </w:pPr>
            <w:r>
              <w:rPr/>
              <w:t>​</w:t>
            </w:r>
          </w:p>
        </w:tc>
        <w:tc>
          <w:tcPr>
            <w:tcW w:w="16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Note that the amount earned is to be interpolated for amounts between the designated percentages. No PSUs are earned for below-threshold performance, and payout is capped (i) at 200% of target even if performance exceeds the maximum goal and (ii) 100% if our TSR is negative.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988">
                <wp:simplePos x="0" y="0"/>
                <wp:positionH relativeFrom="column">
                  <wp:align>left</wp:align>
                </wp:positionH>
                <wp:positionV relativeFrom="line">
                  <wp:align>top</wp:align>
                </wp:positionV>
                <wp:extent cx="254000" cy="254000"/>
                <wp:effectExtent l="0" t="0" r="0" b="0"/>
                <wp:wrapSquare wrapText="right"/>
                <wp:docPr id="981" name="Frame94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2024 PSU Awards Achievement</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conclusion of the April 1, 2023 to March 31, 2026 performance period, in May 2026, the Talent and Compensation Committee certified cumulative achievement of the Fiscal 2024 PSU awards at 96.1% of target. See “</w:t>
      </w:r>
      <w:r>
        <w:rPr>
          <w:rFonts w:ascii="Arial;Helvetica;sans-serif" w:hAnsi="Arial;Helvetica;sans-serif"/>
          <w:b w:val="false"/>
          <w:i/>
          <w:caps w:val="false"/>
          <w:smallCaps w:val="false"/>
          <w:color w:val="000000"/>
          <w:sz w:val="20"/>
        </w:rPr>
        <w:t>Executive Summary — Fiscal 2026 Compensation Outcomes</w:t>
      </w:r>
      <w:r>
        <w:rPr>
          <w:rFonts w:ascii="Arial;Helvetica;sans-serif" w:hAnsi="Arial;Helvetica;sans-serif"/>
          <w:b w:val="false"/>
          <w:i w:val="false"/>
          <w:caps w:val="false"/>
          <w:smallCaps w:val="false"/>
          <w:color w:val="000000"/>
          <w:sz w:val="20"/>
        </w:rPr>
        <w:t>” for details regarding our performance against the Rule of 40 and relative TSR metrics.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Leadership Transition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2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Chief Technology Officer Departure</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12, 2025, the Company announced that Mohsin Hussain, the Company’s Chief Technology Officer, would cease serving in such role and his employment with the Company would terminate effective as of the end of fiscal 2026. Mr. Hussain’s departure constituted a termination without cause for purposes of his severance arrangement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his departure, Mr. Hussain and the Company entered into a separation agreement and release of claims pursuant to which Mr. Hussain received a lump sum cash severance payment of  $862,500, which is equal to the sum of his current base salary and his average annual bonus for the two prior fiscal years. Mr. Hussain remained eligible to receive his fiscal 2026 cash bonus, to the extent it is earned and payable in accordance with the Company’s incentive compensation program, excluding the provision requiring employment on the payment date, and Mr. Hussain received a prorated portion of his outstanding PSUs. All other equity awards held by Mr. Hussain were forfeited and cancelled. In addition, Mr. Hussain received a lump sum cash payment to cover COBRA continuation coverage for him and his eligible dependents for 12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Promotion Compensation — Matthew Karasick</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March 1, 2025, Mr. Karasick was promoted to serve as the Company’s Senior Vice President, Product. In connection with his appointment, Mr. Karasick became entitled to an annual base salary of  $380,000 per year, and he became eligible to participate in the Company’s short-term incentive plan applicable to fiscal 2026 with a target opportunity of 75% of his new base salary payable upon the attainment of the performance goals (including applicable weighting) approved by the Talent and Compensation Committee. In addition, Mr. Karasick received a one-time promotional equity grant of  $1,200,000, of which (i) 50% is in the form of time-based RSUs that will vest over three years with one-third of the award vesting on May 22, 2026 and the remaining vesting in equal parts quarterly thereafter, subject to his continued employment through each vesting date and (ii) 50% is in the form of PSUs that are eligible to vest subject to the same performance measures as the fiscal 2026 PSU awards discussed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15, 2025, the Board appointed Mr. Karasick to serve as the Company’s Chief Product Officer. In connection with his appointment, Mr. Karasick became entitled to an annual base salary of  $430,000 per year, and he continued his eligibility in the Company’s short-term incentive plan applicable to fiscal 2026 with a target opportunity of 75% of his new base salary payable upon the attainment of the performance goals (including applicable weighting) previously approved by the Talent and Compensation Committee. In addition, Mr. Karasick received a one-time promotional equity grant of  $2,000,000, of which (i) 50% is in the form of time-based RSUs that will vest over three years with one-third of the award vesting on December 22, 2026 and the remaining vesting in equal parts quarterly thereafter, subject to his continued employment through each vesting date and (ii) 50% is in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OCT"/>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form of PSUs that are eligible to vest on December 22, 2028 subject to the same performance measures as the fiscal 2026 PSU awards discussed above and his continued employment through that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Other Compensation Topics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Stock Ownership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one way of fostering a strong connection between the interests of our executive officers and those of our stockholders, our executive officers are subject to stock ownership guidelines designed to ensure that they have a meaningful stake in LiveRamp, while acknowledging their need for portfolio diversification. These stock ownership guidelines are as follows:</w:t>
      </w:r>
      <w:r>
        <w:rPr>
          <w:rFonts w:ascii="Arial;Helvetica;sans-serif" w:hAnsi="Arial;Helvetica;sans-serif"/>
          <w:b w:val="false"/>
          <w:i w:val="false"/>
          <w:caps w:val="false"/>
          <w:smallCaps w:val="false"/>
          <w:color w:val="000000"/>
          <w:spacing w:val="4"/>
          <w:sz w:val="20"/>
        </w:rPr>
        <w:t xml:space="preserve"> </w:t>
      </w:r>
    </w:p>
    <w:tbl>
      <w:tblPr>
        <w:tblW w:w="6018" w:type="dxa"/>
        <w:jc w:val="left"/>
        <w:tblInd w:w="680" w:type="dxa"/>
        <w:tblLayout w:type="fixed"/>
        <w:tblCellMar>
          <w:top w:w="0" w:type="dxa"/>
          <w:left w:w="0" w:type="dxa"/>
          <w:bottom w:w="28" w:type="dxa"/>
          <w:right w:w="0" w:type="dxa"/>
        </w:tblCellMar>
      </w:tblPr>
      <w:tblGrid>
        <w:gridCol w:w="124"/>
        <w:gridCol w:w="2431"/>
        <w:gridCol w:w="109"/>
        <w:gridCol w:w="109"/>
        <w:gridCol w:w="309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431" w:type="dxa"/>
            <w:tcBorders>
              <w:bottom w:val="single" w:sz="2" w:space="0" w:color="00BC6F"/>
            </w:tcBorders>
            <w:shd w:fill="D8D8D8" w:val="clear"/>
            <w:tcMar>
              <w:bottom w:w="50" w:type="dxa"/>
            </w:tcMar>
            <w:vAlign w:val="center"/>
          </w:tcPr>
          <w:p>
            <w:pPr>
              <w:pStyle w:val="TableContents"/>
              <w:bidi w:val="0"/>
              <w:spacing w:before="0" w:after="0"/>
              <w:jc w:val="left"/>
              <w:rPr/>
            </w:pPr>
            <w:r>
              <w:rPr/>
              <w:t xml:space="preserve">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3091" w:type="dxa"/>
            <w:tcBorders>
              <w:bottom w:val="single" w:sz="2" w:space="0" w:color="00BC6F"/>
            </w:tcBorders>
            <w:shd w:fill="D8D8D8" w:val="clear"/>
            <w:tcMar>
              <w:bottom w:w="50" w:type="dxa"/>
            </w:tcMar>
            <w:vAlign w:val="center"/>
          </w:tcPr>
          <w:p>
            <w:pPr>
              <w:pStyle w:val="TableContents"/>
              <w:bidi w:val="0"/>
              <w:spacing w:before="0" w:after="0"/>
              <w:jc w:val="left"/>
              <w:rPr/>
            </w:pPr>
            <w:r>
              <w:rPr/>
              <w:t xml:space="preserve">Stock Ownership Requirement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78740" cy="175260"/>
                      <wp:effectExtent l="0" t="0" r="0" b="0"/>
                      <wp:wrapNone/>
                      <wp:docPr id="982" name="Frame9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431" w:type="dxa"/>
            <w:tcBorders/>
            <w:tcMar>
              <w:bottom w:w="0" w:type="dxa"/>
            </w:tcMar>
            <w:vAlign w:val="center"/>
          </w:tcPr>
          <w:p>
            <w:pPr>
              <w:pStyle w:val="TableContents"/>
              <w:bidi w:val="0"/>
              <w:spacing w:before="0" w:after="0"/>
              <w:jc w:val="left"/>
              <w:rPr/>
            </w:pPr>
            <w:r>
              <w:rPr/>
              <w:t xml:space="preserve">Chief Executive Officer </w:t>
            </w:r>
            <w:r>
              <mc:AlternateContent>
                <mc:Choice Requires="wps">
                  <w:drawing>
                    <wp:anchor behindDoc="0" distT="0" distB="0" distL="0" distR="0" simplePos="0" locked="0" layoutInCell="1" allowOverlap="1" relativeHeight="990">
                      <wp:simplePos x="0" y="0"/>
                      <wp:positionH relativeFrom="page">
                        <wp:posOffset>-12700</wp:posOffset>
                      </wp:positionH>
                      <wp:positionV relativeFrom="line">
                        <wp:posOffset>635</wp:posOffset>
                      </wp:positionV>
                      <wp:extent cx="1543685" cy="175260"/>
                      <wp:effectExtent l="0" t="0" r="0" b="0"/>
                      <wp:wrapNone/>
                      <wp:docPr id="983" name="Frame947"/>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69215" cy="175260"/>
                      <wp:effectExtent l="0" t="0" r="0" b="0"/>
                      <wp:wrapNone/>
                      <wp:docPr id="984" name="Frame9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69215" cy="175260"/>
                      <wp:effectExtent l="0" t="0" r="0" b="0"/>
                      <wp:wrapNone/>
                      <wp:docPr id="985" name="Frame9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091" w:type="dxa"/>
            <w:tcBorders/>
            <w:tcMar>
              <w:bottom w:w="0" w:type="dxa"/>
            </w:tcMar>
            <w:vAlign w:val="center"/>
          </w:tcPr>
          <w:p>
            <w:pPr>
              <w:pStyle w:val="TableContents"/>
              <w:bidi w:val="0"/>
              <w:spacing w:lineRule="atLeast" w:line="200" w:before="0" w:after="0"/>
              <w:jc w:val="left"/>
              <w:rPr>
                <w:sz w:val="28"/>
              </w:rPr>
            </w:pPr>
            <w:r>
              <w:rPr>
                <w:color w:val="00BC6F"/>
                <w:sz w:val="28"/>
              </w:rPr>
              <w:t>3x</w:t>
            </w:r>
            <w:r>
              <w:rPr>
                <w:sz w:val="28"/>
              </w:rPr>
              <w:t xml:space="preserve"> </w:t>
            </w:r>
            <w:r>
              <w:rPr>
                <w:sz w:val="20"/>
              </w:rPr>
              <w:t xml:space="preserve">annual base salary </w:t>
            </w:r>
            <w:r>
              <mc:AlternateContent>
                <mc:Choice Requires="wps">
                  <w:drawing>
                    <wp:anchor behindDoc="0" distT="0" distB="0" distL="0" distR="0" simplePos="0" locked="0" layoutInCell="1" allowOverlap="1" relativeHeight="993">
                      <wp:simplePos x="0" y="0"/>
                      <wp:positionH relativeFrom="page">
                        <wp:posOffset>-12700</wp:posOffset>
                      </wp:positionH>
                      <wp:positionV relativeFrom="line">
                        <wp:posOffset>635</wp:posOffset>
                      </wp:positionV>
                      <wp:extent cx="1962785" cy="175260"/>
                      <wp:effectExtent l="0" t="0" r="0" b="0"/>
                      <wp:wrapNone/>
                      <wp:docPr id="986" name="Frame95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97790" cy="175260"/>
                      <wp:effectExtent l="0" t="0" r="0" b="0"/>
                      <wp:wrapNone/>
                      <wp:docPr id="987" name="Frame9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018" w:type="dxa"/>
            <w:gridSpan w:val="6"/>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431" w:type="dxa"/>
            <w:tcBorders>
              <w:bottom w:val="single" w:sz="6" w:space="0" w:color="00BC6F"/>
            </w:tcBorders>
            <w:tcMar>
              <w:bottom w:w="30" w:type="dxa"/>
            </w:tcMar>
            <w:vAlign w:val="center"/>
          </w:tcPr>
          <w:p>
            <w:pPr>
              <w:pStyle w:val="TableContents"/>
              <w:bidi w:val="0"/>
              <w:spacing w:before="0" w:after="283"/>
              <w:jc w:val="left"/>
              <w:rPr/>
            </w:pPr>
            <w:r>
              <w:rPr/>
              <w:t xml:space="preserve">Other NEOs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3091" w:type="dxa"/>
            <w:tcBorders>
              <w:bottom w:val="single" w:sz="6" w:space="0" w:color="00BC6F"/>
            </w:tcBorders>
            <w:tcMar>
              <w:bottom w:w="30" w:type="dxa"/>
            </w:tcMar>
            <w:vAlign w:val="center"/>
          </w:tcPr>
          <w:p>
            <w:pPr>
              <w:pStyle w:val="TableContents"/>
              <w:bidi w:val="0"/>
              <w:spacing w:lineRule="atLeast" w:line="200" w:before="0" w:after="0"/>
              <w:jc w:val="left"/>
              <w:rPr>
                <w:sz w:val="28"/>
              </w:rPr>
            </w:pPr>
            <w:r>
              <w:rPr>
                <w:color w:val="00BC6F"/>
                <w:sz w:val="28"/>
              </w:rPr>
              <w:t>1x</w:t>
            </w:r>
            <w:r>
              <w:rPr>
                <w:sz w:val="28"/>
              </w:rPr>
              <w:t xml:space="preserve"> </w:t>
            </w:r>
            <w:r>
              <w:rPr>
                <w:sz w:val="20"/>
              </w:rPr>
              <w:t>annual base salary</w:t>
            </w:r>
            <w:r>
              <w:rPr>
                <w:sz w:val="28"/>
              </w:rPr>
              <w:t xml:space="preserve"> </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40" w:before="154"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each NEO has five years from the date of appointment to attain the required ownership level. If an executive officer’s base salary is increased, he or she will have one year from the time of the increase to acquire any additional shares needed to meet the increased ownership threshold. Under the guidelines, stock ownership includes shares of Common Stock purchased on the open market; shares owned jointly with, or separately by, immediate family members (spouse and dependent children); shares held in trust for the NEO or an immediate family member; shares held through any Company-sponsored plan, such as an employee stock purchase plan, a qualified retirement plan, or a supplemental executive retirement plan; shares obtained through the exercise of stock options; and 50% of the NEO’s unvested RSU awards (after deduction of applicable federal and state taxes). In addition to imposing an ownership threshold, the guidelines require our CEO to hold for at least one year any net shares he receives through stock option exercises.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NEO fails to meet or, in unique circumstances, to show sustained progress toward meeting the above guidelines, we may reduce future equity awards or cash incentive payouts in the form of shares of Common Stock. As of March 31, 2026, each of the NEOs that is currently an executive officer of the Company either was in compliance with the applicable stock ownership requirement or had been in his or her position for less than five years. Please see the section entitled “</w:t>
      </w:r>
      <w:r>
        <w:rPr>
          <w:rFonts w:ascii="Arial;Helvetica;sans-serif" w:hAnsi="Arial;Helvetica;sans-serif"/>
          <w:b w:val="false"/>
          <w:i/>
          <w:caps w:val="false"/>
          <w:smallCaps w:val="false"/>
          <w:color w:val="000000"/>
          <w:sz w:val="20"/>
        </w:rPr>
        <w:t>Security Ownership of Certain Beneficial Owners and Management</w:t>
      </w:r>
      <w:r>
        <w:rPr>
          <w:rFonts w:ascii="Arial;Helvetica;sans-serif" w:hAnsi="Arial;Helvetica;sans-serif"/>
          <w:b w:val="false"/>
          <w:i w:val="false"/>
          <w:caps w:val="false"/>
          <w:smallCaps w:val="false"/>
          <w:color w:val="000000"/>
          <w:sz w:val="20"/>
        </w:rPr>
        <w:t>” elsewhere in the proxy statement for a presentation of our NEOs’ equity holdings.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Practices Related to the Timing of Equity Grants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It is the Talent and Compensation Committee’s practice to review and grant all annual equity compensation awards to eligible employees (including the executive officers) at its first regularly scheduled meeting of each fiscal year, which it expects to occur each year in May. Additionally, the Talent and Compensation Committee may grant equity awards outside of our annual grant cycle for new hires, promotions, recognition, retention or other purposes. We do not time the granting of equity awards (including stock option awards) in relation to the release of material nonpublic information, nor have we timed the disclosure of material nonpublic information for the purpose of affecting the value of executive compensation. During fiscal 2026, the Company did not grant stock options to any NEO.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Retirement and Welfare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NEOs are eligible to participate in the same tax-qualified retirement and welfare plans as our other full-time employees. We sponsor retirement plans (for example, a 401(k) plan in the United States) that provide for employer matching contributions which are currently paid in cash. Our U.S. based NEOs are also eligible to receive retirement benefits through our non-qualified supplemental executive retirement plan described below. In addition, our employees (including our NEOs) are entitled to certain retirement benefits under the 2005 Plan. Specifically, when a 2005 Plan participant retires on or after age 65 with at least five years of service, awards held by the participant at retirement will continue to vest in accordance with their terms. We believe these benefits are important for attracting, motivating, rewarding, and retaining our NEOs, and are comparable to retirement benefits being provided by companies in our compensation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Defined Benefit Pension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our NEOs participate in or have an account balance in a tax-qualified defined benefit pension plan maintained by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Nonqualified Deferral Plan or Supplemental Executive Retirement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do not maintain a defined benefit pension plan, our highly compensated employees, including our Named Executive Officers, are eligible to participate in our non-qualified Supplemental Executive Retirement Plan (the “SERP”) which enables them to contribute their pre-tax income into the plan through payroll deductions. The purpose of the SERP is to provide eligible employees with the ability to defer cash compensation in excess of certain limits that apply under the Company’s Section 401(k) plan. Participants may defer up to 90% of their pre-tax income.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investment choices for participant contributions under the SERP are similar to those provided under the Section 401(k) plan. A participant’s contributions are deemed to be invested in certain funds in accordance with his or her election, and earnings are calculated based on the performance of the selected funds. The participant does not actually own any shares in the investments.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Health Benefit Plans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maintain several broad-based employee benefit plans in which our NEOs are permitted to participate on the same terms as other employees who meet applicable eligibility criteria, subject to legal limitations on the amounts that may be contributed or the benefits that may be payable under the plans. These include health benefits, life insurance, and disability benefits. We believe these benefits encourage the overall health, stability and well-being of our NEOs and are comparable to those plans being provided by the companies in our compensation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Executive Physical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Executive Physical Program is designed to provide our most senior level executives with an annual comprehensive physical that includes services such as a routine medical examination, blood tests and x-rays. The program is a component of our health plan, and participation is voluntary. This program does not include expenses for the treatment, cure or testing of a known illness, disability, or physical injury or for lifestyle behavior change programs that are generally provided under the group health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Perquisites and Other Personal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view perquisites or other personal benefits as a significant component of our executive compensation program. We describe the perquisites and other personal benefits provided to our NEOs in the Summary Compensation Table. In the future, we may provide perquisites or other personal benefits in limited situations, such as where we believe it is appropriate to assist an individual in the performance of his or her duties, to make our NEOs more efficient and effective, and for recruitment and retention purposes. All future practices with respect to perquisites or other personal benefits to NEOs will be approved and subject to periodic review by the Talent and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Post-Employment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that reasonable and competitive post-employment compensation arrangements are essential to attracting and retaining highly qualified executive officers. Accordingly, our CEO is eligible to receive certain specified payments and benefits in the event of a termination of employment in connection with a change in control of LiveRamp as provided in his employment agreement. Our other NEOs currently employed by the Company are eligible to participate in the LiveRamp Holdings, Inc. Executive Officer Severance Policy. Details regarding the LiveRamp Holdings, Inc. Executive Officer Severance Policy are included in the “</w:t>
      </w:r>
      <w:r>
        <w:rPr>
          <w:rFonts w:ascii="Arial;Helvetica;sans-serif" w:hAnsi="Arial;Helvetica;sans-serif"/>
          <w:b w:val="false"/>
          <w:i/>
          <w:caps w:val="false"/>
          <w:smallCaps w:val="false"/>
          <w:color w:val="000000"/>
          <w:sz w:val="20"/>
        </w:rPr>
        <w:t>Potential Payments Upon Termination or Change of Control</w:t>
      </w:r>
      <w:r>
        <w:rPr>
          <w:rFonts w:ascii="Arial;Helvetica;sans-serif" w:hAnsi="Arial;Helvetica;sans-serif"/>
          <w:b w:val="false"/>
          <w:i w:val="false"/>
          <w:caps w:val="false"/>
          <w:smallCaps w:val="false"/>
          <w:color w:val="000000"/>
          <w:sz w:val="20"/>
        </w:rPr>
        <w:t>” section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post-employment compensation arrangements are designed to provide reasonable compensation to executive officers who leave LiveRamp under certain circumstances to facilitate their transition to new employment. Further, we seek to mitigate any potential employer liability and avoid future disputes or litigation by requiring a departing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executive officer to sign and not revoke a general release and waiver of any and all claims against us as a condition to receiving post-employment compensation payments or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consider specific amounts payable under these post-employment compensation arrangements when establishing annual compensation. We do believe, however, that these arrangements are necessary components of competitive compensation packages.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determining payment and benefit levels under the various circumstances triggering the post-employment compensation arrangements for the NEOs, the Talent and Compensation Committee has drawn a distinction between voluntary terminations of employment, termination of employment for cause, and terminations of employment without cause or as a result of a change in control of LiveRamp. Payment in the latter circumstances has been deemed appropriate in light of the post-employment considerations described above, as well as the likelihood that the NEO’s departure is due, at least in part, to circumstances not within his or her control. In contrast, we believe that payments are not appropriate in the event of a termination of employment for cause or a voluntary resignation, because such events often reflect either inadequate performance or an affirmative decision by the NEO to end his or her relationship with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the post-employment compensation arrangements in the event of a termination of employment in connection with a change in control of LiveRamp help align the interests of management and stockholders when considering our long-term future. The primary purpose of these arrangements is to keep our most senior executive officers focused on pursuing all corporate transaction activity that is in the best interests of stockholders regardless of whether those transactions may result in their own job loss. Reasonable post-acquisition payments and benefits should serve the interests of both the executive officer and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payments and benefits under the post-employment compensation arrangements in the event of a change in control of LiveRamp are payable only if there is a subsequent loss of employment by an executive officer (a so-called “double-trigger”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provided excise tax payments (“gross-ups”) relating to a change in control of LiveRamp and have no such obligations in place with respect to any of our executive officers, including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Clawback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NYSE listing standards, we maintain a compensation recovery policy (the “Clawback Policy”) that requires executive officers to repay or forfeit erroneously awarded compensation in the event that our financial statements become subject to restatement. The Clawback Policy applies to any compensation that is granted, earned or vested based wholly or in part upon attainment of a financial reporting measure and was granted or awarded during the three fiscal years preceding the restatement. In addition, if the restatement is a result of intentional misconduct by a non-executive officer with the title of Senior Vice President or higher, the Talent and Compensation Committee may require reimbursement of any erroneously awarded compensation that was paid to such officer during the three completed fiscal years preceding the first public issuance or filing with the SEC of the financial document in which the material noncompliance was contained. The Talent and Compensation Committee will determine whether material noncompliance with financial reporting requirements is the result of intentional misconduct.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Policy Prohibiting Hedging or Pledging of Our Securities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insider trading policy prohibits all of our employees, including our executive officers, and the members of our Board from engaging in short sales, as well as hedging or monetization transactions (such as zero-cost collars and forward sales contracts). In addition, our executive officers, including the Named Executive Officers, are prohibited from holding shares of Common Stock in a margin account or otherwise pledging shares of Common Stock as collateral for a loan. The prohibitions also apply to spouses, dependent children and others living in the same household.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Risk Assessment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believes our compensation program encourages and rewards prudent business judgment and appropriate risk-taking over the short and long term by incorporating features that mitigate risk without diminishing incentives.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regularly reviews and considers risks associated with our compensation philosophy and executive compensation program. In fiscal 2026, the Company conducted, and the Talent and Compensation Committee reviewed, a comprehensive risk assessment of all the Company’s compensation programs. The risk assessment included an inventory of incentive programs and features such as metrics, clawback provisions, maximum payments, thresholds and other risk mitigation features. Management and the Talent and Compensation Committee do not believe any of the Company’s compensation programs create risks that are likely to create a material adverse impact on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Tax and Accounting Implications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periodically reviews the potential impact of the applicable tax and accounting rules on the material elements of our executive compensation program. These impacts are considered by the Talent and Compensation Committee along with the other factors described above when making decisions about the annual and long-term incentive compensation awards for our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Taxation of  “Parachute” Payments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Sections 280G and 4999 of the Internal Revenue Code provide that executive officers and members of our Board who hold significant equity interests and certain other service providers may be subject to significant additional taxes if they receive payments or 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the executive officer may owe as a result of the application of Sections 280G or 4999 during fiscal 2026, and we have not agreed to and are not otherwise obligated to provide any executive officer with such a “gross-up” or other reimbursement.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Accounting for Stock-Based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follow the Financial Accounting Standard Board’s Accounting Standards Codification Topic 718 (“FASB ASC Topic 718”) for our stock-based compensation awards. FASB ASC Topic 718 requires us to measure the compensation expense for all share-based awards made to our employees and members of our Board, including options to purchase shares of Common Stock and other stock awards, based on the grant date “fair value” of these awards. This calculation is performed for accounting purposes and reported in the executive compensation tables required by the federal securities laws, even though the recipient of the award may never realize any value from their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Schedule 1​</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Reconciliation of GAAP Operating Income to </w:t>
        <w:br/>
        <w:t xml:space="preserve">Non-GAAP EBIT CIP Metric </w:t>
        <w:br/>
        <w:t xml:space="preserve">(Unaudited) </w:t>
        <w:br/>
        <w:t>(Dollars in millions)</w:t>
      </w:r>
      <w:r>
        <w:rPr>
          <w:rFonts w:ascii="Arial;Helvetica;sans-serif" w:hAnsi="Arial;Helvetica;sans-serif"/>
          <w:b/>
          <w:i w:val="false"/>
          <w:caps w:val="false"/>
          <w:smallCaps w:val="false"/>
          <w:color w:val="000000"/>
          <w:spacing w:val="4"/>
          <w:sz w:val="20"/>
        </w:rPr>
        <w:t xml:space="preserve"> </w:t>
      </w:r>
    </w:p>
    <w:tbl>
      <w:tblPr>
        <w:tblW w:w="5247" w:type="dxa"/>
        <w:jc w:val="left"/>
        <w:tblInd w:w="680" w:type="dxa"/>
        <w:tblLayout w:type="fixed"/>
        <w:tblCellMar>
          <w:top w:w="0" w:type="dxa"/>
          <w:left w:w="0" w:type="dxa"/>
          <w:bottom w:w="28" w:type="dxa"/>
          <w:right w:w="0" w:type="dxa"/>
        </w:tblCellMar>
      </w:tblPr>
      <w:tblGrid>
        <w:gridCol w:w="124"/>
        <w:gridCol w:w="3301"/>
        <w:gridCol w:w="109"/>
        <w:gridCol w:w="109"/>
        <w:gridCol w:w="109"/>
        <w:gridCol w:w="226"/>
        <w:gridCol w:w="1006"/>
        <w:gridCol w:w="109"/>
        <w:gridCol w:w="154"/>
      </w:tblGrid>
      <w:tr>
        <w:trPr/>
        <w:tc>
          <w:tcPr>
            <w:tcW w:w="124" w:type="dxa"/>
            <w:tcBorders>
              <w:bottom w:val="single" w:sz="2" w:space="0" w:color="00BC6F"/>
            </w:tcBorders>
            <w:shd w:fill="000000" w:val="clear"/>
            <w:vAlign w:val="center"/>
          </w:tcPr>
          <w:p>
            <w:pPr>
              <w:pStyle w:val="TableContents"/>
              <w:bidi w:val="0"/>
              <w:spacing w:before="0" w:after="283"/>
              <w:jc w:val="left"/>
              <w:rPr/>
            </w:pPr>
            <w:r>
              <w:rPr/>
              <w:t>​</w:t>
            </w:r>
          </w:p>
        </w:tc>
        <w:tc>
          <w:tcPr>
            <w:tcW w:w="3301" w:type="dxa"/>
            <w:tcBorders>
              <w:bottom w:val="single" w:sz="2" w:space="0" w:color="00BC6F"/>
            </w:tcBorders>
            <w:shd w:fill="000000" w:val="clear"/>
            <w:tcMar>
              <w:bottom w:w="43" w:type="dxa"/>
            </w:tcMar>
            <w:vAlign w:val="center"/>
          </w:tcPr>
          <w:p>
            <w:pPr>
              <w:pStyle w:val="TableContents"/>
              <w:bidi w:val="0"/>
              <w:spacing w:before="0" w:after="0"/>
              <w:jc w:val="left"/>
              <w:rPr/>
            </w:pPr>
            <w:r>
              <w:rPr/>
              <w:t xml:space="preserve">Non-GAAP EBIT </w:t>
            </w:r>
          </w:p>
        </w:tc>
        <w:tc>
          <w:tcPr>
            <w:tcW w:w="109" w:type="dxa"/>
            <w:tcBorders>
              <w:bottom w:val="single" w:sz="2" w:space="0" w:color="00BC6F"/>
            </w:tcBorders>
            <w:shd w:fill="000000" w:val="clear"/>
            <w:vAlign w:val="center"/>
          </w:tcPr>
          <w:p>
            <w:pPr>
              <w:pStyle w:val="TableContents"/>
              <w:bidi w:val="0"/>
              <w:spacing w:before="0" w:after="283"/>
              <w:jc w:val="left"/>
              <w:rPr/>
            </w:pPr>
            <w:r>
              <w:rPr/>
              <w:t>​</w:t>
            </w:r>
          </w:p>
        </w:tc>
        <w:tc>
          <w:tcPr>
            <w:tcW w:w="109" w:type="dxa"/>
            <w:tcBorders>
              <w:bottom w:val="single" w:sz="2" w:space="0" w:color="00BC6F"/>
            </w:tcBorders>
            <w:shd w:fill="000000"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000000" w:val="clear"/>
            <w:tcMar>
              <w:bottom w:w="43" w:type="dxa"/>
            </w:tcMar>
            <w:vAlign w:val="center"/>
          </w:tcPr>
          <w:p>
            <w:pPr>
              <w:pStyle w:val="TableContents"/>
              <w:bidi w:val="0"/>
              <w:spacing w:before="0" w:after="0"/>
              <w:jc w:val="center"/>
              <w:rPr/>
            </w:pPr>
            <w:r>
              <w:rPr/>
              <w:t>Year ended</w:t>
              <w:br/>
              <w:t>March 31,</w:t>
              <w:br/>
              <w:t>2026</w:t>
            </w:r>
          </w:p>
        </w:tc>
        <w:tc>
          <w:tcPr>
            <w:tcW w:w="154" w:type="dxa"/>
            <w:tcBorders>
              <w:bottom w:val="single" w:sz="2" w:space="0" w:color="00BC6F"/>
            </w:tcBorders>
            <w:shd w:fill="000000" w:val="clear"/>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Operating income, as reported</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83,466</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Adjustments: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Purchased intangible amortization</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11,000</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Non-cash stock compensation</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82,988</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Restructuring charges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4,990</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Bonus expense</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28,728</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Total Adjustments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127,706</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12" w:space="0" w:color="00BC6F"/>
            </w:tcBorders>
            <w:vAlign w:val="center"/>
          </w:tcPr>
          <w:p>
            <w:pPr>
              <w:pStyle w:val="TableContents"/>
              <w:bidi w:val="0"/>
              <w:spacing w:before="0" w:after="283"/>
              <w:jc w:val="left"/>
              <w:rPr/>
            </w:pPr>
            <w:r>
              <w:rPr/>
              <w:t>​</w:t>
            </w:r>
          </w:p>
        </w:tc>
        <w:tc>
          <w:tcPr>
            <w:tcW w:w="3301" w:type="dxa"/>
            <w:tcBorders>
              <w:bottom w:val="single" w:sz="12" w:space="0" w:color="00BC6F"/>
            </w:tcBorders>
            <w:tcMar>
              <w:bottom w:w="35" w:type="dxa"/>
            </w:tcMar>
            <w:vAlign w:val="center"/>
          </w:tcPr>
          <w:p>
            <w:pPr>
              <w:pStyle w:val="TableContents"/>
              <w:bidi w:val="0"/>
              <w:spacing w:before="0" w:after="283"/>
              <w:jc w:val="left"/>
              <w:rPr/>
            </w:pPr>
            <w:r>
              <w:rPr/>
              <w:t>Non-GAAP EBIT CIP Metric</w:t>
            </w:r>
          </w:p>
        </w:tc>
        <w:tc>
          <w:tcPr>
            <w:tcW w:w="109" w:type="dxa"/>
            <w:tcBorders>
              <w:bottom w:val="single" w:sz="12" w:space="0" w:color="00BC6F"/>
            </w:tcBorders>
            <w:vAlign w:val="center"/>
          </w:tcPr>
          <w:p>
            <w:pPr>
              <w:pStyle w:val="TableContents"/>
              <w:bidi w:val="0"/>
              <w:spacing w:before="0" w:after="283"/>
              <w:jc w:val="left"/>
              <w:rPr/>
            </w:pPr>
            <w:r>
              <w:rPr/>
              <w:t>​</w:t>
            </w:r>
          </w:p>
        </w:tc>
        <w:tc>
          <w:tcPr>
            <w:tcW w:w="109" w:type="dxa"/>
            <w:tcBorders>
              <w:bottom w:val="single" w:sz="12" w:space="0" w:color="00BC6F"/>
            </w:tcBorders>
            <w:vAlign w:val="center"/>
          </w:tcPr>
          <w:p>
            <w:pPr>
              <w:pStyle w:val="TableContents"/>
              <w:bidi w:val="0"/>
              <w:spacing w:before="0" w:after="283"/>
              <w:jc w:val="left"/>
              <w:rPr/>
            </w:pPr>
            <w:r>
              <w:rPr/>
              <w:t>​</w:t>
            </w:r>
          </w:p>
        </w:tc>
        <w:tc>
          <w:tcPr>
            <w:tcW w:w="109" w:type="dxa"/>
            <w:tcBorders>
              <w:bottom w:val="single" w:sz="12" w:space="0" w:color="00BC6F"/>
            </w:tcBorders>
            <w:vAlign w:val="center"/>
          </w:tcPr>
          <w:p>
            <w:pPr>
              <w:pStyle w:val="TableContents"/>
              <w:bidi w:val="0"/>
              <w:spacing w:before="0" w:after="283"/>
              <w:jc w:val="left"/>
              <w:rPr/>
            </w:pPr>
            <w:r>
              <w:rPr/>
              <w:t>​</w:t>
            </w:r>
          </w:p>
        </w:tc>
        <w:tc>
          <w:tcPr>
            <w:tcW w:w="226" w:type="dxa"/>
            <w:tcBorders>
              <w:bottom w:val="single" w:sz="12" w:space="0" w:color="00BC6F"/>
            </w:tcBorders>
            <w:tcMar>
              <w:bottom w:w="35" w:type="dxa"/>
            </w:tcMar>
            <w:vAlign w:val="center"/>
          </w:tcPr>
          <w:p>
            <w:pPr>
              <w:pStyle w:val="TableContents"/>
              <w:bidi w:val="0"/>
              <w:spacing w:before="0" w:after="283"/>
              <w:jc w:val="right"/>
              <w:rPr/>
            </w:pPr>
            <w:r>
              <w:rPr/>
              <w:t>$</w:t>
            </w:r>
          </w:p>
        </w:tc>
        <w:tc>
          <w:tcPr>
            <w:tcW w:w="1006" w:type="dxa"/>
            <w:tcBorders>
              <w:bottom w:val="single" w:sz="12" w:space="0" w:color="00BC6F"/>
            </w:tcBorders>
            <w:tcMar>
              <w:bottom w:w="35" w:type="dxa"/>
            </w:tcMar>
            <w:vAlign w:val="center"/>
          </w:tcPr>
          <w:p>
            <w:pPr>
              <w:pStyle w:val="TableContents"/>
              <w:bidi w:val="0"/>
              <w:spacing w:before="0" w:after="283"/>
              <w:jc w:val="right"/>
              <w:rPr/>
            </w:pPr>
            <w:r>
              <w:rPr/>
              <w:t> </w:t>
            </w:r>
            <w:r>
              <w:rPr/>
              <w:t>211,172</w:t>
            </w:r>
          </w:p>
        </w:tc>
        <w:tc>
          <w:tcPr>
            <w:tcW w:w="109" w:type="dxa"/>
            <w:tcBorders>
              <w:bottom w:val="single" w:sz="12" w:space="0" w:color="00BC6F"/>
            </w:tcBorders>
            <w:vAlign w:val="center"/>
          </w:tcPr>
          <w:p>
            <w:pPr>
              <w:pStyle w:val="TableContents"/>
              <w:bidi w:val="0"/>
              <w:spacing w:before="0" w:after="283"/>
              <w:jc w:val="left"/>
              <w:rPr/>
            </w:pPr>
            <w:r>
              <w:rPr/>
              <w:t>​</w:t>
            </w:r>
          </w:p>
        </w:tc>
        <w:tc>
          <w:tcPr>
            <w:tcW w:w="154" w:type="dxa"/>
            <w:tcBorders>
              <w:bottom w:val="single" w:sz="12"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COTA"/>
      <w:bookmarkEnd w:id="149"/>
      <w:r>
        <w:rPr>
          <w:rFonts w:ascii="calibri;arial;sans-serif" w:hAnsi="calibri;arial;sans-serif"/>
          <w:b w:val="false"/>
          <w:i w:val="false"/>
          <w:caps w:val="false"/>
          <w:smallCaps w:val="false"/>
          <w:color w:val="000000"/>
          <w:sz w:val="16"/>
        </w:rPr>
        <w:t>​</w:t>
      </w:r>
      <w:bookmarkStart w:id="150" w:name="tSCT"/>
      <w:bookmarkEnd w:id="150"/>
      <w:r>
        <w:rPr>
          <w:rFonts w:ascii="calibri;arial;sans-serif" w:hAnsi="calibri;arial;sans-serif"/>
          <w:b w:val="false"/>
          <w:i w:val="false"/>
          <w:caps w:val="false"/>
          <w:smallCaps w:val="false"/>
          <w:color w:val="000000"/>
          <w:sz w:val="16"/>
        </w:rPr>
        <w:t xml:space="preserve">​ </w:t>
      </w:r>
    </w:p>
    <w:tbl>
      <w:tblPr>
        <w:tblW w:w="3052" w:type="dxa"/>
        <w:jc w:val="left"/>
        <w:tblInd w:w="440" w:type="dxa"/>
        <w:tblLayout w:type="fixed"/>
        <w:tblCellMar>
          <w:top w:w="0" w:type="dxa"/>
          <w:left w:w="0" w:type="dxa"/>
          <w:bottom w:w="0" w:type="dxa"/>
          <w:right w:w="0" w:type="dxa"/>
        </w:tblCellMar>
      </w:tblPr>
      <w:tblGrid>
        <w:gridCol w:w="124"/>
        <w:gridCol w:w="226"/>
        <w:gridCol w:w="109"/>
        <w:gridCol w:w="109"/>
        <w:gridCol w:w="109"/>
        <w:gridCol w:w="222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2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Compensation Tables </w:t>
            </w:r>
          </w:p>
        </w:tc>
        <w:tc>
          <w:tcPr>
            <w:tcW w:w="154" w:type="dxa"/>
            <w:tcBorders/>
            <w:shd w:fill="00BC6F" w:val="clear"/>
            <w:vAlign w:val="center"/>
          </w:tcPr>
          <w:p>
            <w:pPr>
              <w:pStyle w:val="TableContents"/>
              <w:bidi w:val="0"/>
              <w:spacing w:before="0" w:after="283"/>
              <w:jc w:val="left"/>
              <w:rPr/>
            </w:pPr>
            <w:r>
              <w:rPr/>
              <w:t>​</w:t>
            </w:r>
          </w:p>
        </w:tc>
      </w:tr>
    </w:tbl>
    <w:tbl>
      <w:tblPr>
        <w:tblW w:w="982" w:type="dxa"/>
        <w:jc w:val="left"/>
        <w:tblInd w:w="440" w:type="dxa"/>
        <w:tblLayout w:type="fixed"/>
        <w:tblCellMar>
          <w:top w:w="0" w:type="dxa"/>
          <w:left w:w="0" w:type="dxa"/>
          <w:bottom w:w="0" w:type="dxa"/>
          <w:right w:w="0" w:type="dxa"/>
        </w:tblCellMar>
      </w:tblPr>
      <w:tblGrid>
        <w:gridCol w:w="124"/>
        <w:gridCol w:w="226"/>
        <w:gridCol w:w="109"/>
        <w:gridCol w:w="109"/>
        <w:gridCol w:w="109"/>
        <w:gridCol w:w="15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51" w:type="dxa"/>
            <w:tcBorders/>
            <w:shd w:fill="020202" w:val="clear"/>
            <w:vAlign w:val="center"/>
          </w:tcPr>
          <w:p>
            <w:pPr>
              <w:pStyle w:val="TableContents"/>
              <w:bidi w:val="0"/>
              <w:spacing w:lineRule="atLeast" w:line="400" w:before="0" w:after="0"/>
              <w:jc w:val="left"/>
              <w:rPr>
                <w:color w:val="FFFFFF"/>
              </w:rPr>
            </w:pPr>
            <w:r>
              <w:rPr>
                <w:color w:val="FFFFFF"/>
              </w:rPr>
              <w:t> </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Summary Compensation Table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compensation earned by or awarded to our Named Executive Officers in fiscal years ended March 31, 2026, 2025 and 2024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15417" w:type="dxa"/>
        <w:jc w:val="left"/>
        <w:tblInd w:w="680" w:type="dxa"/>
        <w:tblLayout w:type="fixed"/>
        <w:tblCellMar>
          <w:top w:w="0" w:type="dxa"/>
          <w:left w:w="0" w:type="dxa"/>
          <w:bottom w:w="0" w:type="dxa"/>
          <w:right w:w="0" w:type="dxa"/>
        </w:tblCellMar>
      </w:tblPr>
      <w:tblGrid>
        <w:gridCol w:w="124"/>
        <w:gridCol w:w="1246"/>
        <w:gridCol w:w="109"/>
        <w:gridCol w:w="109"/>
        <w:gridCol w:w="109"/>
        <w:gridCol w:w="109"/>
        <w:gridCol w:w="586"/>
        <w:gridCol w:w="109"/>
        <w:gridCol w:w="109"/>
        <w:gridCol w:w="109"/>
        <w:gridCol w:w="109"/>
        <w:gridCol w:w="226"/>
        <w:gridCol w:w="1006"/>
        <w:gridCol w:w="109"/>
        <w:gridCol w:w="109"/>
        <w:gridCol w:w="109"/>
        <w:gridCol w:w="116"/>
        <w:gridCol w:w="116"/>
        <w:gridCol w:w="370"/>
        <w:gridCol w:w="119"/>
        <w:gridCol w:w="109"/>
        <w:gridCol w:w="109"/>
        <w:gridCol w:w="109"/>
        <w:gridCol w:w="226"/>
        <w:gridCol w:w="1186"/>
        <w:gridCol w:w="109"/>
        <w:gridCol w:w="109"/>
        <w:gridCol w:w="109"/>
        <w:gridCol w:w="138"/>
        <w:gridCol w:w="138"/>
        <w:gridCol w:w="440"/>
        <w:gridCol w:w="140"/>
        <w:gridCol w:w="109"/>
        <w:gridCol w:w="109"/>
        <w:gridCol w:w="109"/>
        <w:gridCol w:w="226"/>
        <w:gridCol w:w="1186"/>
        <w:gridCol w:w="109"/>
        <w:gridCol w:w="109"/>
        <w:gridCol w:w="109"/>
        <w:gridCol w:w="146"/>
        <w:gridCol w:w="146"/>
        <w:gridCol w:w="1030"/>
        <w:gridCol w:w="149"/>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246" w:type="dxa"/>
            <w:tcBorders/>
            <w:shd w:fill="000000" w:val="clear"/>
            <w:vAlign w:val="center"/>
          </w:tcPr>
          <w:p>
            <w:pPr>
              <w:pStyle w:val="TableContents"/>
              <w:bidi w:val="0"/>
              <w:spacing w:lineRule="atLeast" w:line="157" w:before="0" w:after="0"/>
              <w:jc w:val="left"/>
              <w:rPr/>
            </w:pPr>
            <w:r>
              <w:rPr/>
              <w:t>Named Executive</w:t>
              <w:br/>
              <w:t xml:space="preserve">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13" w:type="dxa"/>
            <w:gridSpan w:val="4"/>
            <w:tcBorders/>
            <w:shd w:fill="000000" w:val="clear"/>
            <w:vAlign w:val="center"/>
          </w:tcPr>
          <w:p>
            <w:pPr>
              <w:pStyle w:val="TableContents"/>
              <w:bidi w:val="0"/>
              <w:spacing w:lineRule="atLeast" w:line="157" w:before="0" w:after="0"/>
              <w:jc w:val="center"/>
              <w:rPr/>
            </w:pPr>
            <w:r>
              <w:rPr/>
              <w:t>Fiscal</w:t>
              <w:b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 xml:space="preserve">Salary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21" w:type="dxa"/>
            <w:gridSpan w:val="4"/>
            <w:tcBorders/>
            <w:shd w:fill="000000" w:val="clear"/>
            <w:vAlign w:val="center"/>
          </w:tcPr>
          <w:p>
            <w:pPr>
              <w:pStyle w:val="TableContents"/>
              <w:bidi w:val="0"/>
              <w:spacing w:before="0" w:after="0"/>
              <w:jc w:val="center"/>
              <w:rPr/>
            </w:pPr>
            <w:r>
              <w:rPr/>
              <w:t xml:space="preserve">Bonus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Stock</w:t>
              <w:br/>
              <w:t>Awards</w:t>
            </w:r>
            <w:r>
              <w:rPr>
                <w:sz w:val="9"/>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6" w:type="dxa"/>
            <w:gridSpan w:val="4"/>
            <w:tcBorders/>
            <w:shd w:fill="000000" w:val="clear"/>
            <w:vAlign w:val="center"/>
          </w:tcPr>
          <w:p>
            <w:pPr>
              <w:pStyle w:val="TableContents"/>
              <w:bidi w:val="0"/>
              <w:spacing w:lineRule="atLeast" w:line="157" w:before="0" w:after="0"/>
              <w:jc w:val="center"/>
              <w:rPr/>
            </w:pPr>
            <w:r>
              <w:rPr/>
              <w:t>Option</w:t>
              <w:br/>
              <w:t xml:space="preserve">Awards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Non-Equity</w:t>
              <w:br/>
              <w:t>Incentive Plan</w:t>
              <w:br/>
              <w:t>Compensation</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gridSpan w:val="4"/>
            <w:tcBorders/>
            <w:shd w:fill="000000" w:val="clear"/>
            <w:vAlign w:val="center"/>
          </w:tcPr>
          <w:p>
            <w:pPr>
              <w:pStyle w:val="TableContents"/>
              <w:bidi w:val="0"/>
              <w:spacing w:before="0" w:after="0"/>
              <w:jc w:val="center"/>
              <w:rPr/>
            </w:pPr>
            <w:r>
              <w:rPr/>
              <w:t>Change in</w:t>
              <w:br/>
              <w:t>Pension</w:t>
              <w:br/>
              <w:t>Value and</w:t>
              <w:br/>
              <w:t>Nonqualified</w:t>
              <w:br/>
              <w:t>Deferred</w:t>
              <w:br/>
              <w:t>Compensation</w:t>
              <w:br/>
              <w:t xml:space="preserve">Earnings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All Other</w:t>
              <w:br/>
              <w:t>Compensation</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Total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Scott E. Howe</w:t>
              <w:br/>
              <w:t xml:space="preserve">Chief Executive Officer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586" w:type="dxa"/>
            <w:tcBorders/>
            <w:vAlign w:val="center"/>
          </w:tcPr>
          <w:p>
            <w:pPr>
              <w:pStyle w:val="TableContents"/>
              <w:bidi w:val="0"/>
              <w:spacing w:lineRule="atLeast" w:line="168"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690,000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168" w:before="0" w:after="283"/>
              <w:jc w:val="right"/>
              <w:rPr/>
            </w:pPr>
            <w:r>
              <w:rPr/>
              <w:t>​</w:t>
            </w:r>
          </w:p>
        </w:tc>
        <w:tc>
          <w:tcPr>
            <w:tcW w:w="370" w:type="dxa"/>
            <w:tcBorders/>
            <w:vAlign w:val="center"/>
          </w:tcPr>
          <w:p>
            <w:pPr>
              <w:pStyle w:val="TableContents"/>
              <w:bidi w:val="0"/>
              <w:spacing w:lineRule="atLeast" w:line="168"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 </w:t>
            </w:r>
            <w:r>
              <w:rPr/>
              <w:t>8,743,052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68" w:before="0" w:after="283"/>
              <w:jc w:val="right"/>
              <w:rPr/>
            </w:pPr>
            <w:r>
              <w:rPr/>
              <w:t>​</w:t>
            </w:r>
          </w:p>
        </w:tc>
        <w:tc>
          <w:tcPr>
            <w:tcW w:w="440" w:type="dxa"/>
            <w:tcBorders/>
            <w:vAlign w:val="center"/>
          </w:tcPr>
          <w:p>
            <w:pPr>
              <w:pStyle w:val="TableContents"/>
              <w:bidi w:val="0"/>
              <w:spacing w:lineRule="atLeast" w:line="168"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lineRule="atLeast" w:line="168" w:before="0" w:after="283"/>
              <w:jc w:val="right"/>
              <w:rPr/>
            </w:pPr>
            <w:r>
              <w:rPr/>
              <w:t>​</w:t>
            </w:r>
          </w:p>
        </w:tc>
        <w:tc>
          <w:tcPr>
            <w:tcW w:w="1030" w:type="dxa"/>
            <w:tcBorders/>
            <w:vAlign w:val="center"/>
          </w:tcPr>
          <w:p>
            <w:pPr>
              <w:pStyle w:val="TableContents"/>
              <w:bidi w:val="0"/>
              <w:spacing w:lineRule="atLeast" w:line="168"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39,046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10,351,021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690,000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8,039,047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830,346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23,442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9,582,835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690,000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8,126,936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 </w:t>
            </w:r>
            <w:r>
              <w:rPr/>
              <w:t>1,214,400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50,912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10,082,248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Lauren R. Dillard</w:t>
              <w:br/>
              <w:t xml:space="preserve">Executive Vice President and Chief </w:t>
              <w:br/>
              <w:t xml:space="preserve">Financial Officer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450,000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4,751,554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34,075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5,655,629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446,667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4,247,723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21,593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5,095,984</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414,101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7,239,528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795,000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20,588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8,469,217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tcBorders>
              <w:bottom w:val="single" w:sz="2" w:space="0" w:color="016836"/>
            </w:tcBorders>
            <w:tcMar>
              <w:bottom w:w="30" w:type="dxa"/>
            </w:tcMar>
            <w:vAlign w:val="center"/>
          </w:tcPr>
          <w:p>
            <w:pPr>
              <w:pStyle w:val="TableContents"/>
              <w:bidi w:val="0"/>
              <w:spacing w:lineRule="atLeast" w:line="168" w:before="0" w:after="0"/>
              <w:jc w:val="left"/>
              <w:rPr/>
            </w:pPr>
            <w:r>
              <w:rPr/>
              <w:t>Matthew Karasick</w:t>
              <w:br/>
              <w:t xml:space="preserve">Chief Product Officer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tcMar>
              <w:bottom w:w="30" w:type="dxa"/>
            </w:tcMar>
            <w:vAlign w:val="center"/>
          </w:tcPr>
          <w:p>
            <w:pPr>
              <w:pStyle w:val="TableContents"/>
              <w:bidi w:val="0"/>
              <w:spacing w:before="0" w:after="283"/>
              <w:jc w:val="right"/>
              <w:rPr/>
            </w:pPr>
            <w:r>
              <w:rPr/>
              <w:t>2026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398,106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0" w:type="dxa"/>
            </w:tcMar>
            <w:vAlign w:val="center"/>
          </w:tcPr>
          <w:p>
            <w:pPr>
              <w:pStyle w:val="TableContents"/>
              <w:bidi w:val="0"/>
              <w:spacing w:before="0" w:after="283"/>
              <w:jc w:val="right"/>
              <w:rPr/>
            </w:pPr>
            <w:r>
              <w:rPr/>
              <w:t>​</w:t>
            </w:r>
          </w:p>
        </w:tc>
        <w:tc>
          <w:tcPr>
            <w:tcW w:w="370" w:type="dxa"/>
            <w:tcBorders>
              <w:bottom w:val="single" w:sz="2" w:space="0" w:color="016836"/>
            </w:tcBorders>
            <w:tcMar>
              <w:bottom w:w="30"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4,445,198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0" w:type="dxa"/>
            </w:tcMar>
            <w:vAlign w:val="center"/>
          </w:tcPr>
          <w:p>
            <w:pPr>
              <w:pStyle w:val="TableContents"/>
              <w:bidi w:val="0"/>
              <w:spacing w:before="0" w:after="283"/>
              <w:jc w:val="right"/>
              <w:rPr/>
            </w:pPr>
            <w:r>
              <w:rPr/>
              <w:t>​</w:t>
            </w:r>
          </w:p>
        </w:tc>
        <w:tc>
          <w:tcPr>
            <w:tcW w:w="440" w:type="dxa"/>
            <w:tcBorders>
              <w:bottom w:val="single" w:sz="2" w:space="0" w:color="016836"/>
            </w:tcBorders>
            <w:tcMar>
              <w:bottom w:w="30"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375,000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0" w:type="dxa"/>
            </w:tcMar>
            <w:vAlign w:val="center"/>
          </w:tcPr>
          <w:p>
            <w:pPr>
              <w:pStyle w:val="TableContents"/>
              <w:bidi w:val="0"/>
              <w:spacing w:before="0" w:after="283"/>
              <w:jc w:val="right"/>
              <w:rPr/>
            </w:pPr>
            <w:r>
              <w:rPr/>
              <w:t>​</w:t>
            </w:r>
          </w:p>
        </w:tc>
        <w:tc>
          <w:tcPr>
            <w:tcW w:w="1030" w:type="dxa"/>
            <w:tcBorders>
              <w:bottom w:val="single" w:sz="2" w:space="0" w:color="016836"/>
            </w:tcBorders>
            <w:tcMar>
              <w:bottom w:w="30" w:type="dxa"/>
            </w:tcMar>
            <w:vAlign w:val="center"/>
          </w:tcPr>
          <w:p>
            <w:pPr>
              <w:pStyle w:val="TableContents"/>
              <w:bidi w:val="0"/>
              <w:spacing w:before="0" w:after="283"/>
              <w:jc w:val="right"/>
              <w:rPr/>
            </w:pPr>
            <w:r>
              <w:rPr/>
              <w:t>1,293</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635,649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5,855,247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Vihan Sharma</w:t>
              <w:br/>
              <w:t xml:space="preserve">Chief Revenue Officer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471,557</w:t>
            </w:r>
            <w:r>
              <w:rPr>
                <w:sz w:val="9"/>
              </w:rPr>
              <w:t>4</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2,753,674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776,644</w:t>
            </w:r>
            <w:r>
              <w:rPr>
                <w:sz w:val="9"/>
              </w:rPr>
              <w:t>5</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47,458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4,049,333</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435,690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2,654,786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796,629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5,491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3,892,596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423,040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5,084,364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1,513,496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4,823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7,025,722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Jerry C. Jones</w:t>
              <w:br/>
              <w:t>EVP, Chief Ethics and</w:t>
              <w:br/>
              <w:t>Legal Officer and</w:t>
              <w:br/>
              <w:t xml:space="preserve">Secretary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586" w:type="dxa"/>
            <w:tcBorders/>
            <w:vAlign w:val="center"/>
          </w:tcPr>
          <w:p>
            <w:pPr>
              <w:pStyle w:val="TableContents"/>
              <w:bidi w:val="0"/>
              <w:spacing w:lineRule="atLeast" w:line="168"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450,000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168" w:before="0" w:after="283"/>
              <w:jc w:val="right"/>
              <w:rPr/>
            </w:pPr>
            <w:r>
              <w:rPr/>
              <w:t>​</w:t>
            </w:r>
          </w:p>
        </w:tc>
        <w:tc>
          <w:tcPr>
            <w:tcW w:w="370" w:type="dxa"/>
            <w:tcBorders/>
            <w:vAlign w:val="center"/>
          </w:tcPr>
          <w:p>
            <w:pPr>
              <w:pStyle w:val="TableContents"/>
              <w:bidi w:val="0"/>
              <w:spacing w:lineRule="atLeast" w:line="168"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1,673,822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68" w:before="0" w:after="283"/>
              <w:jc w:val="right"/>
              <w:rPr/>
            </w:pPr>
            <w:r>
              <w:rPr/>
              <w:t>​</w:t>
            </w:r>
          </w:p>
        </w:tc>
        <w:tc>
          <w:tcPr>
            <w:tcW w:w="440" w:type="dxa"/>
            <w:tcBorders/>
            <w:vAlign w:val="center"/>
          </w:tcPr>
          <w:p>
            <w:pPr>
              <w:pStyle w:val="TableContents"/>
              <w:bidi w:val="0"/>
              <w:spacing w:lineRule="atLeast" w:line="168"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lineRule="atLeast" w:line="168" w:before="0" w:after="283"/>
              <w:jc w:val="right"/>
              <w:rPr/>
            </w:pPr>
            <w:r>
              <w:rPr/>
              <w:t>​</w:t>
            </w:r>
          </w:p>
        </w:tc>
        <w:tc>
          <w:tcPr>
            <w:tcW w:w="1030" w:type="dxa"/>
            <w:tcBorders/>
            <w:vAlign w:val="center"/>
          </w:tcPr>
          <w:p>
            <w:pPr>
              <w:pStyle w:val="TableContents"/>
              <w:bidi w:val="0"/>
              <w:spacing w:lineRule="atLeast" w:line="168" w:before="0" w:after="283"/>
              <w:jc w:val="right"/>
              <w:rPr/>
            </w:pPr>
            <w:r>
              <w:rPr/>
              <w:t>38,323</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36,393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2,588,538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449,167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1,486,669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20,775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2,321,611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445,000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2,059,924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550,000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tcMar>
              <w:bottom w:w="39" w:type="dxa"/>
            </w:tcMar>
            <w:vAlign w:val="center"/>
          </w:tcPr>
          <w:p>
            <w:pPr>
              <w:pStyle w:val="TableContents"/>
              <w:bidi w:val="0"/>
              <w:spacing w:before="0" w:after="283"/>
              <w:jc w:val="right"/>
              <w:rPr/>
            </w:pPr>
            <w:r>
              <w:rPr/>
              <w:t>95,572</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19,800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3,170,296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12" w:space="0" w:color="016836"/>
            </w:tcBorders>
            <w:shd w:fill="D8D8D8" w:val="clear"/>
            <w:tcMar>
              <w:bottom w:w="28" w:type="dxa"/>
            </w:tcMar>
            <w:vAlign w:val="center"/>
          </w:tcPr>
          <w:p>
            <w:pPr>
              <w:pStyle w:val="TableContents"/>
              <w:bidi w:val="0"/>
              <w:spacing w:lineRule="atLeast" w:line="168" w:before="0" w:after="0"/>
              <w:jc w:val="left"/>
              <w:rPr/>
            </w:pPr>
            <w:r>
              <w:rPr/>
              <w:t>Mohsin Hussain</w:t>
              <w:br/>
              <w:t xml:space="preserve">Chief Technology Officer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430,000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2,375,762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96,859</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 </w:t>
            </w:r>
            <w:r>
              <w:rPr/>
              <w:t>2,560,630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5,463,252</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429,167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2,176,941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355,000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16,747</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66,669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3,044,525</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586" w:type="dxa"/>
            <w:tcBorders>
              <w:bottom w:val="single" w:sz="12" w:space="0" w:color="016836"/>
            </w:tcBorders>
            <w:shd w:fill="D8D8D8" w:val="clear"/>
            <w:tcMar>
              <w:bottom w:w="67" w:type="dxa"/>
            </w:tcMar>
            <w:vAlign w:val="center"/>
          </w:tcPr>
          <w:p>
            <w:pPr>
              <w:pStyle w:val="TableContents"/>
              <w:bidi w:val="0"/>
              <w:spacing w:before="0" w:after="283"/>
              <w:jc w:val="right"/>
              <w:rPr/>
            </w:pPr>
            <w:r>
              <w:rPr/>
              <w:t>2024</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425,000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370"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1,888,258</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440"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40"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535,000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30" w:type="dxa"/>
            <w:tcBorders>
              <w:bottom w:val="single" w:sz="12" w:space="0" w:color="016836"/>
            </w:tcBorders>
            <w:shd w:fill="D8D8D8" w:val="clear"/>
            <w:tcMar>
              <w:bottom w:w="67" w:type="dxa"/>
            </w:tcMar>
            <w:vAlign w:val="center"/>
          </w:tcPr>
          <w:p>
            <w:pPr>
              <w:pStyle w:val="TableContents"/>
              <w:bidi w:val="0"/>
              <w:spacing w:before="0" w:after="283"/>
              <w:jc w:val="right"/>
              <w:rPr/>
            </w:pPr>
            <w:r>
              <w:rPr/>
              <w:t>92,528</w:t>
            </w:r>
          </w:p>
        </w:tc>
        <w:tc>
          <w:tcPr>
            <w:tcW w:w="14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19,481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2,960,267</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reflect the grant date fair value of awards of RSUs and PSUs calculated in accordance with FASB ASC Topic 718. For RSUs and the portion of the performance awards based on the Rule of 40 granted in fiscal 2026 on April 17, 2025, May 13, 2025, and December 15, 2025 the amounts were determined by reference to quoted market prices for the shares on their grant date, which was $24.93, $29.71, and $29.21, respectively. For the portion of the performance awards based on relative TSR granted in fiscal 2026 on April 17, 2025, May 13, 2025, and December 15, 2025 we estimated the grant date fair value to be $35.56, $42.37, and $36.07, respectively, using a Monte Carlo simulation model, including the following key assumptions for the April 17, 2025, May 13, 2025 and December 15, 2025 relative TSR awards, respectively: (i) expected volatility of 44%, 44% and 42% based on the Company’s 3-year historical volatility over the expected term; (ii) risk-free interest rates of 3.92%, 3.92% and 3.46% based on the United States Treasury yield in effect on the award date for zero coupon United States Treasury notes with maturities equal to the expected life; (iii) a dividend yield of 0% (with respect to all awards) because we do not currently issue dividends; and (iv) expected life of 2.9 years, 2.9 years and 2.3 years based on the applicable time period from the valuation date (which is the grant date) to the end of the performance period. The amount reported for each PSU grant is based on the probable outcome of the underlying performance conditions, measured as of the grant date (100% of target value) and PSUs vest in a number of shares from 0% to 200% of target of the award based on performance. The grant date value for the fiscal 2026 PSU awards at the highest level of performance for each executive is Mr. Howe $9,744,286, Ms. Dillard $4,466,067, Mr. Karasick $4,233,577, Mr. Sharma $2,588,216, Mr. Jones $1,573,263, and Mr. Hussain $2,233,004.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995">
                <wp:simplePos x="0" y="0"/>
                <wp:positionH relativeFrom="column">
                  <wp:align>left</wp:align>
                </wp:positionH>
                <wp:positionV relativeFrom="line">
                  <wp:align>top</wp:align>
                </wp:positionV>
                <wp:extent cx="254000" cy="254000"/>
                <wp:effectExtent l="0" t="0" r="0" b="0"/>
                <wp:wrapSquare wrapText="right"/>
                <wp:docPr id="988" name="Frame9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annual cash incentive awards earned by the Named Executive Officers under the Fiscal 2026 CIP based on Company results as well as Mr. Sharma’s earnings from the LiveRamp sales commission plan. For more information regarding how these determinations were made, see the “</w:t>
      </w:r>
      <w:r>
        <w:rPr>
          <w:rFonts w:ascii="Arial;Helvetica;sans-serif" w:hAnsi="Arial;Helvetica;sans-serif"/>
          <w:b w:val="false"/>
          <w:i/>
          <w:caps w:val="false"/>
          <w:smallCaps w:val="false"/>
          <w:color w:val="000000"/>
          <w:sz w:val="16"/>
        </w:rPr>
        <w:t>Annual Cash Incentive Awards — Individual Payments</w:t>
      </w:r>
      <w:r>
        <w:rPr>
          <w:rFonts w:ascii="Arial;Helvetica;sans-serif" w:hAnsi="Arial;Helvetica;sans-serif"/>
          <w:b w:val="false"/>
          <w:i w:val="false"/>
          <w:caps w:val="false"/>
          <w:smallCaps w:val="false"/>
          <w:color w:val="000000"/>
          <w:sz w:val="16"/>
        </w:rPr>
        <w:t xml:space="preserve">” section of the Compensation Discussion and Analysis. </w:t>
      </w:r>
      <w:r>
        <mc:AlternateContent>
          <mc:Choice Requires="wps">
            <w:drawing>
              <wp:anchor behindDoc="0" distT="12700" distB="0" distL="0" distR="0" simplePos="0" locked="0" layoutInCell="1" allowOverlap="1" relativeHeight="996">
                <wp:simplePos x="0" y="0"/>
                <wp:positionH relativeFrom="column">
                  <wp:align>left</wp:align>
                </wp:positionH>
                <wp:positionV relativeFrom="line">
                  <wp:align>top</wp:align>
                </wp:positionV>
                <wp:extent cx="254000" cy="254000"/>
                <wp:effectExtent l="0" t="0" r="0" b="0"/>
                <wp:wrapSquare wrapText="right"/>
                <wp:docPr id="989" name="Frame9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04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disclosed in the “All Other Compensation” column for fiscal 2026 include the following (certain totals may not sum due to rounding):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997">
                <wp:simplePos x="0" y="0"/>
                <wp:positionH relativeFrom="column">
                  <wp:align>left</wp:align>
                </wp:positionH>
                <wp:positionV relativeFrom="line">
                  <wp:posOffset>635</wp:posOffset>
                </wp:positionV>
                <wp:extent cx="254000" cy="350520"/>
                <wp:effectExtent l="0" t="0" r="0" b="0"/>
                <wp:wrapSquare wrapText="right"/>
                <wp:docPr id="990" name="Frame9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11403" w:type="dxa"/>
        <w:jc w:val="left"/>
        <w:tblInd w:w="680" w:type="dxa"/>
        <w:tblLayout w:type="fixed"/>
        <w:tblCellMar>
          <w:top w:w="0" w:type="dxa"/>
          <w:left w:w="0" w:type="dxa"/>
          <w:bottom w:w="0" w:type="dxa"/>
          <w:right w:w="0" w:type="dxa"/>
        </w:tblCellMar>
      </w:tblPr>
      <w:tblGrid>
        <w:gridCol w:w="124"/>
        <w:gridCol w:w="1051"/>
        <w:gridCol w:w="109"/>
        <w:gridCol w:w="109"/>
        <w:gridCol w:w="114"/>
        <w:gridCol w:w="237"/>
        <w:gridCol w:w="929"/>
        <w:gridCol w:w="116"/>
        <w:gridCol w:w="109"/>
        <w:gridCol w:w="109"/>
        <w:gridCol w:w="109"/>
        <w:gridCol w:w="226"/>
        <w:gridCol w:w="886"/>
        <w:gridCol w:w="109"/>
        <w:gridCol w:w="109"/>
        <w:gridCol w:w="109"/>
        <w:gridCol w:w="109"/>
        <w:gridCol w:w="226"/>
        <w:gridCol w:w="886"/>
        <w:gridCol w:w="109"/>
        <w:gridCol w:w="109"/>
        <w:gridCol w:w="109"/>
        <w:gridCol w:w="109"/>
        <w:gridCol w:w="226"/>
        <w:gridCol w:w="1186"/>
        <w:gridCol w:w="109"/>
        <w:gridCol w:w="109"/>
        <w:gridCol w:w="109"/>
        <w:gridCol w:w="109"/>
        <w:gridCol w:w="226"/>
        <w:gridCol w:w="100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051"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6" w:type="dxa"/>
            <w:gridSpan w:val="4"/>
            <w:tcBorders/>
            <w:shd w:fill="000000" w:val="clear"/>
            <w:vAlign w:val="center"/>
          </w:tcPr>
          <w:p>
            <w:pPr>
              <w:pStyle w:val="TableContents"/>
              <w:bidi w:val="0"/>
              <w:spacing w:lineRule="atLeast" w:line="180" w:before="0" w:after="0"/>
              <w:jc w:val="center"/>
              <w:rPr/>
            </w:pPr>
            <w:r>
              <w:rPr/>
              <w:t xml:space="preserve">401(k) / </w:t>
              <w:br/>
              <w:t>Retirement</w:t>
              <w:br/>
              <w:t>Matching</w:t>
              <w:br/>
              <w:t xml:space="preserve">Contributions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42" w:before="0" w:after="0"/>
              <w:jc w:val="center"/>
              <w:rPr/>
            </w:pPr>
            <w:r>
              <w:rPr/>
              <w:t>Perquisites</w:t>
            </w:r>
            <w:r>
              <w:rPr>
                <w:sz w:val="10"/>
              </w:rPr>
              <w:t>a</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42" w:before="0" w:after="0"/>
              <w:jc w:val="center"/>
              <w:rPr/>
            </w:pPr>
            <w:r>
              <w:rPr/>
              <w:t>Gross-ups</w:t>
            </w:r>
            <w:r>
              <w:rPr>
                <w:sz w:val="10"/>
              </w:rPr>
              <w:t>b</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Severance</w:t>
            </w:r>
            <w:r>
              <w:rPr>
                <w:sz w:val="10"/>
              </w:rPr>
              <w:t>c</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lineRule="atLeast" w:line="142" w:before="0" w:after="0"/>
              <w:jc w:val="center"/>
              <w:rPr/>
            </w:pPr>
            <w:r>
              <w:rPr/>
              <w:t>Other</w:t>
            </w:r>
            <w:r>
              <w:rPr>
                <w:sz w:val="10"/>
              </w:rPr>
              <w:t>d</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Total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 </w:t>
            </w:r>
            <w:r>
              <w:rPr/>
              <w:t>21,000</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16,580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1,467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39,046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21,000</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13,019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56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34,075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21,376</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34,325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12,833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 </w:t>
            </w:r>
            <w:r>
              <w:rPr/>
              <w:t>567,115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635,649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4,391</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36,467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6,600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47,458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21,000</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15,389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36,393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Mohsin Hussain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18,740</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20,386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3,715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2,493,289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24,500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2,560,630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(i) the annualized amount of a flexible, personalized benefits allowance of  $12,000 ($12,940 for Mr. Sharma) approved for leadership team members in fiscal 2025 that allows executives to customize support based on their unique individual needs, optimizing our total rewards delivery and supporting our leaders in their ongoing contributions to the Company; (ii) imputed income from the Company’s wellness programs, cell phone allowance, and commuting expenses for all NEOs; (iii) travel expenses for Mr. Karasick and Mr. Sharma to the Company’s President’s Club event of  $19,281 and $15,349, respectively; (iv) a holiday bonus for Mr. Sharma of  $1,486; and (v) certain tangible gifts to executives, each valued at less than $1,000. Mr. Sharma resides in France and is paid in euros. Solely for purposes of this table, the amounts reported with respect to Mr. Sharma were converted to U.S. dollars at an exchange rate of 1.15946, which was the average of the monthly exchange rates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254000" distR="0" simplePos="0" locked="0" layoutInCell="1" allowOverlap="1" relativeHeight="998">
                <wp:simplePos x="0" y="0"/>
                <wp:positionH relativeFrom="column">
                  <wp:align>left</wp:align>
                </wp:positionH>
                <wp:positionV relativeFrom="line">
                  <wp:align>top</wp:align>
                </wp:positionV>
                <wp:extent cx="254000" cy="350520"/>
                <wp:effectExtent l="0" t="0" r="0" b="0"/>
                <wp:wrapSquare wrapText="right"/>
                <wp:docPr id="991" name="Frame9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0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tax gross-ups related to certain tangible gifts, travel expenses (including $12,817 and $6,600 for Mr. Karasick and Mr. Sharma, respectively, related to the Company’s President’s Club event) and other commuting expenses.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999">
                <wp:simplePos x="0" y="0"/>
                <wp:positionH relativeFrom="column">
                  <wp:align>left</wp:align>
                </wp:positionH>
                <wp:positionV relativeFrom="line">
                  <wp:align>top</wp:align>
                </wp:positionV>
                <wp:extent cx="254000" cy="350520"/>
                <wp:effectExtent l="0" t="0" r="0" b="0"/>
                <wp:wrapSquare wrapText="right"/>
                <wp:docPr id="992" name="Frame9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(i) a lump sum cash severance payment of  $1,235,955, paid to Mr. Hussain in connection with his without cause termination from the Company which is equal to the sum of his current base salary, his average annual bonus for the two prior fiscal years and the actual amount of his fiscal 2026 cash bonus opportunity, (ii) the value realized upon the accelerated vesting of a prorated portion of Mr. Hussain’s outstanding PSUs based on actual performance as of the date his employment terminated of $1,221,480, and (iii) a lump sum cash payment of  $35,854 to cover COBRA continuation coverage for Mr. Hussain and his eligible dependents for 12 months.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1000">
                <wp:simplePos x="0" y="0"/>
                <wp:positionH relativeFrom="column">
                  <wp:align>left</wp:align>
                </wp:positionH>
                <wp:positionV relativeFrom="line">
                  <wp:align>top</wp:align>
                </wp:positionV>
                <wp:extent cx="254000" cy="350520"/>
                <wp:effectExtent l="0" t="0" r="0" b="0"/>
                <wp:wrapSquare wrapText="right"/>
                <wp:docPr id="993" name="Frame9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its acquisition of Habu, Inc. (“Habu”), the Company entered into consideration holdback and similar retention agreements with certain key employees that joined the Company, including Mr. Karasick, pursuant to which certain amounts were not paid at closing and instead were subject to vesting in three equal installments on the anniversary of the acquisition, contingent upon the applicable employees’ continued employment with LiveRamp through each vesting date. This column includes $517,948, which represents the second tranche of Mr. Karasick’s payout under this arrangement. In addition, the amounts in this column reflect patent awards for Mr. Karasick and Mr. Hussain of  $49,167 and $24,500, respectively.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1001">
                <wp:simplePos x="0" y="0"/>
                <wp:positionH relativeFrom="column">
                  <wp:align>left</wp:align>
                </wp:positionH>
                <wp:positionV relativeFrom="line">
                  <wp:align>top</wp:align>
                </wp:positionV>
                <wp:extent cx="254000" cy="350520"/>
                <wp:effectExtent l="0" t="0" r="0" b="0"/>
                <wp:wrapSquare wrapText="right"/>
                <wp:docPr id="994" name="Frame9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Solely for purposes of this table, Mr. Sharma’s fiscal 2026 base salary amount was converted to U.S. dollars at an exchange rate of 1.15946, which was the average of the monthly exchange rates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02">
                <wp:simplePos x="0" y="0"/>
                <wp:positionH relativeFrom="column">
                  <wp:align>left</wp:align>
                </wp:positionH>
                <wp:positionV relativeFrom="line">
                  <wp:align>top</wp:align>
                </wp:positionV>
                <wp:extent cx="254000" cy="350520"/>
                <wp:effectExtent l="0" t="0" r="0" b="0"/>
                <wp:wrapSquare wrapText="right"/>
                <wp:docPr id="995" name="Frame9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Solely for purposes of this table, Mr. Sharma’s non-equity incentive plan compensation was converted to U.S. dollars at an exchange rate of 1.1628 which was the exchange rate on May 15, 2026, the date the attainment of such award was approved by the Talent and Compensation Committee. </w:t>
      </w:r>
      <w:r>
        <mc:AlternateContent>
          <mc:Choice Requires="wps">
            <w:drawing>
              <wp:anchor behindDoc="0" distT="12700" distB="0" distL="0" distR="0" simplePos="0" locked="0" layoutInCell="1" allowOverlap="1" relativeHeight="1003">
                <wp:simplePos x="0" y="0"/>
                <wp:positionH relativeFrom="column">
                  <wp:align>left</wp:align>
                </wp:positionH>
                <wp:positionV relativeFrom="line">
                  <wp:align>top</wp:align>
                </wp:positionV>
                <wp:extent cx="254000" cy="350520"/>
                <wp:effectExtent l="0" t="0" r="0" b="0"/>
                <wp:wrapSquare wrapText="right"/>
                <wp:docPr id="996" name="Frame9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GOPA"/>
      <w:bookmarkEnd w:id="151"/>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Grants of Plan-Based Awards for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grants of plan-based awards made to our Named Executive Officers during fiscal 2026. Non-equity incentive plan awards were granted under the 2010 Cash Incentive Plan and LiveRamp sales commission plan and stock awards were granted under the Amended and Restated 2005 Equity Compensation Plan.</w:t>
      </w:r>
      <w:r>
        <w:rPr>
          <w:rFonts w:ascii="Arial;Helvetica;sans-serif" w:hAnsi="Arial;Helvetica;sans-serif"/>
          <w:b w:val="false"/>
          <w:i w:val="false"/>
          <w:caps w:val="false"/>
          <w:smallCaps w:val="false"/>
          <w:color w:val="000000"/>
          <w:spacing w:val="4"/>
          <w:sz w:val="20"/>
        </w:rPr>
        <w:t xml:space="preserve"> </w:t>
      </w:r>
    </w:p>
    <w:tbl>
      <w:tblPr>
        <w:tblW w:w="14916" w:type="dxa"/>
        <w:jc w:val="left"/>
        <w:tblInd w:w="680" w:type="dxa"/>
        <w:tblLayout w:type="fixed"/>
        <w:tblCellMar>
          <w:top w:w="0" w:type="dxa"/>
          <w:left w:w="0" w:type="dxa"/>
          <w:bottom w:w="0" w:type="dxa"/>
          <w:right w:w="0" w:type="dxa"/>
        </w:tblCellMar>
      </w:tblPr>
      <w:tblGrid>
        <w:gridCol w:w="124"/>
        <w:gridCol w:w="1051"/>
        <w:gridCol w:w="109"/>
        <w:gridCol w:w="109"/>
        <w:gridCol w:w="109"/>
        <w:gridCol w:w="109"/>
        <w:gridCol w:w="406"/>
        <w:gridCol w:w="109"/>
        <w:gridCol w:w="109"/>
        <w:gridCol w:w="109"/>
        <w:gridCol w:w="109"/>
        <w:gridCol w:w="226"/>
        <w:gridCol w:w="1006"/>
        <w:gridCol w:w="109"/>
        <w:gridCol w:w="109"/>
        <w:gridCol w:w="109"/>
        <w:gridCol w:w="109"/>
        <w:gridCol w:w="226"/>
        <w:gridCol w:w="1006"/>
        <w:gridCol w:w="109"/>
        <w:gridCol w:w="109"/>
        <w:gridCol w:w="109"/>
        <w:gridCol w:w="109"/>
        <w:gridCol w:w="226"/>
        <w:gridCol w:w="118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226"/>
        <w:gridCol w:w="1186"/>
        <w:gridCol w:w="109"/>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1051" w:type="dxa"/>
            <w:vMerge w:val="restart"/>
            <w:tcBorders/>
            <w:shd w:fill="000000" w:val="clear"/>
            <w:vAlign w:val="center"/>
          </w:tcPr>
          <w:p>
            <w:pPr>
              <w:pStyle w:val="TableContents"/>
              <w:bidi w:val="0"/>
              <w:spacing w:lineRule="atLeast" w:line="158" w:before="0" w:after="0"/>
              <w:jc w:val="left"/>
              <w:rPr/>
            </w:pPr>
            <w:r>
              <w:rPr/>
              <w:t xml:space="preserve">Named Executive Officer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733" w:type="dxa"/>
            <w:gridSpan w:val="4"/>
            <w:vMerge w:val="restart"/>
            <w:tcBorders/>
            <w:shd w:fill="000000" w:val="clear"/>
            <w:vAlign w:val="center"/>
          </w:tcPr>
          <w:p>
            <w:pPr>
              <w:pStyle w:val="TableContents"/>
              <w:bidi w:val="0"/>
              <w:spacing w:lineRule="atLeast" w:line="158" w:before="0" w:after="0"/>
              <w:jc w:val="center"/>
              <w:rPr/>
            </w:pPr>
            <w:r>
              <w:rPr/>
              <w:t xml:space="preserve">Grant Date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4966" w:type="dxa"/>
            <w:gridSpan w:val="16"/>
            <w:tcBorders>
              <w:bottom w:val="single" w:sz="6" w:space="0" w:color="FEFEFE"/>
            </w:tcBorders>
            <w:shd w:fill="000000" w:val="clear"/>
            <w:tcMar>
              <w:bottom w:w="36" w:type="dxa"/>
            </w:tcMar>
            <w:vAlign w:val="center"/>
          </w:tcPr>
          <w:p>
            <w:pPr>
              <w:pStyle w:val="TableContents"/>
              <w:bidi w:val="0"/>
              <w:spacing w:lineRule="atLeast" w:line="142" w:before="0" w:after="0"/>
              <w:jc w:val="center"/>
              <w:rPr/>
            </w:pPr>
            <w:r>
              <w:rPr/>
              <w:t>Estimated Future Payouts</w:t>
              <w:br/>
              <w:t>Under Non-Equity Incentive</w:t>
              <w:br/>
              <w:t>Plan Awards</w:t>
            </w:r>
            <w:r>
              <w:rPr>
                <w:sz w:val="9"/>
              </w:rPr>
              <w:t>1</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955" w:type="dxa"/>
            <w:gridSpan w:val="16"/>
            <w:tcBorders>
              <w:bottom w:val="single" w:sz="6" w:space="0" w:color="FEFEFE"/>
            </w:tcBorders>
            <w:shd w:fill="000000" w:val="clear"/>
            <w:tcMar>
              <w:bottom w:w="36" w:type="dxa"/>
            </w:tcMar>
            <w:vAlign w:val="center"/>
          </w:tcPr>
          <w:p>
            <w:pPr>
              <w:pStyle w:val="TableContents"/>
              <w:bidi w:val="0"/>
              <w:spacing w:lineRule="atLeast" w:line="142" w:before="0" w:after="0"/>
              <w:jc w:val="center"/>
              <w:rPr/>
            </w:pPr>
            <w:r>
              <w:rPr/>
              <w:t>Estimated Future Payouts</w:t>
              <w:br/>
              <w:t>Under Equity Incentive</w:t>
              <w:br/>
              <w:t>Plan Awards</w:t>
            </w:r>
            <w:r>
              <w:rPr>
                <w:sz w:val="9"/>
              </w:rPr>
              <w:t>2</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213" w:type="dxa"/>
            <w:gridSpan w:val="4"/>
            <w:vMerge w:val="restart"/>
            <w:tcBorders/>
            <w:shd w:fill="000000" w:val="clear"/>
            <w:vAlign w:val="center"/>
          </w:tcPr>
          <w:p>
            <w:pPr>
              <w:pStyle w:val="TableContents"/>
              <w:bidi w:val="0"/>
              <w:spacing w:lineRule="atLeast" w:line="142" w:before="0" w:after="0"/>
              <w:jc w:val="center"/>
              <w:rPr/>
            </w:pPr>
            <w:r>
              <w:rPr/>
              <w:t>All Other</w:t>
              <w:br/>
              <w:t>Stock</w:t>
              <w:br/>
              <w:t>Awards:</w:t>
              <w:br/>
              <w:t>Number</w:t>
              <w:br/>
              <w:t>of</w:t>
              <w:br/>
              <w:t>Shares</w:t>
              <w:br/>
              <w:t>of Stock</w:t>
              <w:br/>
              <w:t>or Units</w:t>
            </w:r>
            <w:r>
              <w:rPr>
                <w:sz w:val="9"/>
              </w:rPr>
              <w:t>3</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630" w:type="dxa"/>
            <w:gridSpan w:val="4"/>
            <w:vMerge w:val="restart"/>
            <w:tcBorders/>
            <w:shd w:fill="000000" w:val="clear"/>
            <w:vAlign w:val="center"/>
          </w:tcPr>
          <w:p>
            <w:pPr>
              <w:pStyle w:val="TableContents"/>
              <w:bidi w:val="0"/>
              <w:spacing w:lineRule="atLeast" w:line="142" w:before="0" w:after="0"/>
              <w:jc w:val="center"/>
              <w:rPr/>
            </w:pPr>
            <w:r>
              <w:rPr/>
              <w:t>Grant</w:t>
              <w:br/>
              <w:t>Date Fair</w:t>
              <w:br/>
              <w:t>Value</w:t>
              <w:br/>
              <w:t>of Stock</w:t>
              <w:br/>
              <w:t>and Option</w:t>
              <w:br/>
              <w:t>Awards</w:t>
            </w:r>
            <w:r>
              <w:rPr>
                <w:sz w:val="9"/>
              </w:rPr>
              <w:t>4</w:t>
            </w:r>
            <w:r>
              <w:rPr/>
              <w:t xml:space="preserve"> </w:t>
            </w:r>
          </w:p>
        </w:tc>
        <w:tc>
          <w:tcPr>
            <w:tcW w:w="154"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05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733" w:type="dxa"/>
            <w:gridSpan w:val="4"/>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3" w:type="dxa"/>
            <w:gridSpan w:val="4"/>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1213" w:type="dxa"/>
            <w:gridSpan w:val="4"/>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630" w:type="dxa"/>
            <w:gridSpan w:val="4"/>
            <w:vMerge w:val="continue"/>
            <w:tcBorders/>
            <w:shd w:fill="000000" w:val="clear"/>
            <w:vAlign w:val="center"/>
          </w:tcPr>
          <w:p>
            <w:pPr>
              <w:pStyle w:val="Normal"/>
              <w:bidi w:val="0"/>
              <w:jc w:val="left"/>
              <w:rPr/>
            </w:pPr>
            <w:r>
              <w:rPr/>
            </w:r>
          </w:p>
        </w:tc>
        <w:tc>
          <w:tcPr>
            <w:tcW w:w="154" w:type="dxa"/>
            <w:vMerge w:val="continue"/>
            <w:tcBorders/>
            <w:shd w:fill="000000" w:val="clear"/>
            <w:vAlign w:val="center"/>
          </w:tcPr>
          <w:p>
            <w:pPr>
              <w:pStyle w:val="Normal"/>
              <w:bidi w:val="0"/>
              <w:jc w:val="left"/>
              <w:rPr/>
            </w:pPr>
            <w:r>
              <w:rPr/>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Scott E. Howe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189,750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759,000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 </w:t>
            </w:r>
            <w:r>
              <w:rPr/>
              <w:t>1,518,000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69,696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163,990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327,980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5,494,977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109,326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3,248,075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 xml:space="preserve">Lauren R. Dillard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90,000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360,000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720,000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31,944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75,161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150,322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2,518,491</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shd w:fill="D8D8D8" w:val="clear"/>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75,162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2,233,063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Matthew Karasick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80,625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322,500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645,000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4/17/25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9,884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23,255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46,510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653,902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4/17/25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23,255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579,747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7,260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17,081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34,162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572,346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17,082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507,506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12/15/25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14,980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35,247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70,494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1,102,103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12/15/25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35,248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1,029,594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 xml:space="preserve">Vihan Sharma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50" w:type="dxa"/>
            <w:gridSpan w:val="4"/>
            <w:tcBorders/>
            <w:shd w:fill="D8D8D8" w:val="clear"/>
            <w:vAlign w:val="center"/>
          </w:tcPr>
          <w:p>
            <w:pPr>
              <w:pStyle w:val="TableContents"/>
              <w:bidi w:val="0"/>
              <w:spacing w:lineRule="atLeast" w:line="168" w:before="0" w:after="0"/>
              <w:jc w:val="center"/>
              <w:rPr/>
            </w:pPr>
            <w:r>
              <w:rPr/>
              <w:t xml:space="preserve">No Threshold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451,685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30" w:type="dxa"/>
            <w:gridSpan w:val="4"/>
            <w:tcBorders/>
            <w:shd w:fill="D8D8D8" w:val="clear"/>
            <w:vAlign w:val="center"/>
          </w:tcPr>
          <w:p>
            <w:pPr>
              <w:pStyle w:val="TableContents"/>
              <w:bidi w:val="0"/>
              <w:spacing w:lineRule="atLeast" w:line="168" w:before="0" w:after="0"/>
              <w:jc w:val="center"/>
              <w:rPr/>
            </w:pPr>
            <w:r>
              <w:rPr/>
              <w:t xml:space="preserve">Uncapped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18,512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43,558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87,116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1,459,536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shd w:fill="D8D8D8" w:val="clear"/>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43,559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1,294,138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Jerry C. Jones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84,375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337,500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675,000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11,253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26,477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52,954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887,190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26,477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786,632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12" w:space="0" w:color="016836"/>
            </w:tcBorders>
            <w:shd w:fill="D8D8D8" w:val="clear"/>
            <w:tcMar>
              <w:bottom w:w="28" w:type="dxa"/>
            </w:tcMar>
            <w:vAlign w:val="center"/>
          </w:tcPr>
          <w:p>
            <w:pPr>
              <w:pStyle w:val="TableContents"/>
              <w:bidi w:val="0"/>
              <w:spacing w:lineRule="atLeast" w:line="168" w:before="0" w:after="0"/>
              <w:jc w:val="left"/>
              <w:rPr/>
            </w:pPr>
            <w:r>
              <w:rPr/>
              <w:t xml:space="preserve">Mohsin Hussain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80,625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322,500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645,000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15,972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37,580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75,160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1,259,231</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406" w:type="dxa"/>
            <w:tcBorders>
              <w:bottom w:val="single" w:sz="12" w:space="0" w:color="016836"/>
            </w:tcBorders>
            <w:shd w:fill="D8D8D8" w:val="clear"/>
            <w:tcMar>
              <w:bottom w:w="67" w:type="dxa"/>
            </w:tcMar>
            <w:vAlign w:val="center"/>
          </w:tcPr>
          <w:p>
            <w:pPr>
              <w:pStyle w:val="TableContents"/>
              <w:bidi w:val="0"/>
              <w:spacing w:before="0" w:after="283"/>
              <w:jc w:val="right"/>
              <w:rPr/>
            </w:pPr>
            <w:r>
              <w:rPr/>
              <w:t>5/13/25</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76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37,581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1,116,532</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these columns represent potential performance-based cash bonuses that each NEO could have earned based upon the Company’s achievement of certain quantitative performance criteria set forth in the Company’s performance-based cash bonus programs. For more information regarding actual payments under the Company’s performance-based cash bonus programs, see the “</w:t>
      </w:r>
      <w:r>
        <w:rPr>
          <w:rFonts w:ascii="Arial;Helvetica;sans-serif" w:hAnsi="Arial;Helvetica;sans-serif"/>
          <w:b w:val="false"/>
          <w:i/>
          <w:caps w:val="false"/>
          <w:smallCaps w:val="false"/>
          <w:color w:val="000000"/>
          <w:sz w:val="16"/>
        </w:rPr>
        <w:t>Annual Cash Incentive Awards — Individual Payments”</w:t>
      </w:r>
      <w:r>
        <w:rPr>
          <w:rFonts w:ascii="Arial;Helvetica;sans-serif" w:hAnsi="Arial;Helvetica;sans-serif"/>
          <w:b w:val="false"/>
          <w:i w:val="false"/>
          <w:caps w:val="false"/>
          <w:smallCaps w:val="false"/>
          <w:color w:val="000000"/>
          <w:sz w:val="16"/>
        </w:rPr>
        <w:t xml:space="preserve"> and “</w:t>
      </w:r>
      <w:r>
        <w:rPr>
          <w:rFonts w:ascii="Arial;Helvetica;sans-serif" w:hAnsi="Arial;Helvetica;sans-serif"/>
          <w:b w:val="false"/>
          <w:i/>
          <w:caps w:val="false"/>
          <w:smallCaps w:val="false"/>
          <w:color w:val="000000"/>
          <w:sz w:val="16"/>
        </w:rPr>
        <w:t>Leadership Transition</w:t>
      </w:r>
      <w:r>
        <w:rPr>
          <w:rFonts w:ascii="Arial;Helvetica;sans-serif" w:hAnsi="Arial;Helvetica;sans-serif"/>
          <w:b w:val="false"/>
          <w:i w:val="false"/>
          <w:caps w:val="false"/>
          <w:smallCaps w:val="false"/>
          <w:color w:val="000000"/>
          <w:sz w:val="16"/>
        </w:rPr>
        <w:t>” sections of the Compensation Discussion and Analysis. Mr. Sharma resides in France and is paid in euros. For illustrative purposes, Mr. Sharma’s target cash incentive opportunity is presented above in U.S. dollars based on an exchange rate of 1.1106, which was the exchange rate on the date the Talent and Compensation Committee approved such amount. The maximum commission opportunity under the sales commission plan, of which Mr. Sharma is a participant, is uncapped, provided that the Company’s budgeted operating income target set at the beginning of the year is met, otherwise earnings under this plan are capped at 200% of target.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04">
                <wp:simplePos x="0" y="0"/>
                <wp:positionH relativeFrom="column">
                  <wp:align>left</wp:align>
                </wp:positionH>
                <wp:positionV relativeFrom="line">
                  <wp:align>top</wp:align>
                </wp:positionV>
                <wp:extent cx="254000" cy="254000"/>
                <wp:effectExtent l="0" t="0" r="0" b="0"/>
                <wp:wrapSquare wrapText="right"/>
                <wp:docPr id="997" name="Frame96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these columns represent aggregate potential share payouts with respect to PSU awards granted in fiscal 2026 that are subject to attainment of performance goals with the number of shares earned ranging from 0% to 200% of the target number of shares. The maximum potential share payout amounts are shown without regard to the per-participant limits set forth in the 2005 Plan to illustrate the potential payouts assuming maximum performance under each PSU performance component. Any such combined payouts that would exceed such limits would be capped in accordance with the 2005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5">
                <wp:simplePos x="0" y="0"/>
                <wp:positionH relativeFrom="column">
                  <wp:align>left</wp:align>
                </wp:positionH>
                <wp:positionV relativeFrom="line">
                  <wp:align>top</wp:align>
                </wp:positionV>
                <wp:extent cx="254000" cy="254000"/>
                <wp:effectExtent l="0" t="0" r="0" b="0"/>
                <wp:wrapSquare wrapText="right"/>
                <wp:docPr id="998" name="Frame96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this column represent time-based RSUs granted in fiscal 2026. The reported April and May 2025 grants vested one-third on May 22, 2026, with the remainder vesting in equal amounts quarterly thereafter until fully vested on May 22, 2028. The reported December 2025 grants will vest one-third on December 22, 2026, with the remainder vesting in equal amounts quarterly thereafter until fully vested on December 22, 2028.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6">
                <wp:simplePos x="0" y="0"/>
                <wp:positionH relativeFrom="column">
                  <wp:align>left</wp:align>
                </wp:positionH>
                <wp:positionV relativeFrom="line">
                  <wp:align>top</wp:align>
                </wp:positionV>
                <wp:extent cx="254000" cy="254000"/>
                <wp:effectExtent l="0" t="0" r="0" b="0"/>
                <wp:wrapSquare wrapText="right"/>
                <wp:docPr id="999" name="Frame96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reflect the grant date fair value of awards of RSUs and PSUs calculated in accordance with FASB ASC Topic 718. For RSUs and the portion of the performance awards based on the Rule of 40 granted in fiscal 2026 on April 17, 2025, May 13, 2025, and December 15, 2025, the amounts were determined by reference to quoted market prices for the shares on their grant date, which were $24.93, $29.71, and $29.21, respectively. For the portion of the performance awards based on relative TSR granted in fiscal 2026 on April 17, 2025, May 13, 2025, and December 15, 2025, we estimated the grant date fair value to be $35.56, $42.37, and $36.07, respectively, using a Monte Carlo simulation model (which is discussed further in Footnote 1 to the Summary Compensation Table above). The amount reported for each PSU grant is based on the probable outcome of the underlying performance conditions, measured as of the grant date (100% of target value) and PSUs vest in a number of shares from 0% to 200% of target of the award based on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7">
                <wp:simplePos x="0" y="0"/>
                <wp:positionH relativeFrom="column">
                  <wp:align>left</wp:align>
                </wp:positionH>
                <wp:positionV relativeFrom="line">
                  <wp:align>top</wp:align>
                </wp:positionV>
                <wp:extent cx="254000" cy="254000"/>
                <wp:effectExtent l="0" t="0" r="0" b="0"/>
                <wp:wrapSquare wrapText="right"/>
                <wp:docPr id="1000" name="Frame96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OEAA"/>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Outstanding Equity Awards at 2026 Fiscal Year End</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equity awards that we have made to our Named Executive Officers that were outstanding as of March 31,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103"/>
        <w:gridCol w:w="109"/>
        <w:gridCol w:w="109"/>
        <w:gridCol w:w="109"/>
        <w:gridCol w:w="109"/>
        <w:gridCol w:w="109"/>
        <w:gridCol w:w="612"/>
        <w:gridCol w:w="109"/>
        <w:gridCol w:w="109"/>
        <w:gridCol w:w="109"/>
        <w:gridCol w:w="114"/>
        <w:gridCol w:w="114"/>
        <w:gridCol w:w="986"/>
        <w:gridCol w:w="114"/>
        <w:gridCol w:w="109"/>
        <w:gridCol w:w="109"/>
        <w:gridCol w:w="112"/>
        <w:gridCol w:w="233"/>
        <w:gridCol w:w="1227"/>
        <w:gridCol w:w="112"/>
        <w:gridCol w:w="109"/>
        <w:gridCol w:w="109"/>
        <w:gridCol w:w="114"/>
        <w:gridCol w:w="114"/>
        <w:gridCol w:w="987"/>
        <w:gridCol w:w="114"/>
        <w:gridCol w:w="109"/>
        <w:gridCol w:w="109"/>
        <w:gridCol w:w="110"/>
        <w:gridCol w:w="229"/>
        <w:gridCol w:w="1204"/>
        <w:gridCol w:w="110"/>
        <w:gridCol w:w="166"/>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103"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7805" w:type="dxa"/>
            <w:gridSpan w:val="28"/>
            <w:tcBorders>
              <w:bottom w:val="single" w:sz="6" w:space="0" w:color="FEFEFE"/>
            </w:tcBorders>
            <w:shd w:fill="000000" w:val="clear"/>
            <w:vAlign w:val="center"/>
          </w:tcPr>
          <w:p>
            <w:pPr>
              <w:pStyle w:val="TableContents"/>
              <w:bidi w:val="0"/>
              <w:spacing w:before="0" w:after="0"/>
              <w:jc w:val="center"/>
              <w:rPr/>
            </w:pPr>
            <w:r>
              <w:rPr/>
              <w:t xml:space="preserve">Stock Awards </w:t>
            </w:r>
          </w:p>
        </w:tc>
        <w:tc>
          <w:tcPr>
            <w:tcW w:w="166" w:type="dxa"/>
            <w:tcBorders>
              <w:bottom w:val="single" w:sz="6" w:space="0" w:color="FEFEFE"/>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103"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39" w:type="dxa"/>
            <w:gridSpan w:val="4"/>
            <w:tcBorders/>
            <w:shd w:fill="000000" w:val="clear"/>
            <w:tcMar>
              <w:bottom w:w="0" w:type="dxa"/>
            </w:tcMar>
            <w:vAlign w:val="center"/>
          </w:tcPr>
          <w:p>
            <w:pPr>
              <w:pStyle w:val="TableContents"/>
              <w:bidi w:val="0"/>
              <w:spacing w:lineRule="atLeast" w:line="157" w:before="0" w:after="0"/>
              <w:jc w:val="center"/>
              <w:rPr/>
            </w:pPr>
            <w:r>
              <w:rPr/>
              <w:t>Share or</w:t>
              <w:br/>
              <w:t>Unit Grant</w:t>
              <w:br/>
              <w:t xml:space="preserve">Date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8" w:type="dxa"/>
            <w:gridSpan w:val="4"/>
            <w:tcBorders/>
            <w:shd w:fill="000000" w:val="clear"/>
            <w:tcMar>
              <w:bottom w:w="0" w:type="dxa"/>
            </w:tcMar>
            <w:vAlign w:val="center"/>
          </w:tcPr>
          <w:p>
            <w:pPr>
              <w:pStyle w:val="TableContents"/>
              <w:bidi w:val="0"/>
              <w:spacing w:before="0" w:after="0"/>
              <w:jc w:val="center"/>
              <w:rPr/>
            </w:pPr>
            <w:r>
              <w:rPr/>
              <w:t xml:space="preserve">Equity Incentive Plan  </w:t>
              <w:br/>
              <w:t>Awards:</w:t>
              <w:br/>
              <w:t>Number of Unearned Shares,</w:t>
              <w:br/>
              <w:t xml:space="preserve">Units or Other Rights That </w:t>
              <w:br/>
              <w:t xml:space="preserve">Have 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84" w:type="dxa"/>
            <w:gridSpan w:val="4"/>
            <w:tcBorders/>
            <w:shd w:fill="000000" w:val="clear"/>
            <w:tcMar>
              <w:bottom w:w="0" w:type="dxa"/>
            </w:tcMar>
            <w:vAlign w:val="center"/>
          </w:tcPr>
          <w:p>
            <w:pPr>
              <w:pStyle w:val="TableContents"/>
              <w:bidi w:val="0"/>
              <w:spacing w:lineRule="atLeast" w:line="142" w:before="0" w:after="0"/>
              <w:jc w:val="center"/>
              <w:rPr/>
            </w:pPr>
            <w:r>
              <w:rPr/>
              <w:t>Equity Incentive Plan</w:t>
              <w:br/>
              <w:t>Awards:</w:t>
              <w:br/>
              <w:t>Market Value of Unearned</w:t>
              <w:br/>
              <w:t>Shares, Units or Other Rights</w:t>
              <w:br/>
              <w:t>That Have Not Vested</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9" w:type="dxa"/>
            <w:gridSpan w:val="4"/>
            <w:tcBorders/>
            <w:shd w:fill="000000" w:val="clear"/>
            <w:tcMar>
              <w:bottom w:w="0" w:type="dxa"/>
            </w:tcMar>
            <w:vAlign w:val="center"/>
          </w:tcPr>
          <w:p>
            <w:pPr>
              <w:pStyle w:val="TableContents"/>
              <w:bidi w:val="0"/>
              <w:spacing w:lineRule="atLeast" w:line="157" w:before="0" w:after="0"/>
              <w:jc w:val="center"/>
              <w:rPr/>
            </w:pPr>
            <w:r>
              <w:rPr/>
              <w:t>Number of Shares or Units of</w:t>
              <w:br/>
              <w:t xml:space="preserve">Stock That Have 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53" w:type="dxa"/>
            <w:gridSpan w:val="4"/>
            <w:tcBorders/>
            <w:shd w:fill="000000" w:val="clear"/>
            <w:tcMar>
              <w:bottom w:w="0" w:type="dxa"/>
            </w:tcMar>
            <w:vAlign w:val="center"/>
          </w:tcPr>
          <w:p>
            <w:pPr>
              <w:pStyle w:val="TableContents"/>
              <w:bidi w:val="0"/>
              <w:spacing w:lineRule="atLeast" w:line="142" w:before="0" w:after="0"/>
              <w:jc w:val="center"/>
              <w:rPr/>
            </w:pPr>
            <w:r>
              <w:rPr/>
              <w:t>Market Value of</w:t>
              <w:br/>
              <w:t>Shares or Units That</w:t>
              <w:br/>
              <w:t>Have Not Vested ($)</w:t>
            </w:r>
            <w:r>
              <w:rPr>
                <w:sz w:val="9"/>
              </w:rPr>
              <w:t>1</w:t>
            </w:r>
            <w:r>
              <w:rPr/>
              <w:t xml:space="preserve"> </w:t>
            </w:r>
          </w:p>
        </w:tc>
        <w:tc>
          <w:tcPr>
            <w:tcW w:w="166" w:type="dxa"/>
            <w:tcBorders/>
            <w:shd w:fill="000000"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Scott E. Howe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5/17/2023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175,731</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 </w:t>
            </w:r>
            <w:r>
              <w:rPr/>
              <w:t>4,660,386</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9,763</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258,915</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5/15/2024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138,418</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3,670,845</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38,450</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 </w:t>
            </w:r>
            <w:r>
              <w:rPr/>
              <w:t>1,019,694</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5/13/2025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163,990</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4,349,015</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109,326</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2,899,326</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2" w:space="0" w:color="016836"/>
            </w:tcBorders>
            <w:shd w:fill="D8D8D8" w:val="clear"/>
            <w:vAlign w:val="center"/>
          </w:tcPr>
          <w:p>
            <w:pPr>
              <w:pStyle w:val="TableContents"/>
              <w:bidi w:val="0"/>
              <w:spacing w:lineRule="atLeast" w:line="168" w:before="0" w:after="0"/>
              <w:jc w:val="left"/>
              <w:rPr/>
            </w:pPr>
            <w:r>
              <w:rPr/>
              <w:t xml:space="preserve">Lauren R. Dillard </w:t>
            </w:r>
          </w:p>
        </w:tc>
        <w:tc>
          <w:tcPr>
            <w:tcW w:w="109"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25,104</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665,758</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2,092</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55,480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11/14/2023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67,658</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1,794,290</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16,915</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448,586</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61,518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1,631,457</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25,633</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679,787</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right"/>
              <w:rPr/>
            </w:pPr>
            <w:r>
              <w:rPr/>
              <w:t>​</w:t>
            </w:r>
          </w:p>
        </w:tc>
        <w:tc>
          <w:tcPr>
            <w:tcW w:w="612" w:type="dxa"/>
            <w:tcBorders>
              <w:bottom w:val="single" w:sz="2" w:space="0" w:color="016836"/>
            </w:tcBorders>
            <w:shd w:fill="D8D8D8" w:val="clear"/>
            <w:vAlign w:val="center"/>
          </w:tcPr>
          <w:p>
            <w:pPr>
              <w:pStyle w:val="TableContents"/>
              <w:bidi w:val="0"/>
              <w:spacing w:before="0" w:after="283"/>
              <w:jc w:val="right"/>
              <w:rPr/>
            </w:pPr>
            <w:r>
              <w:rPr/>
              <w:t>5/13/2025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6" w:type="dxa"/>
            <w:tcBorders>
              <w:bottom w:val="single" w:sz="2" w:space="0" w:color="016836"/>
            </w:tcBorders>
            <w:shd w:fill="D8D8D8" w:val="clear"/>
            <w:vAlign w:val="center"/>
          </w:tcPr>
          <w:p>
            <w:pPr>
              <w:pStyle w:val="TableContents"/>
              <w:bidi w:val="0"/>
              <w:spacing w:before="0" w:after="283"/>
              <w:jc w:val="right"/>
              <w:rPr/>
            </w:pPr>
            <w:r>
              <w:rPr/>
              <w:t>75,161</w:t>
            </w:r>
            <w:r>
              <w:rPr>
                <w:sz w:val="9"/>
              </w:rPr>
              <w:t>5</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233" w:type="dxa"/>
            <w:tcBorders>
              <w:bottom w:val="single" w:sz="2" w:space="0" w:color="016836"/>
            </w:tcBorders>
            <w:shd w:fill="D8D8D8" w:val="clear"/>
            <w:vAlign w:val="center"/>
          </w:tcPr>
          <w:p>
            <w:pPr>
              <w:pStyle w:val="TableContents"/>
              <w:bidi w:val="0"/>
              <w:spacing w:before="0" w:after="283"/>
              <w:jc w:val="right"/>
              <w:rPr/>
            </w:pPr>
            <w:r>
              <w:rPr/>
              <w:t>$</w:t>
            </w:r>
          </w:p>
        </w:tc>
        <w:tc>
          <w:tcPr>
            <w:tcW w:w="1227" w:type="dxa"/>
            <w:tcBorders>
              <w:bottom w:val="single" w:sz="2" w:space="0" w:color="016836"/>
            </w:tcBorders>
            <w:shd w:fill="D8D8D8" w:val="clear"/>
            <w:vAlign w:val="center"/>
          </w:tcPr>
          <w:p>
            <w:pPr>
              <w:pStyle w:val="TableContents"/>
              <w:bidi w:val="0"/>
              <w:spacing w:before="0" w:after="283"/>
              <w:jc w:val="right"/>
              <w:rPr/>
            </w:pPr>
            <w:r>
              <w:rPr/>
              <w:t>1,993,270</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7" w:type="dxa"/>
            <w:tcBorders>
              <w:bottom w:val="single" w:sz="2" w:space="0" w:color="016836"/>
            </w:tcBorders>
            <w:shd w:fill="D8D8D8" w:val="clear"/>
            <w:vAlign w:val="center"/>
          </w:tcPr>
          <w:p>
            <w:pPr>
              <w:pStyle w:val="TableContents"/>
              <w:bidi w:val="0"/>
              <w:spacing w:before="0" w:after="283"/>
              <w:jc w:val="right"/>
              <w:rPr/>
            </w:pPr>
            <w:r>
              <w:rPr/>
              <w:t>75,162</w:t>
            </w:r>
            <w:r>
              <w:rPr>
                <w:sz w:val="9"/>
              </w:rPr>
              <w:t>3</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229" w:type="dxa"/>
            <w:tcBorders>
              <w:bottom w:val="single" w:sz="2" w:space="0" w:color="016836"/>
            </w:tcBorders>
            <w:shd w:fill="D8D8D8" w:val="clear"/>
            <w:vAlign w:val="center"/>
          </w:tcPr>
          <w:p>
            <w:pPr>
              <w:pStyle w:val="TableContents"/>
              <w:bidi w:val="0"/>
              <w:spacing w:before="0" w:after="283"/>
              <w:jc w:val="right"/>
              <w:rPr/>
            </w:pPr>
            <w:r>
              <w:rPr/>
              <w:t>$</w:t>
            </w:r>
          </w:p>
        </w:tc>
        <w:tc>
          <w:tcPr>
            <w:tcW w:w="1204" w:type="dxa"/>
            <w:tcBorders>
              <w:bottom w:val="single" w:sz="2" w:space="0" w:color="016836"/>
            </w:tcBorders>
            <w:shd w:fill="D8D8D8" w:val="clear"/>
            <w:vAlign w:val="center"/>
          </w:tcPr>
          <w:p>
            <w:pPr>
              <w:pStyle w:val="TableContents"/>
              <w:bidi w:val="0"/>
              <w:spacing w:before="0" w:after="283"/>
              <w:jc w:val="right"/>
              <w:rPr/>
            </w:pPr>
            <w:r>
              <w:rPr/>
              <w:t>1,993,296</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166"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Matthew Karasick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1/31/2024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10,340</w:t>
            </w:r>
            <w:r>
              <w:rPr>
                <w:sz w:val="9"/>
              </w:rPr>
              <w:t>6</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274,217</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4/17/2025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23,255</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616,723</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23,255</w:t>
            </w:r>
            <w:r>
              <w:rPr>
                <w:sz w:val="9"/>
              </w:rPr>
              <w:t>7</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616,723</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5/13/2025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17,081</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452,988</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17,082</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453,015</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12/15/2025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35,247</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934,750</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35,248</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934,777</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2" w:space="0" w:color="016836"/>
            </w:tcBorders>
            <w:shd w:fill="D8D8D8" w:val="clear"/>
            <w:vAlign w:val="center"/>
          </w:tcPr>
          <w:p>
            <w:pPr>
              <w:pStyle w:val="TableContents"/>
              <w:bidi w:val="0"/>
              <w:spacing w:lineRule="atLeast" w:line="168" w:before="0" w:after="0"/>
              <w:jc w:val="left"/>
              <w:rPr/>
            </w:pPr>
            <w:r>
              <w:rPr/>
              <w:t xml:space="preserve">Vihan Sharma </w:t>
            </w:r>
          </w:p>
        </w:tc>
        <w:tc>
          <w:tcPr>
            <w:tcW w:w="109"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52,300</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1,386,996</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4,359</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115,601</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12/12/2023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29,550</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783,666</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7,388</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195,930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38,448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1,019,641</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16,020</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424,850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right"/>
              <w:rPr/>
            </w:pPr>
            <w:r>
              <w:rPr/>
              <w:t>​</w:t>
            </w:r>
          </w:p>
        </w:tc>
        <w:tc>
          <w:tcPr>
            <w:tcW w:w="612" w:type="dxa"/>
            <w:tcBorders>
              <w:bottom w:val="single" w:sz="2" w:space="0" w:color="016836"/>
            </w:tcBorders>
            <w:shd w:fill="D8D8D8" w:val="clear"/>
            <w:vAlign w:val="center"/>
          </w:tcPr>
          <w:p>
            <w:pPr>
              <w:pStyle w:val="TableContents"/>
              <w:bidi w:val="0"/>
              <w:spacing w:before="0" w:after="283"/>
              <w:jc w:val="right"/>
              <w:rPr/>
            </w:pPr>
            <w:r>
              <w:rPr/>
              <w:t>5/13/2025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6" w:type="dxa"/>
            <w:tcBorders>
              <w:bottom w:val="single" w:sz="2" w:space="0" w:color="016836"/>
            </w:tcBorders>
            <w:shd w:fill="D8D8D8" w:val="clear"/>
            <w:vAlign w:val="center"/>
          </w:tcPr>
          <w:p>
            <w:pPr>
              <w:pStyle w:val="TableContents"/>
              <w:bidi w:val="0"/>
              <w:spacing w:before="0" w:after="283"/>
              <w:jc w:val="right"/>
              <w:rPr/>
            </w:pPr>
            <w:r>
              <w:rPr/>
              <w:t>43,558</w:t>
            </w:r>
            <w:r>
              <w:rPr>
                <w:sz w:val="9"/>
              </w:rPr>
              <w:t>5</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233" w:type="dxa"/>
            <w:tcBorders>
              <w:bottom w:val="single" w:sz="2" w:space="0" w:color="016836"/>
            </w:tcBorders>
            <w:shd w:fill="D8D8D8" w:val="clear"/>
            <w:vAlign w:val="center"/>
          </w:tcPr>
          <w:p>
            <w:pPr>
              <w:pStyle w:val="TableContents"/>
              <w:bidi w:val="0"/>
              <w:spacing w:before="0" w:after="283"/>
              <w:jc w:val="right"/>
              <w:rPr/>
            </w:pPr>
            <w:r>
              <w:rPr/>
              <w:t>$</w:t>
            </w:r>
          </w:p>
        </w:tc>
        <w:tc>
          <w:tcPr>
            <w:tcW w:w="1227" w:type="dxa"/>
            <w:tcBorders>
              <w:bottom w:val="single" w:sz="2" w:space="0" w:color="016836"/>
            </w:tcBorders>
            <w:shd w:fill="D8D8D8" w:val="clear"/>
            <w:vAlign w:val="center"/>
          </w:tcPr>
          <w:p>
            <w:pPr>
              <w:pStyle w:val="TableContents"/>
              <w:bidi w:val="0"/>
              <w:spacing w:before="0" w:after="283"/>
              <w:jc w:val="right"/>
              <w:rPr/>
            </w:pPr>
            <w:r>
              <w:rPr/>
              <w:t>1,155,158</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7" w:type="dxa"/>
            <w:tcBorders>
              <w:bottom w:val="single" w:sz="2" w:space="0" w:color="016836"/>
            </w:tcBorders>
            <w:shd w:fill="D8D8D8" w:val="clear"/>
            <w:vAlign w:val="center"/>
          </w:tcPr>
          <w:p>
            <w:pPr>
              <w:pStyle w:val="TableContents"/>
              <w:bidi w:val="0"/>
              <w:spacing w:before="0" w:after="283"/>
              <w:jc w:val="right"/>
              <w:rPr/>
            </w:pPr>
            <w:r>
              <w:rPr/>
              <w:t>43,559</w:t>
            </w:r>
            <w:r>
              <w:rPr>
                <w:sz w:val="9"/>
              </w:rPr>
              <w:t>3</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229" w:type="dxa"/>
            <w:tcBorders>
              <w:bottom w:val="single" w:sz="2" w:space="0" w:color="016836"/>
            </w:tcBorders>
            <w:shd w:fill="D8D8D8" w:val="clear"/>
            <w:vAlign w:val="center"/>
          </w:tcPr>
          <w:p>
            <w:pPr>
              <w:pStyle w:val="TableContents"/>
              <w:bidi w:val="0"/>
              <w:spacing w:before="0" w:after="283"/>
              <w:jc w:val="right"/>
              <w:rPr/>
            </w:pPr>
            <w:r>
              <w:rPr/>
              <w:t>$</w:t>
            </w:r>
          </w:p>
        </w:tc>
        <w:tc>
          <w:tcPr>
            <w:tcW w:w="1204" w:type="dxa"/>
            <w:tcBorders>
              <w:bottom w:val="single" w:sz="2" w:space="0" w:color="016836"/>
            </w:tcBorders>
            <w:shd w:fill="D8D8D8" w:val="clear"/>
            <w:vAlign w:val="center"/>
          </w:tcPr>
          <w:p>
            <w:pPr>
              <w:pStyle w:val="TableContents"/>
              <w:bidi w:val="0"/>
              <w:spacing w:before="0" w:after="283"/>
              <w:jc w:val="right"/>
              <w:rPr/>
            </w:pPr>
            <w:r>
              <w:rPr/>
              <w:t>1,155,185</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166"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Jerry C. Jones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5/17/2023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37,656</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998,637</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3,138</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83,220</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5/15/2024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21,531</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571,002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8,972</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237,937</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5/13/2025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 xml:space="preserve">26,477 </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702,170</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25,424</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674,244</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12" w:space="0" w:color="016836"/>
            </w:tcBorders>
            <w:shd w:fill="D8D8D8" w:val="clear"/>
            <w:vAlign w:val="center"/>
          </w:tcPr>
          <w:p>
            <w:pPr>
              <w:pStyle w:val="TableContents"/>
              <w:bidi w:val="0"/>
              <w:spacing w:lineRule="atLeast" w:line="168" w:before="0" w:after="0"/>
              <w:jc w:val="left"/>
              <w:rPr/>
            </w:pPr>
            <w:r>
              <w:rPr/>
              <w:t xml:space="preserve">Mohsin Hussain </w:t>
            </w:r>
          </w:p>
        </w:tc>
        <w:tc>
          <w:tcPr>
            <w:tcW w:w="109" w:type="dxa"/>
            <w:vMerge w:val="restart"/>
            <w:tcBorders>
              <w:bottom w:val="single" w:sz="1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16836"/>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34,518</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915,417</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vAlign w:val="center"/>
          </w:tcPr>
          <w:p>
            <w:pPr>
              <w:pStyle w:val="Normal"/>
              <w:bidi w:val="0"/>
              <w:jc w:val="left"/>
              <w:rPr/>
            </w:pPr>
            <w:r>
              <w:rPr/>
            </w:r>
          </w:p>
        </w:tc>
        <w:tc>
          <w:tcPr>
            <w:tcW w:w="1103"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31,528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836,123</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vAlign w:val="center"/>
          </w:tcPr>
          <w:p>
            <w:pPr>
              <w:pStyle w:val="Normal"/>
              <w:bidi w:val="0"/>
              <w:jc w:val="left"/>
              <w:rPr/>
            </w:pPr>
            <w:r>
              <w:rPr/>
            </w:r>
          </w:p>
        </w:tc>
        <w:tc>
          <w:tcPr>
            <w:tcW w:w="1103"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000000" w:val="clear"/>
            <w:vAlign w:val="center"/>
          </w:tcPr>
          <w:p>
            <w:pPr>
              <w:pStyle w:val="Normal"/>
              <w:bidi w:val="0"/>
              <w:jc w:val="left"/>
              <w:rPr/>
            </w:pPr>
            <w:r>
              <w:rPr/>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612" w:type="dxa"/>
            <w:tcBorders>
              <w:bottom w:val="single" w:sz="12" w:space="0" w:color="016836"/>
            </w:tcBorders>
            <w:shd w:fill="D8D8D8" w:val="clear"/>
            <w:tcMar>
              <w:bottom w:w="67" w:type="dxa"/>
            </w:tcMar>
            <w:vAlign w:val="center"/>
          </w:tcPr>
          <w:p>
            <w:pPr>
              <w:pStyle w:val="TableContents"/>
              <w:bidi w:val="0"/>
              <w:spacing w:before="0" w:after="283"/>
              <w:jc w:val="right"/>
              <w:rPr/>
            </w:pPr>
            <w:r>
              <w:rPr/>
              <w:t>5/13/2025</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986" w:type="dxa"/>
            <w:tcBorders>
              <w:bottom w:val="single" w:sz="12" w:space="0" w:color="016836"/>
            </w:tcBorders>
            <w:shd w:fill="D8D8D8" w:val="clear"/>
            <w:tcMar>
              <w:bottom w:w="67" w:type="dxa"/>
            </w:tcMar>
            <w:vAlign w:val="center"/>
          </w:tcPr>
          <w:p>
            <w:pPr>
              <w:pStyle w:val="TableContents"/>
              <w:bidi w:val="0"/>
              <w:spacing w:before="0" w:after="283"/>
              <w:jc w:val="right"/>
              <w:rPr/>
            </w:pPr>
            <w:r>
              <w:rPr/>
              <w:t>37,580</w:t>
            </w:r>
            <w:r>
              <w:rPr>
                <w:sz w:val="9"/>
              </w:rPr>
              <w:t>5</w:t>
            </w:r>
            <w:r>
              <w:rPr/>
              <w:t xml:space="preserve"> </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2" w:type="dxa"/>
            <w:tcBorders>
              <w:bottom w:val="single" w:sz="12" w:space="0" w:color="016836"/>
            </w:tcBorders>
            <w:shd w:fill="D8D8D8" w:val="clear"/>
            <w:vAlign w:val="center"/>
          </w:tcPr>
          <w:p>
            <w:pPr>
              <w:pStyle w:val="TableContents"/>
              <w:bidi w:val="0"/>
              <w:spacing w:before="0" w:after="283"/>
              <w:jc w:val="left"/>
              <w:rPr/>
            </w:pPr>
            <w:r>
              <w:rPr/>
              <w:t>​</w:t>
            </w:r>
          </w:p>
        </w:tc>
        <w:tc>
          <w:tcPr>
            <w:tcW w:w="233"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227" w:type="dxa"/>
            <w:tcBorders>
              <w:bottom w:val="single" w:sz="12" w:space="0" w:color="016836"/>
            </w:tcBorders>
            <w:shd w:fill="D8D8D8" w:val="clear"/>
            <w:tcMar>
              <w:bottom w:w="67" w:type="dxa"/>
            </w:tcMar>
            <w:vAlign w:val="center"/>
          </w:tcPr>
          <w:p>
            <w:pPr>
              <w:pStyle w:val="TableContents"/>
              <w:bidi w:val="0"/>
              <w:spacing w:before="0" w:after="283"/>
              <w:jc w:val="right"/>
              <w:rPr/>
            </w:pPr>
            <w:r>
              <w:rPr/>
              <w:t>996,622</w:t>
            </w:r>
          </w:p>
        </w:tc>
        <w:tc>
          <w:tcPr>
            <w:tcW w:w="112"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987"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0" w:type="dxa"/>
            <w:tcBorders>
              <w:bottom w:val="single" w:sz="12" w:space="0" w:color="016836"/>
            </w:tcBorders>
            <w:shd w:fill="D8D8D8" w:val="clear"/>
            <w:vAlign w:val="center"/>
          </w:tcPr>
          <w:p>
            <w:pPr>
              <w:pStyle w:val="TableContents"/>
              <w:bidi w:val="0"/>
              <w:spacing w:before="0" w:after="283"/>
              <w:jc w:val="left"/>
              <w:rPr/>
            </w:pPr>
            <w:r>
              <w:rPr/>
              <w:t>​</w:t>
            </w:r>
          </w:p>
        </w:tc>
        <w:tc>
          <w:tcPr>
            <w:tcW w:w="22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20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0" w:type="dxa"/>
            <w:tcBorders>
              <w:bottom w:val="single" w:sz="12" w:space="0" w:color="016836"/>
            </w:tcBorders>
            <w:shd w:fill="D8D8D8" w:val="clear"/>
            <w:vAlign w:val="center"/>
          </w:tcPr>
          <w:p>
            <w:pPr>
              <w:pStyle w:val="TableContents"/>
              <w:bidi w:val="0"/>
              <w:spacing w:before="0" w:after="283"/>
              <w:jc w:val="left"/>
              <w:rPr/>
            </w:pPr>
            <w:r>
              <w:rPr/>
              <w:t>​</w:t>
            </w:r>
          </w:p>
        </w:tc>
        <w:tc>
          <w:tcPr>
            <w:tcW w:w="166" w:type="dxa"/>
            <w:tcBorders>
              <w:bottom w:val="single" w:sz="12" w:space="0" w:color="016836"/>
            </w:tcBorders>
            <w:shd w:fill="D8D8D8" w:val="cle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value was determined by multiplying the number of unvested shares or units by the closing price of Common Stock on March 31, 2026 (the last business day of fiscal 2026), which was $26.52.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08">
                <wp:simplePos x="0" y="0"/>
                <wp:positionH relativeFrom="column">
                  <wp:align>left</wp:align>
                </wp:positionH>
                <wp:positionV relativeFrom="line">
                  <wp:align>top</wp:align>
                </wp:positionV>
                <wp:extent cx="254000" cy="254000"/>
                <wp:effectExtent l="0" t="0" r="0" b="0"/>
                <wp:wrapSquare wrapText="right"/>
                <wp:docPr id="1001" name="Frame96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outstanding and unvested awards of PSUs (at target) granted in fiscal 2024 subject to attainment of performance goals with the number of shares earned ranging from 0% to 200% of target. The awards are scheduled to vest, if at all, based (i) 70% on the average of our combined revenue growth percentage and EBITDA margin percentage for each fiscal year during the three-year performance period, commencing on April 1, 2023 and ending on March 31, 2026 and (ii) 30% on our relative TSR compared to the Russell 2000 Index as measured over a three-year performance period, commencing on April 1, 2023 and ending on March 31, 2026.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For more information on the final attainment under the fiscal 2024 PSUs, see the “</w:t>
      </w:r>
      <w:r>
        <w:rPr>
          <w:rFonts w:ascii="Arial;Helvetica;sans-serif" w:hAnsi="Arial;Helvetica;sans-serif"/>
          <w:b w:val="false"/>
          <w:i/>
          <w:caps w:val="false"/>
          <w:smallCaps w:val="false"/>
          <w:color w:val="000000"/>
          <w:sz w:val="16"/>
        </w:rPr>
        <w:t>Fiscal 2026 Compensation Outcomes</w:t>
      </w:r>
      <w:r>
        <w:rPr>
          <w:rFonts w:ascii="Arial;Helvetica;sans-serif" w:hAnsi="Arial;Helvetica;sans-serif"/>
          <w:b w:val="false"/>
          <w:i w:val="false"/>
          <w:caps w:val="false"/>
          <w:smallCaps w:val="false"/>
          <w:color w:val="000000"/>
          <w:sz w:val="16"/>
        </w:rPr>
        <w:t>” section of the Compensation Discussion and Analysis. With respect to the promotional PSU awards granted on November 14, 2023 and December 12, 2023 to Ms. Dillard and Mr. Sharma, respectively, such awards, to the extent earned, will vest on November 22, 2026 and December 22, 2026, respectively, subject to the applicable recipient’s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1009">
                <wp:simplePos x="0" y="0"/>
                <wp:positionH relativeFrom="column">
                  <wp:align>left</wp:align>
                </wp:positionH>
                <wp:positionV relativeFrom="line">
                  <wp:align>top</wp:align>
                </wp:positionV>
                <wp:extent cx="254000" cy="254000"/>
                <wp:effectExtent l="0" t="0" r="0" b="0"/>
                <wp:wrapSquare wrapText="right"/>
                <wp:docPr id="1002" name="Frame96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Represents awards of RSUs that initially vested (or will vest) one-third on the 22nd day of the month of the first anniversary of their respective grant dates, with the remainder vesting in equal amounts quarterly until fully vested. Such awards will fully vest on the 22nd day of the month of the third anniversary of their grant date. For Mr. Jones, certain additional shares have been withheld to cover tax obligations as a result of his retirement eligibility under the 2005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0">
                <wp:simplePos x="0" y="0"/>
                <wp:positionH relativeFrom="column">
                  <wp:align>left</wp:align>
                </wp:positionH>
                <wp:positionV relativeFrom="line">
                  <wp:align>top</wp:align>
                </wp:positionV>
                <wp:extent cx="254000" cy="254000"/>
                <wp:effectExtent l="0" t="0" r="0" b="0"/>
                <wp:wrapSquare wrapText="right"/>
                <wp:docPr id="1003" name="Frame96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outstanding and unvested awards of PSUs (at target) granted in fiscal 2025 subject to attainment of performance goals with the number of shares earned ranging from 0% to 200% of target. The awards are scheduled to vest, if at all, based (i) 70% on the average of our combined revenue growth percentage and EBITDA margin percentage for each fiscal year during the three-year performance period, commencing on April 1, 2024 and ending on March 31, 2027 and (ii) 30% on our relative TSR compared to the Russell 2000 Index as measured over a three-year performance period, commencing on April 1, 2024 and ending on March 31, 2027.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The actual number of shares earned will be determined by the Talent and Compensation Committee after the end of the three-year performance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1">
                <wp:simplePos x="0" y="0"/>
                <wp:positionH relativeFrom="column">
                  <wp:align>left</wp:align>
                </wp:positionH>
                <wp:positionV relativeFrom="line">
                  <wp:align>top</wp:align>
                </wp:positionV>
                <wp:extent cx="254000" cy="254000"/>
                <wp:effectExtent l="0" t="0" r="0" b="0"/>
                <wp:wrapSquare wrapText="right"/>
                <wp:docPr id="1004" name="Frame9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These amounts represent outstanding and unvested awards of PSUs (at target) granted in fiscal 2026 subject to attainment of performance goals with the number of shares earned ranging from 0% to 200% of target. The awards are scheduled to vest, if at all, based (i) 70% on the </w:t>
      </w:r>
      <w:r>
        <mc:AlternateContent>
          <mc:Choice Requires="wps">
            <w:drawing>
              <wp:anchor behindDoc="0" distT="10160" distB="0" distL="0" distR="0" simplePos="0" locked="0" layoutInCell="1" allowOverlap="1" relativeHeight="1012">
                <wp:simplePos x="0" y="0"/>
                <wp:positionH relativeFrom="column">
                  <wp:align>left</wp:align>
                </wp:positionH>
                <wp:positionV relativeFrom="line">
                  <wp:align>top</wp:align>
                </wp:positionV>
                <wp:extent cx="254000" cy="254000"/>
                <wp:effectExtent l="0" t="0" r="0" b="0"/>
                <wp:wrapSquare wrapText="right"/>
                <wp:docPr id="1005" name="Frame9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5.</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average of our combined revenue growth percentage and EBITDA margin percentage for each fiscal year during the three-year performance period, commencing on April 1, 2025 and ending on March 31, 2028 and (ii) 30% on our relative TSR compared to the Russell 2000 Index as measured over a three-year performance period, commencing on April 1, 2025 and ending on March 31, 2028.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The actual number of shares earned will be determined by the Talent and Compensation Committee after the end of the three-year performance period. With respect to the promotional PSU award granted on December 15, 2025 to Mr. Karasick, such award will vest, to the extent earned, subject to Mr. Karasick’s continued employment through December 22, 2028.</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Represents awards of RSUs that initially vested one-third on February 22, 2025, with the remainder vesting in equal amounts quarterly until fully vested. Such awards will fully vest on January 31, 2027.</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13">
                <wp:simplePos x="0" y="0"/>
                <wp:positionH relativeFrom="column">
                  <wp:align>left</wp:align>
                </wp:positionH>
                <wp:positionV relativeFrom="line">
                  <wp:align>top</wp:align>
                </wp:positionV>
                <wp:extent cx="254000" cy="350520"/>
                <wp:effectExtent l="0" t="0" r="0" b="0"/>
                <wp:wrapSquare wrapText="right"/>
                <wp:docPr id="1006" name="Frame9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Represents awards of RSUs with one-third scheduled to vest on May 22, 2026 and the remainder vesting in equal amounts quarterly until fully vested. Such awards will fully vest on May 22, 2028. </w:t>
      </w:r>
      <w:r>
        <mc:AlternateContent>
          <mc:Choice Requires="wps">
            <w:drawing>
              <wp:anchor behindDoc="0" distT="12700" distB="0" distL="0" distR="0" simplePos="0" locked="0" layoutInCell="1" allowOverlap="1" relativeHeight="1014">
                <wp:simplePos x="0" y="0"/>
                <wp:positionH relativeFrom="column">
                  <wp:align>left</wp:align>
                </wp:positionH>
                <wp:positionV relativeFrom="line">
                  <wp:align>top</wp:align>
                </wp:positionV>
                <wp:extent cx="254000" cy="350520"/>
                <wp:effectExtent l="0" t="0" r="0" b="0"/>
                <wp:wrapSquare wrapText="right"/>
                <wp:docPr id="1007" name="Frame9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OEAS"/>
      <w:bookmarkEnd w:id="153"/>
      <w:r>
        <w:rPr>
          <w:rFonts w:ascii="calibri;arial;sans-serif" w:hAnsi="calibri;arial;sans-serif"/>
          <w:b w:val="false"/>
          <w:i w:val="false"/>
          <w:caps w:val="false"/>
          <w:smallCaps w:val="false"/>
          <w:color w:val="000000"/>
          <w:sz w:val="16"/>
        </w:rPr>
        <w:t>​</w:t>
      </w:r>
      <w:bookmarkStart w:id="154" w:name="tNDC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Option Exercises and Stock Vested During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value realized by our Named Executive Officers on option exercises and stock awards vesting during fiscal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576"/>
        <w:gridCol w:w="109"/>
        <w:gridCol w:w="109"/>
        <w:gridCol w:w="145"/>
        <w:gridCol w:w="145"/>
        <w:gridCol w:w="1182"/>
        <w:gridCol w:w="145"/>
        <w:gridCol w:w="109"/>
        <w:gridCol w:w="109"/>
        <w:gridCol w:w="118"/>
        <w:gridCol w:w="247"/>
        <w:gridCol w:w="1296"/>
        <w:gridCol w:w="118"/>
        <w:gridCol w:w="109"/>
        <w:gridCol w:w="109"/>
        <w:gridCol w:w="145"/>
        <w:gridCol w:w="145"/>
        <w:gridCol w:w="1182"/>
        <w:gridCol w:w="145"/>
        <w:gridCol w:w="109"/>
        <w:gridCol w:w="109"/>
        <w:gridCol w:w="118"/>
        <w:gridCol w:w="247"/>
        <w:gridCol w:w="1296"/>
        <w:gridCol w:w="118"/>
        <w:gridCol w:w="161"/>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57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14" w:type="dxa"/>
            <w:gridSpan w:val="10"/>
            <w:tcBorders>
              <w:bottom w:val="single" w:sz="6" w:space="0" w:color="FEFEFE"/>
            </w:tcBorders>
            <w:shd w:fill="000000" w:val="clear"/>
            <w:tcMar>
              <w:bottom w:w="33" w:type="dxa"/>
            </w:tcMar>
            <w:vAlign w:val="center"/>
          </w:tcPr>
          <w:p>
            <w:pPr>
              <w:pStyle w:val="TableContents"/>
              <w:bidi w:val="0"/>
              <w:spacing w:before="0" w:after="0"/>
              <w:jc w:val="center"/>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14" w:type="dxa"/>
            <w:gridSpan w:val="10"/>
            <w:tcBorders>
              <w:bottom w:val="single" w:sz="6" w:space="0" w:color="FEFEFE"/>
            </w:tcBorders>
            <w:shd w:fill="000000" w:val="clear"/>
            <w:tcMar>
              <w:bottom w:w="33" w:type="dxa"/>
            </w:tcMar>
            <w:vAlign w:val="center"/>
          </w:tcPr>
          <w:p>
            <w:pPr>
              <w:pStyle w:val="TableContents"/>
              <w:bidi w:val="0"/>
              <w:spacing w:before="0" w:after="0"/>
              <w:jc w:val="center"/>
              <w:rPr/>
            </w:pPr>
            <w:r>
              <w:rPr/>
              <w:t xml:space="preserve">Stock Awards </w:t>
            </w:r>
          </w:p>
        </w:tc>
        <w:tc>
          <w:tcPr>
            <w:tcW w:w="161"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576"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17" w:type="dxa"/>
            <w:gridSpan w:val="4"/>
            <w:tcBorders/>
            <w:shd w:fill="000000" w:val="clear"/>
            <w:tcMar>
              <w:bottom w:w="0" w:type="dxa"/>
            </w:tcMar>
            <w:vAlign w:val="center"/>
          </w:tcPr>
          <w:p>
            <w:pPr>
              <w:pStyle w:val="TableContents"/>
              <w:bidi w:val="0"/>
              <w:spacing w:before="0" w:after="0"/>
              <w:jc w:val="center"/>
              <w:rPr/>
            </w:pPr>
            <w:r>
              <w:rPr/>
              <w:t>Number of Shares</w:t>
              <w:br/>
              <w:t>Acquired on</w:t>
              <w:br/>
              <w:t>Exercise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79" w:type="dxa"/>
            <w:gridSpan w:val="4"/>
            <w:tcBorders/>
            <w:shd w:fill="000000" w:val="clear"/>
            <w:tcMar>
              <w:bottom w:w="0" w:type="dxa"/>
            </w:tcMar>
            <w:vAlign w:val="center"/>
          </w:tcPr>
          <w:p>
            <w:pPr>
              <w:pStyle w:val="TableContents"/>
              <w:bidi w:val="0"/>
              <w:spacing w:lineRule="atLeast" w:line="142" w:before="0" w:after="0"/>
              <w:jc w:val="center"/>
              <w:rPr/>
            </w:pPr>
            <w:r>
              <w:rPr/>
              <w:t>Value Realized on</w:t>
              <w:br/>
              <w:t>Exercise</w:t>
              <w:br/>
              <w:t>($)</w:t>
            </w:r>
            <w:r>
              <w:rPr>
                <w:sz w:val="13"/>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17" w:type="dxa"/>
            <w:gridSpan w:val="4"/>
            <w:tcBorders/>
            <w:shd w:fill="000000" w:val="clear"/>
            <w:tcMar>
              <w:bottom w:w="0" w:type="dxa"/>
            </w:tcMar>
            <w:vAlign w:val="center"/>
          </w:tcPr>
          <w:p>
            <w:pPr>
              <w:pStyle w:val="TableContents"/>
              <w:bidi w:val="0"/>
              <w:spacing w:before="0" w:after="0"/>
              <w:jc w:val="center"/>
              <w:rPr/>
            </w:pPr>
            <w:r>
              <w:rPr/>
              <w:t>Number of Shares</w:t>
              <w:br/>
              <w:t>Acquired on</w:t>
              <w:br/>
              <w:t>Vesting</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79" w:type="dxa"/>
            <w:gridSpan w:val="4"/>
            <w:tcBorders/>
            <w:shd w:fill="000000" w:val="clear"/>
            <w:tcMar>
              <w:bottom w:w="0" w:type="dxa"/>
            </w:tcMar>
            <w:vAlign w:val="center"/>
          </w:tcPr>
          <w:p>
            <w:pPr>
              <w:pStyle w:val="TableContents"/>
              <w:bidi w:val="0"/>
              <w:spacing w:lineRule="atLeast" w:line="142" w:before="0" w:after="0"/>
              <w:jc w:val="center"/>
              <w:rPr/>
            </w:pPr>
            <w:r>
              <w:rPr/>
              <w:t>Value Realized on</w:t>
              <w:br/>
              <w:t>Vesting</w:t>
              <w:br/>
              <w:t>($)</w:t>
            </w:r>
            <w:r>
              <w:rPr>
                <w:sz w:val="13"/>
              </w:rPr>
              <w:t>2</w:t>
            </w:r>
            <w:r>
              <w:rPr/>
              <w:t xml:space="preserve"> </w:t>
            </w:r>
          </w:p>
        </w:tc>
        <w:tc>
          <w:tcPr>
            <w:tcW w:w="161"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174,847</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 </w:t>
            </w:r>
            <w:r>
              <w:rPr/>
              <w:t>2,059,698</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205,381</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 </w:t>
            </w:r>
            <w:r>
              <w:rPr/>
              <w:t>6,563,148</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91,283</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2,771,233</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61"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10,340</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299,421</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89,538</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2,764,270</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61"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43,289</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1,360,567</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576" w:type="dxa"/>
            <w:tcBorders>
              <w:bottom w:val="single" w:sz="12" w:space="0" w:color="016836"/>
            </w:tcBorders>
            <w:shd w:fill="D8D8D8" w:val="clear"/>
            <w:tcMar>
              <w:bottom w:w="30" w:type="dxa"/>
            </w:tcMar>
            <w:vAlign w:val="center"/>
          </w:tcPr>
          <w:p>
            <w:pPr>
              <w:pStyle w:val="TableContents"/>
              <w:bidi w:val="0"/>
              <w:spacing w:before="0" w:after="283"/>
              <w:jc w:val="left"/>
              <w:rPr/>
            </w:pPr>
            <w:r>
              <w:rPr/>
              <w:t xml:space="preserve">Mohsin Hussain </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182"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247"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296"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12" w:space="0" w:color="016836"/>
            </w:tcBorders>
            <w:shd w:fill="D8D8D8" w:val="clear"/>
            <w:tcMar>
              <w:bottom w:w="30" w:type="dxa"/>
            </w:tcMar>
            <w:vAlign w:val="center"/>
          </w:tcPr>
          <w:p>
            <w:pPr>
              <w:pStyle w:val="TableContents"/>
              <w:bidi w:val="0"/>
              <w:spacing w:before="0" w:after="283"/>
              <w:jc w:val="right"/>
              <w:rPr/>
            </w:pPr>
            <w:r>
              <w:rPr/>
              <w:t>56,468</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247"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12" w:space="0" w:color="016836"/>
            </w:tcBorders>
            <w:shd w:fill="D8D8D8" w:val="clear"/>
            <w:tcMar>
              <w:bottom w:w="30" w:type="dxa"/>
            </w:tcMar>
            <w:vAlign w:val="center"/>
          </w:tcPr>
          <w:p>
            <w:pPr>
              <w:pStyle w:val="TableContents"/>
              <w:bidi w:val="0"/>
              <w:spacing w:before="0" w:after="283"/>
              <w:jc w:val="right"/>
              <w:rPr/>
            </w:pPr>
            <w:r>
              <w:rPr/>
              <w:t>1,784,227</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161" w:type="dxa"/>
            <w:tcBorders>
              <w:bottom w:val="single" w:sz="12" w:space="0" w:color="016836"/>
            </w:tcBorders>
            <w:shd w:fill="D8D8D8" w:val="cle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option awards values were determined by multiplying the number of shares acquired upon exercise by the difference between the strike price of the options and the market price of the Company’s Common Stock on the exercise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15">
                <wp:simplePos x="0" y="0"/>
                <wp:positionH relativeFrom="column">
                  <wp:align>left</wp:align>
                </wp:positionH>
                <wp:positionV relativeFrom="line">
                  <wp:align>top</wp:align>
                </wp:positionV>
                <wp:extent cx="254000" cy="254000"/>
                <wp:effectExtent l="0" t="0" r="0" b="0"/>
                <wp:wrapSquare wrapText="right"/>
                <wp:docPr id="1008" name="Frame97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stock awards values were determined by multiplying the number of shares acquired on vesting by the closing market price of the Company’s Common Stock on the vesting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16">
                <wp:simplePos x="0" y="0"/>
                <wp:positionH relativeFrom="column">
                  <wp:align>left</wp:align>
                </wp:positionH>
                <wp:positionV relativeFrom="line">
                  <wp:align>top</wp:align>
                </wp:positionV>
                <wp:extent cx="254000" cy="254000"/>
                <wp:effectExtent l="0" t="0" r="0" b="0"/>
                <wp:wrapSquare wrapText="right"/>
                <wp:docPr id="1009" name="Frame97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Nonqualified Deferred Compensation During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maintains the LiveRamp Holdings Non-Qualified Deferral Plan, or SERP, that includes participation by our NEOs.</w:t>
      </w:r>
      <w:r>
        <w:rPr>
          <w:rFonts w:ascii="Arial;Helvetica;sans-serif" w:hAnsi="Arial;Helvetica;sans-serif"/>
          <w:b w:val="false"/>
          <w:i w:val="false"/>
          <w:caps w:val="false"/>
          <w:smallCaps w:val="false"/>
          <w:color w:val="000000"/>
          <w:spacing w:val="4"/>
          <w:sz w:val="20"/>
        </w:rPr>
        <w:t xml:space="preserve"> </w:t>
      </w:r>
    </w:p>
    <w:tbl>
      <w:tblPr>
        <w:tblW w:w="9606" w:type="dxa"/>
        <w:jc w:val="left"/>
        <w:tblInd w:w="680" w:type="dxa"/>
        <w:tblLayout w:type="fixed"/>
        <w:tblCellMar>
          <w:top w:w="0" w:type="dxa"/>
          <w:left w:w="0" w:type="dxa"/>
          <w:bottom w:w="0" w:type="dxa"/>
          <w:right w:w="0" w:type="dxa"/>
        </w:tblCellMar>
      </w:tblPr>
      <w:tblGrid>
        <w:gridCol w:w="124"/>
        <w:gridCol w:w="946"/>
        <w:gridCol w:w="109"/>
        <w:gridCol w:w="109"/>
        <w:gridCol w:w="109"/>
        <w:gridCol w:w="226"/>
        <w:gridCol w:w="1006"/>
        <w:gridCol w:w="109"/>
        <w:gridCol w:w="109"/>
        <w:gridCol w:w="109"/>
        <w:gridCol w:w="192"/>
        <w:gridCol w:w="399"/>
        <w:gridCol w:w="611"/>
        <w:gridCol w:w="194"/>
        <w:gridCol w:w="109"/>
        <w:gridCol w:w="109"/>
        <w:gridCol w:w="109"/>
        <w:gridCol w:w="226"/>
        <w:gridCol w:w="1006"/>
        <w:gridCol w:w="109"/>
        <w:gridCol w:w="109"/>
        <w:gridCol w:w="109"/>
        <w:gridCol w:w="111"/>
        <w:gridCol w:w="232"/>
        <w:gridCol w:w="909"/>
        <w:gridCol w:w="114"/>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Executive</w:t>
              <w:br/>
              <w:t>Contributions</w:t>
              <w:br/>
              <w:t>in Fiscal</w:t>
              <w:br/>
              <w:t xml:space="preserve">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6" w:type="dxa"/>
            <w:gridSpan w:val="4"/>
            <w:tcBorders/>
            <w:shd w:fill="000000" w:val="clear"/>
            <w:vAlign w:val="center"/>
          </w:tcPr>
          <w:p>
            <w:pPr>
              <w:pStyle w:val="TableContents"/>
              <w:bidi w:val="0"/>
              <w:spacing w:lineRule="atLeast" w:line="142" w:before="0" w:after="0"/>
              <w:jc w:val="center"/>
              <w:rPr/>
            </w:pPr>
            <w:r>
              <w:rPr/>
              <w:t>Registrant</w:t>
              <w:br/>
              <w:t>Contributions</w:t>
              <w:br/>
              <w:t>in Fiscal</w:t>
              <w:br/>
              <w:t>2026</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lineRule="atLeast" w:line="142" w:before="0" w:after="0"/>
              <w:jc w:val="center"/>
              <w:rPr/>
            </w:pPr>
            <w:r>
              <w:rPr/>
              <w:t>Aggregate</w:t>
              <w:br/>
              <w:t>Earnings</w:t>
              <w:br/>
              <w:t>in Fiscal</w:t>
              <w:br/>
              <w:t>2026</w:t>
            </w:r>
            <w:r>
              <w:rPr>
                <w:sz w:val="13"/>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66" w:type="dxa"/>
            <w:gridSpan w:val="4"/>
            <w:tcBorders/>
            <w:shd w:fill="000000" w:val="clear"/>
            <w:vAlign w:val="center"/>
          </w:tcPr>
          <w:p>
            <w:pPr>
              <w:pStyle w:val="TableContents"/>
              <w:bidi w:val="0"/>
              <w:spacing w:before="0" w:after="0"/>
              <w:jc w:val="center"/>
              <w:rPr/>
            </w:pPr>
            <w:r>
              <w:rPr/>
              <w:t>Aggregate</w:t>
              <w:br/>
              <w:t>Withdrawals/​</w:t>
              <w:br/>
              <w:t xml:space="preserve">Distributions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Aggregate</w:t>
              <w:br/>
              <w:t>Balance at</w:t>
              <w:br/>
              <w:t>3/31/2026</w:t>
            </w:r>
            <w:r>
              <w:rPr>
                <w:sz w:val="13"/>
              </w:rPr>
              <w:t>3</w:t>
            </w:r>
            <w:r>
              <w:rP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 —</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41,843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1,623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49,293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74,520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 </w:t>
            </w:r>
            <w:r>
              <w:rPr/>
              <w:t>31,118</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682,476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12" w:space="0" w:color="016836"/>
            </w:tcBorders>
            <w:shd w:fill="D8D8D8" w:val="clear"/>
            <w:tcMar>
              <w:bottom w:w="30" w:type="dxa"/>
            </w:tcMar>
            <w:vAlign w:val="center"/>
          </w:tcPr>
          <w:p>
            <w:pPr>
              <w:pStyle w:val="TableContents"/>
              <w:bidi w:val="0"/>
              <w:spacing w:before="0" w:after="283"/>
              <w:jc w:val="left"/>
              <w:rPr/>
            </w:pPr>
            <w:r>
              <w:rPr/>
              <w:t xml:space="preserve">Mohsin Hussain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269,831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134,101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1,061,446</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plan does not provide for registrant contributions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5410" distB="0" distL="0" distR="0" simplePos="0" locked="0" layoutInCell="1" allowOverlap="1" relativeHeight="1017">
                <wp:simplePos x="0" y="0"/>
                <wp:positionH relativeFrom="column">
                  <wp:align>left</wp:align>
                </wp:positionH>
                <wp:positionV relativeFrom="line">
                  <wp:align>top</wp:align>
                </wp:positionV>
                <wp:extent cx="254000" cy="254000"/>
                <wp:effectExtent l="0" t="0" r="0" b="0"/>
                <wp:wrapSquare wrapText="right"/>
                <wp:docPr id="1010" name="Frame9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With respect to Mr. Karasick, Mr. Jones and Mr. Hussain, there were above-market earnings and these are reflected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8">
                <wp:simplePos x="0" y="0"/>
                <wp:positionH relativeFrom="column">
                  <wp:align>left</wp:align>
                </wp:positionH>
                <wp:positionV relativeFrom="line">
                  <wp:align>top</wp:align>
                </wp:positionV>
                <wp:extent cx="254000" cy="254000"/>
                <wp:effectExtent l="0" t="0" r="0" b="0"/>
                <wp:wrapSquare wrapText="right"/>
                <wp:docPr id="1011" name="Frame97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All amounts contributed by an NEO and LiveRamp in prior years have been reported in the Summary Compensation Tables in our previously filed proxy statements in the year earned to the extent the NEO was an NEO for purposes of the SEC’s executive compensation disclosure.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9">
                <wp:simplePos x="0" y="0"/>
                <wp:positionH relativeFrom="column">
                  <wp:align>left</wp:align>
                </wp:positionH>
                <wp:positionV relativeFrom="line">
                  <wp:align>top</wp:align>
                </wp:positionV>
                <wp:extent cx="254000" cy="254000"/>
                <wp:effectExtent l="0" t="0" r="0" b="0"/>
                <wp:wrapSquare wrapText="right"/>
                <wp:docPr id="1012" name="Frame9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Nonqualified Deferral Plan or SERP</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SERP is to provide eligible employees with the ability to defer cash compensation in excess of certain limits that apply under the Company’s 401(k) plan. The plan does not include a matching company contribution. Participants may defer up to 90% of their pre-tax income. The investment choices for participant contributions under the SERP are similar to those provided under the 401(k) plan. A participant’s contributions are deemed to be invested in certain funds in accordance with his or her election, and earnings are calculated based on the performance of the selected funds. The participant does not actually own any shares in the investments.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deferring compensation, participants must elect the time and manner of their account payouts. Benefits are paid, as elected by the participant at the time of the deferral, in the form of a single lump sum payment, equal annual installments over a period of years or an annuity. Under limited circumstances, participants may change the time and manner of their account payouts or receive distributions because of a financial hardship or other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PPUT"/>
      <w:bookmarkEnd w:id="155"/>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Potential Payments Upon Termination or Change in Control</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tables and narrative below reflect the amount of compensation payable to each of the Named Executive Officers in the event of termination of the executive’s employment under the various circumstances described. The amounts shown assume that the termination was effective as of March 31, 2026. These are only estimates of the amounts which would be paid to the Named Executive Officers upon their termination. The actual amounts to be paid can only be determined at the time of an executive’s actual separation from the Company. Compensation of our Named Executive Officers will be impacted by the Closing of the Merger. For additional information see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beginning on page [  ]. Payments or benefits generally available to all employees on similar terms are not described. All terms not otherwise defined herein shall have the meanings set forth in the Howe Agreement or the Severance Policy,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Potential Payments Upon Termination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Regardless of the manner in which a Named Executive Officer’s employment terminates, he or she may be entitled to receive amounts earned during his/her term of employment. These amounts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 salary earned through the date of termination;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0">
                <wp:simplePos x="0" y="0"/>
                <wp:positionH relativeFrom="column">
                  <wp:align>left</wp:align>
                </wp:positionH>
                <wp:positionV relativeFrom="line">
                  <wp:align>top</wp:align>
                </wp:positionV>
                <wp:extent cx="127000" cy="350520"/>
                <wp:effectExtent l="0" t="0" r="0" b="0"/>
                <wp:wrapSquare wrapText="right"/>
                <wp:docPr id="1013" name="Frame9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amounts accrued and vested through the Company’s 401(k) plan or SERP.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1">
                <wp:simplePos x="0" y="0"/>
                <wp:positionH relativeFrom="column">
                  <wp:align>left</wp:align>
                </wp:positionH>
                <wp:positionV relativeFrom="line">
                  <wp:align>top</wp:align>
                </wp:positionV>
                <wp:extent cx="127000" cy="350520"/>
                <wp:effectExtent l="0" t="0" r="0" b="0"/>
                <wp:wrapSquare wrapText="right"/>
                <wp:docPr id="1014" name="Frame9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 Mr. Howe entered into a new employment agreement with the Company effective February 14, 2018 (the “Howe Agreement”). Under the terms of the Howe Agreement, Mr. Howe is entitled to termination payments if he is terminated by us without cause or if he resigns for good reason. For this purpose “cause” is generally defined to include a willful failure to substantially perform duties following a cure period, intentional misconduct or gross negligence that is materially injurious to the Company, a conviction of a felony or a material breach of the agreement or other policy that remains following a cure period, and “good reason” is generally defined to include a material reduction or change in title, position or responsibilities, a reduction in salary, or breach of the agreement by the Company that remains following a cure period. Additionally, the Howe Agreement provides for certain payments in the case of non-renewal, change in control with termination of employment and death and disability.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 The LiveRamp Holdings, Inc. Executive Severance Policy (the “Severance Policy”), initially adopted on November 9, 2010 and amended thereafter from time to time, provides certain benefits to all officers of the Company designated as executive officers for purposes of Section 16 of the Exchange Act, except for those officers with employment agreements in effect, in the event of a without cause termination or following a change in control, a without cause termination or resignation for good reason. For this purpose, “cause” is generally defined to include a willful failure to substantially perform duties following a cure period, willful misconduct, gross negligence that is materially injurious to the Company, a conviction of a felony or fraud crime, or a material breach of the Severance Policy or other policy that remains after a cure period. As of the end of fiscal year 2026, Ms. Dillard, Mr. Karasick, Mr. Sharma and Mr. Jones were covered by the terms of the Severance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Change in Control.</w:t>
      </w:r>
      <w:r>
        <w:rPr>
          <w:rFonts w:ascii="Arial;Helvetica;sans-serif" w:hAnsi="Arial;Helvetica;sans-serif"/>
          <w:b w:val="false"/>
          <w:i w:val="false"/>
          <w:caps w:val="false"/>
          <w:smallCaps w:val="false"/>
          <w:color w:val="000000"/>
          <w:sz w:val="20"/>
        </w:rPr>
        <w:t xml:space="preserve"> The Howe Agreement, Severance Policy and 2005 Plan provide for certain payments and/or benefits upon the occurrence of a change in control of the Company. The 2005 Plan generally defines a change in control as a transaction involving (i) the consummation of a reorganization, merger, consolidation or similar transaction involving the Company (other than such a transaction in which our stockholders immediately prior to the transaction own more than 50% of the combined voting power entitled to vote in the election of directors of the surviving corporation), (ii) a sale of all or substantially all of the Company’s assets, (iii) the liquidation or dissolution of the Company, or (iv) the acquisition of a significant percentage (no less than beneficial ownership of 20%) of the voting power of the Company. The Severance Policy and Howe Agreement generally provide that a change in control includes (i) an acquisition of any Company securities entitled to vote generally in the election of directors by a person immediately after which such person has beneficial ownership of 30% or more of the combined voting power of the Company’s then-outstanding voting securities (excluding certain acquisitions that would not trigger a change in control), (ii) individuals who constitute the Board of the Company cease for any reason to constitute at least a majority of our Board (with certain exceptions), or (iii) consummation of reorganization, merger, consolidation, statutory share exchange or similar form of corporate transaction involving the Company, or the sale or other disposition of all or substantially all of the Company’s assets, or the acquisition of assets or stock of another corporation, unless immediately following the applicable transaction, (A) the pre-transaction stockholders beneficially own at least 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of the post-transaction combined voting power in substantially the same proportions as before the transaction, (B) members of the pre-transaction Board comprise at least a majority of the post-transaction Board, and (C) no person (with certain exceptions) has beneficial ownership of 30% or more of the combined voting power of the surviving corporation’s then-outstanding voting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2018, the Committee clarified its interpretation of change in control as follows: (i) a Potential Sale would constitute a change in control for purposes of the 2005 Plan and awards thereunder; (ii) for employees who, following a Potential Sale remain employed by us, a Potential Sale would not constitute a change in control for purposes of the Howe Agreement or the Severance Policy, except in the event that (x) we materially reduce an executive’s, including an NEO’s, total compensation or (y) an executive, including an NEO, is required to relocate, in either case, within 24 months of completing a Potential Sale, such executive will be entitled to claim a post-change in control good reason termination of employment under the applicable arrangement; and (iii) for employees who, following a Potential Sale, “go with” the division sold in a Potential Sale, a Potential Sale would be deemed to constitute a change in control for purposes of the Severance Policy, entitling such individuals to the enhanced severance payments and benefits in accordance with the terms of those arrangements. In 2018, the Company also amended the 2005 Plan to remove the Talent and Compensation Committee and Board of Director’s discretion in determining whether a change in control has occurred and provided for revised treatment of outstanding equity awards under the 2005 Plan upon a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a change of control, the treatment of PSUs is as follows: (i) the applicable performance period for such PSU awards will be truncated, (ii) a number of PSUs equal to the higher of the target number of shares granted and the number of PSUs that would vest based on the degree of achievement of the applicable performance objectives as of the change in control date will become eligible to vest, and (iii) the number of PSUs that were determined to be eligible to vest will be treated as unvested RSUs, and if assumed or substituted for by the acquiring or surviving entity (or an affiliate of such entity), will convert into RSUs of equal value to be settled in cash or shares by the acquiring or surviving entity (as determined pursuant to the definitive agreement relating to the change in control). If the executive officer remains employed with the acquiring or surviving entity through the end of the original performance period, the RSUs (i.e., the converted PSU awards) will become fully vested. Further, if within 24 months following a change in control, the executive officer’s employment is terminated without cause, he or she resigns for good reason, or if he or she dies or becomes disabled, the RSUs (i.e., the converted PSU awards), to the extent unvested, will become fully vested. If the RSU awards (i.e., the converted PSU awards) are not appropriately assumed or substituted by the acquiring or surviving entity (or an affiliate of such entity), then such converted RSU awards will fully vest in accordance with the terms of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Terminations Without Cause, Resignation for Good Reason or Non-Renewal</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 In the event of a qualifying termination other than in connection with a change in control, subject to the Company receiving a general release of claims from him, Mr. Howe will be entitled to receive: (i) all base salary and benefits payable through the date of termination, (ii) the amount of any cash bonus related to any fiscal year ending before the date of termination that has been earned but remains unpaid, (iii) a prorated bonus for the fiscal year in which termination occurs, (iv) an amount equal to 200% of base salary, (v) an amount equal to 200% of average annual bonus based on the preceding two years bonus payments prior to the fiscal year in which the termination occurs, (vi) any unpaid benefits to which he is entitled under any plan, policy or program of the Company applicable to him as of the termination according to the terms of the plan, policy or program, and (vii) vesting of a prorated portion of PSUs that are earned but unvested or for which the performance period is ongoing at the time of termination and at least one year of the performance period has elapsed, based upon the Company’s actual performance as determined following the completion of the applicable performance periods.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xml:space="preserve"> Under the Severance Policy, if an eligible participant is involuntarily terminated by the Company without cause other than in connection with a change in control, upon executing a general release of claims against the Company which includes one-year non-competition and non-solicitation restrictions, he or she will receive: (i) an amount equal to 100% of base salary, (ii) an amount equal to 100% of his or her average annual bonus based on their bonus payment for the preceding two years prior to termination (using target bonus for the portion of time he or she has been employed if less than two years), (iii) a prorated bonus based on the actual fiscal year results, (iv) plus, if the participant timely elects coverage under the Consolidated Omnibus Budget Reconciliation Act of 1986, as amended (“COBRA”), monthly payments to cover COBRA continuation coverage for the participant and his or 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eligible dependents for eighteen (18) months following the termination date and (v) a prorated portion of any PSUs that are earned but unvested or for which the performance period is ongoing at the time of termination and for which at least one year of the performance period has elapsed. The base salary and average annual bonus will be paid on regular paydays during the 12 months following the Severance Delay Period (as defined in the Severance Policy). The prorated bonus will be paid on the date when such bonus otherwise would be paid absent a termination of employment and following expiration of the Severance Delay Period. Vesting of PSUs will occur within 30 days of the expiration of the Severance Delay Period for PSUs earned but unvested at the time of termination and as soon as administratively practicable following the close of the performance period for PSUs related to performance periods that are ongoing at the time of termination and for which at least one year of the performance period has elapsed, based on actual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Retirement or Voluntary Termination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retirement or voluntary termination, the executive officers will receive earned but unpaid base compensation through his or her retirement or termination date and any amounts accrued and vested to which he or she is otherwise entitled under a plan, program or policy of the Company. In the event an executive officer retires on or after age 65 with at least five years of service, awards held by the executive officer under the 2005 Plan at retirement will continue to vest in accordance with their terms. For additional information on the equity awards held by each of our Named Executive Officers as of March 31, 2026, please see the “</w:t>
      </w:r>
      <w:r>
        <w:rPr>
          <w:rFonts w:ascii="Arial;Helvetica;sans-serif" w:hAnsi="Arial;Helvetica;sans-serif"/>
          <w:b w:val="false"/>
          <w:i/>
          <w:caps w:val="false"/>
          <w:smallCaps w:val="false"/>
          <w:color w:val="000000"/>
          <w:sz w:val="20"/>
        </w:rPr>
        <w:t>Outstanding Equity Awards at 2026 Fiscal Year End</w:t>
      </w:r>
      <w:r>
        <w:rPr>
          <w:rFonts w:ascii="Arial;Helvetica;sans-serif" w:hAnsi="Arial;Helvetica;sans-serif"/>
          <w:b w:val="false"/>
          <w:i w:val="false"/>
          <w:caps w:val="false"/>
          <w:smallCaps w:val="false"/>
          <w:color w:val="000000"/>
          <w:sz w:val="20"/>
        </w:rPr>
        <w:t>” table in this proxy statement. The table below does not include amounts that would be realized from this continued vesting of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Death or Disability</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death or disability, in addition to the payment of earned but unpaid base salary and amounts accrued and vested through the Company retirement plans, each of the named executive officers will receive benefits under the Company’s life insurance plan or disability plan, as applicable. Also, upon death or six months following commencement of long-term disability payments, all unvested RSUs and stock options will vest. In addition, all PSUs related to a completed performance period will vest based on actual Company attainment of the specified performance targets and a prorated portion of PSUs related to an uncompleted performance period will vest, provided that at least one year of the performance period has elapsed, with payment based on actual performance at the end of the performance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 The Howe Agreement provides that in the event of termination as a result of death or disability, Mr. Howe or his estate would be entitled to receive: (i) all base salary and benefits payable through the date of termination, (ii) any unpaid benefits to which he is entitled under any plan, policy or program of the Company applicable to him as of the date of termination according to the terms of the plan, policy or program, (iii) the amount of any cash bonus related to any fiscal year ending before the date of termination that has been earned but remains unpaid, and (iv) the amount of any target cash bonus for the fiscal year in which the date of termination occurs, prorated based on the portion of the applicable year he worked for the Company before the date of termination. The amounts in (i)-(iii) would be paid at the time it would otherwise have been paid had he remained employed. The amount in (iv) would be paid within 60 days of the date of termination.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Potential Payments Upon Change in Control</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 Under the terms of the Howe Agreement, Mr. Howe is eligible to receive change in control payments if he is terminated from employment by the Company without cause within 24 months following a change in control, or if he resigns for good reason within 24 months following a change in control. The amount payable in the event of a qualifying termination, subject to the Company receiving a general release of claims, is (i) all earned base salary and benefits payable through the date of termination, (ii) the amount of any cash bonus related to any fiscal year ending before the date of termination that has been earned but remains unpaid, (iii) an amount equal to 300% of his current base salary, (iv) an amount equal to 300% of average annual bonus based on the preceding two years bonus payments prior to the fiscal year in which the termination occurs, (v) prorated bonus for the fiscal year in which the termination occurs based on actual fiscal year results and (vi) any other unpaid benefits to which he is entitled under any plan, policy or program of the Company. In addition, all equity awards (other than PSUs) which are outstanding but unvested would vest. Payments under clauses (i)-(iv) would be made in a lump sum immediately following the Severance Delay Period (as defined in the Howe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PSU awards, unless provided otherwise in the applicable grant documents, upon the consummation of a change in control, the applicable performance period will be truncated, and a number of PSUs will become eligible to vest based on the degree of achievement of the applicable performance objectives as of the date of the change in control. The number of PSUs that were determined to be eligible to vest will be treated as unvested RSUs, and if assumed or substituted for by the acquiring or surviving entity in accordance with the terms of the definitive agreements relating to the change in control will convert into RSUs (or other compensatory arrangements) of equal value to be settled in cash or shares by the acquiring or surviving entity (or an affiliate of such entity), as applicable. In the event of continued employment with the acquiring or surviving entity (or an affiliate of such entity), through the end of the original performance period, the RSUs (i.e., the converted PSUs) will become fully vested and will be settled within 30 days of the performance period end date. If the RSU awards (i.e., the converted PSU awards) are not appropriately assumed or substituted by the acquiring or surviving entity (or an affiliate thereof), then such RSU awards will fully vest in accordance with the terms of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the event that Mr. Howe is terminated without cause or resigns for good reason following the public announcement of a Board-approved agreement to effect a change in control but prior to the consummation of the change in control, upon the consummation of the change in control he would receive, in addition to any amounts he received for a without-cause or good-reason termination: (i) an amount equal to the value of all unvested equity that was forfeited upon termination, except PSUs, that would have vested on or prior to a termination without cause or for good reason following a change in control had he remained employed until the change in control using the value of the Company’s Common Stock implied by the change in control price of the stock, and (ii) an amount equal to the difference between what was actually paid with respect to PSUs and that which would have been paid had he remained employed through the date of the change in control. Additionally, Mr. Howe shall be entitled to a payment equal to 100% of his then current base salary and 100% of his average annual bonus for the two years preceding the fiscal year in which the termination occurred. These payments shall be made on the later of the expiration of the Severance Delay Period applicable to the actual termination or contemporaneously with the change in control (or within 10 days thereafter).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xml:space="preserve">. Under the Severance Policy, benefits are due if an eligible participant is terminated by the Company without cause or resigns for good reason (which includes a resignation following a demotion, reduction in salary, relocation, or material reduction in responsibilities, authority or duties, as set forth in the Severance Policy) within a two-year period following a change in control. Upon execution of a general release of claims against the Company which include one-year non-competition and non-solicitation restrictions, benefits paid would include: (i) 150% of the base salary (or, if the participant serves as the Company’s chief financial officer, 200%), (ii) 150% of the average annual bonus for the two years preceding the fiscal year in which the termination occurs (or, if the participant serves as the Company’s chief financial officer, 200%), (iii) a prorated bonus based on the actual fiscal year results for the fiscal year in which the termination occurs, (iv) plus, if the participant timely elects COBRA continuation coverage, monthly payments to cover such coverage for the participant and his or her eligible dependents for eighteen (18) months following the termination date and (v) vesting of all equity awards except for PSUs. Benefits under clauses (i) and (ii) would be paid in a lump sum on the next regular payroll cycle following the expiration of the Severance Delay Period, benefits under clause (iii) would be paid on the date when such bonus otherwise would be paid absent a termination of employment and following expiration of the Severance Delay Period, and benefits under clause (v) would be processed within 30 days of the expiration of the Severance Delay Period. Regardless of whether an eligible participant is terminated, unless provided otherwise in the applicable grant documents, at the time of a change in control, the applicable performance period for PSUs will be truncated and that number of PSUs as determined by the degree of achievement of the performance objectives as of that time will be treated as unvested RSUs and if assumed or substituted by the acquiring or surviving entity will convert into RSUs of equal value to be settled in cash or shares by the acquiring or surviving entity. If the executive officer remains employed with the acquiring or surviving entity through the end of the applicable performance period, the PSU awards will become fully vested. Further, if within 24 months following a change in control, the executive officer’s employment is terminated without cause, he or she resigns for good reason, or he or she dies or becomes disabled, the PSU awards, to the extent unvested, will become fully vested.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potential payments upon a hypothetical termination or change in control of the Company effective March 31, 2026 for all NEOs. The actual amount of compensation and benefits paid to Mr. Hussain as a result of the termination of his employment is described in the Compensation Discussion and Analysis under the heading “</w:t>
      </w:r>
      <w:r>
        <w:rPr>
          <w:rFonts w:ascii="Arial;Helvetica;sans-serif" w:hAnsi="Arial;Helvetica;sans-serif"/>
          <w:b w:val="false"/>
          <w:i/>
          <w:caps w:val="false"/>
          <w:smallCaps w:val="false"/>
          <w:color w:val="000000"/>
          <w:sz w:val="20"/>
        </w:rPr>
        <w:t>Leadership Transition — Chief Technology Officer Departure</w:t>
      </w:r>
      <w:r>
        <w:rPr>
          <w:rFonts w:ascii="Arial;Helvetica;sans-serif" w:hAnsi="Arial;Helvetica;sans-serif"/>
          <w:b w:val="false"/>
          <w:i w:val="false"/>
          <w:caps w:val="false"/>
          <w:smallCaps w:val="false"/>
          <w:color w:val="000000"/>
          <w:sz w:val="20"/>
        </w:rPr>
        <w:t>” and reported in the Summary Compensation Table.</w:t>
      </w:r>
      <w:r>
        <w:rPr>
          <w:rFonts w:ascii="Arial;Helvetica;sans-serif" w:hAnsi="Arial;Helvetica;sans-serif"/>
          <w:b w:val="false"/>
          <w:i w:val="false"/>
          <w:caps w:val="false"/>
          <w:smallCaps w:val="false"/>
          <w:color w:val="000000"/>
          <w:spacing w:val="4"/>
          <w:sz w:val="20"/>
        </w:rPr>
        <w:t xml:space="preserve"> </w:t>
      </w:r>
    </w:p>
    <w:tbl>
      <w:tblPr>
        <w:tblW w:w="17100" w:type="dxa"/>
        <w:jc w:val="left"/>
        <w:tblInd w:w="680" w:type="dxa"/>
        <w:tblLayout w:type="fixed"/>
        <w:tblCellMar>
          <w:top w:w="0" w:type="dxa"/>
          <w:left w:w="0" w:type="dxa"/>
          <w:bottom w:w="0" w:type="dxa"/>
          <w:right w:w="0" w:type="dxa"/>
        </w:tblCellMar>
      </w:tblPr>
      <w:tblGrid>
        <w:gridCol w:w="124"/>
        <w:gridCol w:w="946"/>
        <w:gridCol w:w="109"/>
        <w:gridCol w:w="109"/>
        <w:gridCol w:w="1336"/>
        <w:gridCol w:w="109"/>
        <w:gridCol w:w="109"/>
        <w:gridCol w:w="204"/>
        <w:gridCol w:w="204"/>
        <w:gridCol w:w="648"/>
        <w:gridCol w:w="205"/>
        <w:gridCol w:w="109"/>
        <w:gridCol w:w="109"/>
        <w:gridCol w:w="109"/>
        <w:gridCol w:w="226"/>
        <w:gridCol w:w="1306"/>
        <w:gridCol w:w="109"/>
        <w:gridCol w:w="109"/>
        <w:gridCol w:w="109"/>
        <w:gridCol w:w="109"/>
        <w:gridCol w:w="226"/>
        <w:gridCol w:w="1306"/>
        <w:gridCol w:w="109"/>
        <w:gridCol w:w="109"/>
        <w:gridCol w:w="109"/>
        <w:gridCol w:w="204"/>
        <w:gridCol w:w="204"/>
        <w:gridCol w:w="648"/>
        <w:gridCol w:w="205"/>
        <w:gridCol w:w="109"/>
        <w:gridCol w:w="109"/>
        <w:gridCol w:w="109"/>
        <w:gridCol w:w="226"/>
        <w:gridCol w:w="1306"/>
        <w:gridCol w:w="109"/>
        <w:gridCol w:w="109"/>
        <w:gridCol w:w="109"/>
        <w:gridCol w:w="211"/>
        <w:gridCol w:w="211"/>
        <w:gridCol w:w="671"/>
        <w:gridCol w:w="213"/>
        <w:gridCol w:w="109"/>
        <w:gridCol w:w="109"/>
        <w:gridCol w:w="109"/>
        <w:gridCol w:w="226"/>
        <w:gridCol w:w="1306"/>
        <w:gridCol w:w="109"/>
        <w:gridCol w:w="109"/>
        <w:gridCol w:w="109"/>
        <w:gridCol w:w="109"/>
        <w:gridCol w:w="226"/>
        <w:gridCol w:w="130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6" w:type="dxa"/>
            <w:tcBorders/>
            <w:shd w:fill="000000" w:val="clear"/>
            <w:vAlign w:val="center"/>
          </w:tcPr>
          <w:p>
            <w:pPr>
              <w:pStyle w:val="TableContents"/>
              <w:bidi w:val="0"/>
              <w:spacing w:before="0" w:after="0"/>
              <w:jc w:val="center"/>
              <w:rPr/>
            </w:pPr>
            <w:r>
              <w:rPr/>
              <w:t xml:space="preserve">Type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Voluntary</w:t>
              <w:br/>
              <w:t>Termination</w:t>
              <w:br/>
              <w:t>or</w:t>
              <w:br/>
              <w:t xml:space="preserve">Retirement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Termination</w:t>
              <w:br/>
              <w:t>without</w:t>
              <w:br/>
              <w:t>Cause, other</w:t>
              <w:br/>
              <w:t>than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Resignation</w:t>
              <w:br/>
              <w:t>for Good</w:t>
              <w:br/>
              <w:t>Reason,</w:t>
              <w:br/>
              <w:t>other than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Termination</w:t>
              <w:br/>
              <w:t xml:space="preserve">for Cause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Non-</w:t>
              <w:br/>
              <w:t>Renewal</w:t>
              <w:br/>
              <w:t>by the</w:t>
              <w:br/>
              <w:t xml:space="preserve">Company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6" w:type="dxa"/>
            <w:gridSpan w:val="4"/>
            <w:tcBorders/>
            <w:shd w:fill="000000" w:val="clear"/>
            <w:vAlign w:val="center"/>
          </w:tcPr>
          <w:p>
            <w:pPr>
              <w:pStyle w:val="TableContents"/>
              <w:bidi w:val="0"/>
              <w:spacing w:lineRule="atLeast" w:line="142" w:before="0" w:after="0"/>
              <w:jc w:val="center"/>
              <w:rPr/>
            </w:pPr>
            <w:r>
              <w:rPr/>
              <w:t>Change in</w:t>
              <w:br/>
              <w:t>Control</w:t>
              <w:br/>
              <w:t>with no</w:t>
              <w:br/>
              <w:t>Termination</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lineRule="atLeast" w:line="150" w:before="0" w:after="0"/>
              <w:jc w:val="center"/>
              <w:rPr/>
            </w:pPr>
            <w:r>
              <w:rPr/>
              <w:t>Termination</w:t>
              <w:br/>
              <w:t>without Cause</w:t>
              <w:br/>
              <w:t>or Resignation</w:t>
              <w:br/>
              <w:t>for Good</w:t>
              <w:br/>
              <w:t>Reason</w:t>
              <w:br/>
              <w:t>following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Death or</w:t>
              <w:br/>
              <w:t xml:space="preserve">Disability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Scott E. Howe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5,137,119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4,177,934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4,177,934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 </w:t>
            </w:r>
            <w:r>
              <w:rPr/>
              <w:t>12,680,246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22,874,221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12,164,472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shd w:fill="D8D8D8" w:val="clear"/>
            <w:tcMar>
              <w:bottom w:w="28" w:type="dxa"/>
            </w:tcMar>
            <w:vAlign w:val="center"/>
          </w:tcPr>
          <w:p>
            <w:pPr>
              <w:pStyle w:val="TableContents"/>
              <w:bidi w:val="0"/>
              <w:spacing w:lineRule="atLeast" w:line="160" w:before="0" w:after="0"/>
              <w:jc w:val="left"/>
              <w:rPr/>
            </w:pPr>
            <w:r>
              <w:rPr/>
              <w:t xml:space="preserve">Lauren R. Dillard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1,037,500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2,075,000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3,177,149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3,177,149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3,221,452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6,084,775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3,221,452</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963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963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shd w:fill="D8D8D8" w:val="clear"/>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4,679,915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11,757,887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6,398,601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Matthew Karasick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741,250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1,111,875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Habu Retention</w:t>
            </w:r>
            <w:r>
              <w:rPr>
                <w:sz w:val="9"/>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2,278,731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2,278,731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2,004,461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43,245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43,245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1,677,598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518,103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518,103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6,331,415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2,278,731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shd w:fill="D8D8D8" w:val="clear"/>
            <w:tcMar>
              <w:bottom w:w="28" w:type="dxa"/>
            </w:tcMar>
            <w:vAlign w:val="center"/>
          </w:tcPr>
          <w:p>
            <w:pPr>
              <w:pStyle w:val="TableContents"/>
              <w:bidi w:val="0"/>
              <w:spacing w:lineRule="atLeast" w:line="160" w:before="0" w:after="0"/>
              <w:jc w:val="left"/>
              <w:rPr/>
            </w:pPr>
            <w:r>
              <w:rPr/>
              <w:t xml:space="preserve">Vihan Sharma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1,626,619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2,439,929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776,644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776,644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1,891,566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1,891,566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2,693,689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4,345,461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2,693,689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shd w:fill="D8D8D8" w:val="clear"/>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5,096,952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9,453,600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4,585,255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Jerry C. Jones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907,500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1,361,250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995,402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995,402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1,379,305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2,271,809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1,379,305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32,892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32,892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2,709,697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5,051,353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2,374,707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12" w:space="0" w:color="016836"/>
            </w:tcBorders>
            <w:shd w:fill="D8D8D8" w:val="clear"/>
            <w:tcMar>
              <w:bottom w:w="28" w:type="dxa"/>
            </w:tcMar>
            <w:vAlign w:val="center"/>
          </w:tcPr>
          <w:p>
            <w:pPr>
              <w:pStyle w:val="TableContents"/>
              <w:bidi w:val="0"/>
              <w:spacing w:lineRule="atLeast" w:line="160" w:before="0" w:after="0"/>
              <w:jc w:val="left"/>
              <w:rPr/>
            </w:pPr>
            <w:r>
              <w:rPr/>
              <w:t xml:space="preserve">Mohsin Hussain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12" w:space="0" w:color="016836"/>
            </w:tcBorders>
            <w:shd w:fill="D8D8D8" w:val="clear"/>
            <w:tcMar>
              <w:bottom w:w="68" w:type="dxa"/>
            </w:tcMar>
            <w:vAlign w:val="center"/>
          </w:tcPr>
          <w:p>
            <w:pPr>
              <w:pStyle w:val="TableContents"/>
              <w:bidi w:val="0"/>
              <w:spacing w:before="0" w:after="283"/>
              <w:jc w:val="left"/>
              <w:rPr/>
            </w:pPr>
            <w:r>
              <w:rPr/>
              <w:t xml:space="preserve">Total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48"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05"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48"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05"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71"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these calculations, the RSU values were determined by multiplying the number of unvested RSUs by the closing price of Common Stock on March 31, 2026 ($26.52).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22">
                <wp:simplePos x="0" y="0"/>
                <wp:positionH relativeFrom="column">
                  <wp:align>left</wp:align>
                </wp:positionH>
                <wp:positionV relativeFrom="line">
                  <wp:align>top</wp:align>
                </wp:positionV>
                <wp:extent cx="254000" cy="254000"/>
                <wp:effectExtent l="0" t="0" r="0" b="0"/>
                <wp:wrapSquare wrapText="right"/>
                <wp:docPr id="1015" name="Frame9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these calculations, the PSU values were determined by multiplying the closing price of Common Stock on March 31, 2026 ($26.52), by the target number of PSUs eligible for acceleration that the respective executive officer held as of March 31, 2026. Note, however, that these amounts may differ based on actual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023">
                <wp:simplePos x="0" y="0"/>
                <wp:positionH relativeFrom="column">
                  <wp:align>left</wp:align>
                </wp:positionH>
                <wp:positionV relativeFrom="line">
                  <wp:align>top</wp:align>
                </wp:positionV>
                <wp:extent cx="254000" cy="254000"/>
                <wp:effectExtent l="0" t="0" r="0" b="0"/>
                <wp:wrapSquare wrapText="right"/>
                <wp:docPr id="1016" name="Frame9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general, the Company’s equity plans permit, but do not require, accelerated vesting of equity awards in the event of a change in control, as determined in the discretion of the Board, provided that the equity plans do require accelerated vesting of equity awards that are not assumed or substituted by the successor corporation in the event of a change of control. The table assumes that no such acceleration will occur. Notwithstanding the above, pursuant to the Merger Agreement, LiveRamp may provide for the vesting at the Effective Time of all LiveRamp Equity Awards granted to the applicable Executive Officer prior to the date of the Merger Agreement that are outstanding immediately prior to the Effective Time in exchange for the Merger Consideration (otherwise determined in accordance with the Merger Agreement). For additional information on how the compensation of our Named Executive Officers will be impacted by the Closing of the Merger, see the section 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16"/>
        </w:rPr>
        <w:t>” beginning on page [  ].</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024">
                <wp:simplePos x="0" y="0"/>
                <wp:positionH relativeFrom="column">
                  <wp:align>left</wp:align>
                </wp:positionH>
                <wp:positionV relativeFrom="line">
                  <wp:align>top</wp:align>
                </wp:positionV>
                <wp:extent cx="254000" cy="254000"/>
                <wp:effectExtent l="0" t="0" r="0" b="0"/>
                <wp:wrapSquare wrapText="right"/>
                <wp:docPr id="1017" name="Frame9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its acquisition of Habu, the Company entered into consideration holdback and similar retention agreements with certain key employees that joined the Company, including Mr. Karasick, pursuant to which certain amounts were not paid at closing and instead were subject to vesting in three equal installments on the anniversary of the acquisition, contingent upon the applicable employees’ continued employment with LiveRamp through each vesting date. The amounts in this row represent the third tranche of Mr. Karasick’s payout under this arrangement, which would be payable to him under the applicable termination scenarios.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25">
                <wp:simplePos x="0" y="0"/>
                <wp:positionH relativeFrom="column">
                  <wp:align>left</wp:align>
                </wp:positionH>
                <wp:positionV relativeFrom="line">
                  <wp:align>top</wp:align>
                </wp:positionV>
                <wp:extent cx="254000" cy="254000"/>
                <wp:effectExtent l="0" t="0" r="0" b="0"/>
                <wp:wrapSquare wrapText="right"/>
                <wp:docPr id="1018" name="Frame9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CPR"/>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CEO Pay Ratio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Item 402(u) of Regulation S-K, we are providing the following information about the relationship of the median of the annual total compensation of all our employees (other than our CEO) and the annual total compensation of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of the annual total compensation of all employees of our company (other than our CEO) was $182,215;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6">
                <wp:simplePos x="0" y="0"/>
                <wp:positionH relativeFrom="column">
                  <wp:align>left</wp:align>
                </wp:positionH>
                <wp:positionV relativeFrom="line">
                  <wp:align>top</wp:align>
                </wp:positionV>
                <wp:extent cx="127000" cy="350520"/>
                <wp:effectExtent l="0" t="0" r="0" b="0"/>
                <wp:wrapSquare wrapText="right"/>
                <wp:docPr id="1019" name="Frame9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annual total compensation of our CEO was $10,351,021;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7">
                <wp:simplePos x="0" y="0"/>
                <wp:positionH relativeFrom="column">
                  <wp:align>left</wp:align>
                </wp:positionH>
                <wp:positionV relativeFrom="line">
                  <wp:align>top</wp:align>
                </wp:positionV>
                <wp:extent cx="127000" cy="350520"/>
                <wp:effectExtent l="0" t="0" r="0" b="0"/>
                <wp:wrapSquare wrapText="right"/>
                <wp:docPr id="1020" name="Frame9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ratio of the annual total compensation of our CEO to the median of the annual total compensation of all our employees was 57 to 1. This ratio is a reasonable estimate calculated in a manner consistent with SEC rules.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8">
                <wp:simplePos x="0" y="0"/>
                <wp:positionH relativeFrom="column">
                  <wp:align>left</wp:align>
                </wp:positionH>
                <wp:positionV relativeFrom="line">
                  <wp:align>top</wp:align>
                </wp:positionV>
                <wp:extent cx="127000" cy="350520"/>
                <wp:effectExtent l="0" t="0" r="0" b="0"/>
                <wp:wrapSquare wrapText="right"/>
                <wp:docPr id="1021" name="Frame9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identified the employee with compensation at the median of the annual total compensation of all our employees using the following methodology.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determining our employee population, we considered the individuals, excluding our CEO, who were employed by us and our consolidated subsidiaries on March 31, 2026, whether employed on a full-time, part-time, seasonal or temporary basis (which consisted of 1,320 individuals on that date). We did not include any contractors or other non-employee workers in our employee population.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29">
                <wp:simplePos x="0" y="0"/>
                <wp:positionH relativeFrom="column">
                  <wp:align>left</wp:align>
                </wp:positionH>
                <wp:positionV relativeFrom="line">
                  <wp:align>top</wp:align>
                </wp:positionV>
                <wp:extent cx="254000" cy="350520"/>
                <wp:effectExtent l="0" t="0" r="0" b="0"/>
                <wp:wrapSquare wrapText="right"/>
                <wp:docPr id="1022" name="Frame9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permitted by SEC rules, to identify our median employee, we selected “base pay”, which we calculated as annual base pay using a reasonable estimate of the hours worked during fiscal 2026 for hourly employees and using annual salary levels for our remaining employees for the 12-month period from April 1, 2025 through March 31,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0">
                <wp:simplePos x="0" y="0"/>
                <wp:positionH relativeFrom="column">
                  <wp:align>left</wp:align>
                </wp:positionH>
                <wp:positionV relativeFrom="line">
                  <wp:align>top</wp:align>
                </wp:positionV>
                <wp:extent cx="254000" cy="350520"/>
                <wp:effectExtent l="0" t="0" r="0" b="0"/>
                <wp:wrapSquare wrapText="right"/>
                <wp:docPr id="1023" name="Frame9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this analysis, we annualized base pay for any employees who commenced work during fiscal 2026 and converted our international employees’ base pay to U.S. dollars using a standard conversion 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1">
                <wp:simplePos x="0" y="0"/>
                <wp:positionH relativeFrom="column">
                  <wp:align>left</wp:align>
                </wp:positionH>
                <wp:positionV relativeFrom="line">
                  <wp:align>top</wp:align>
                </wp:positionV>
                <wp:extent cx="254000" cy="350520"/>
                <wp:effectExtent l="0" t="0" r="0" b="0"/>
                <wp:wrapSquare wrapText="right"/>
                <wp:docPr id="1024" name="Frame9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Using this approach, we identified the individual at the median of our employee population, who was based in the United States. We then calculated the annual total compensation for this individual using the same methodology we used to calculate the amount reported for our CEO in the “Total” column of the Summary Compensation Table as set forth herein, which was $10,351,021.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2">
                <wp:simplePos x="0" y="0"/>
                <wp:positionH relativeFrom="column">
                  <wp:align>left</wp:align>
                </wp:positionH>
                <wp:positionV relativeFrom="line">
                  <wp:align>top</wp:align>
                </wp:positionV>
                <wp:extent cx="254000" cy="350520"/>
                <wp:effectExtent l="0" t="0" r="0" b="0"/>
                <wp:wrapSquare wrapText="right"/>
                <wp:docPr id="1025" name="Frame9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PVP"/>
      <w:bookmarkEnd w:id="157"/>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Pay Versus Performance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compensation for our CEO and the average compensation for our other NEOs (the “Non-CEO NEOs”), both as reported in the Summary Compensation Table along with certain adjustments to reflect the “compensation actually paid” to such individuals, as required by Section 953(a) of the Dodd-Frank Wall Street Reform and Consumer Protection Act and Item 402(v) of Regulation S-K, for each of fiscal year 2026, 2025, 2024, 2023 and 2022. The Talent and Compensation Committee did not consider the pay versus performance disclosure below in making its pay decisions for any of the years shown. For further information concerning our pay-for-performance philosophy and how we align executive compensation with the performance of the Company, see the Compensation Discussion and Analysis section of this proxy statement.</w:t>
      </w:r>
      <w:r>
        <w:rPr>
          <w:rFonts w:ascii="Arial;Helvetica;sans-serif" w:hAnsi="Arial;Helvetica;sans-serif"/>
          <w:b w:val="false"/>
          <w:i w:val="false"/>
          <w:caps w:val="false"/>
          <w:smallCaps w:val="false"/>
          <w:color w:val="000000"/>
          <w:spacing w:val="4"/>
          <w:sz w:val="20"/>
        </w:rPr>
        <w:t xml:space="preserve"> </w:t>
      </w:r>
    </w:p>
    <w:tbl>
      <w:tblPr>
        <w:tblW w:w="14175" w:type="dxa"/>
        <w:jc w:val="left"/>
        <w:tblInd w:w="680" w:type="dxa"/>
        <w:tblLayout w:type="fixed"/>
        <w:tblCellMar>
          <w:top w:w="0" w:type="dxa"/>
          <w:left w:w="0" w:type="dxa"/>
          <w:bottom w:w="0" w:type="dxa"/>
          <w:right w:w="0" w:type="dxa"/>
        </w:tblCellMar>
      </w:tblPr>
      <w:tblGrid>
        <w:gridCol w:w="124"/>
        <w:gridCol w:w="586"/>
        <w:gridCol w:w="109"/>
        <w:gridCol w:w="109"/>
        <w:gridCol w:w="109"/>
        <w:gridCol w:w="226"/>
        <w:gridCol w:w="1306"/>
        <w:gridCol w:w="109"/>
        <w:gridCol w:w="109"/>
        <w:gridCol w:w="109"/>
        <w:gridCol w:w="109"/>
        <w:gridCol w:w="226"/>
        <w:gridCol w:w="1306"/>
        <w:gridCol w:w="109"/>
        <w:gridCol w:w="109"/>
        <w:gridCol w:w="109"/>
        <w:gridCol w:w="109"/>
        <w:gridCol w:w="226"/>
        <w:gridCol w:w="1186"/>
        <w:gridCol w:w="109"/>
        <w:gridCol w:w="109"/>
        <w:gridCol w:w="109"/>
        <w:gridCol w:w="109"/>
        <w:gridCol w:w="226"/>
        <w:gridCol w:w="1186"/>
        <w:gridCol w:w="109"/>
        <w:gridCol w:w="109"/>
        <w:gridCol w:w="109"/>
        <w:gridCol w:w="112"/>
        <w:gridCol w:w="232"/>
        <w:gridCol w:w="788"/>
        <w:gridCol w:w="114"/>
        <w:gridCol w:w="109"/>
        <w:gridCol w:w="109"/>
        <w:gridCol w:w="112"/>
        <w:gridCol w:w="232"/>
        <w:gridCol w:w="788"/>
        <w:gridCol w:w="114"/>
        <w:gridCol w:w="109"/>
        <w:gridCol w:w="109"/>
        <w:gridCol w:w="109"/>
        <w:gridCol w:w="226"/>
        <w:gridCol w:w="661"/>
        <w:gridCol w:w="109"/>
        <w:gridCol w:w="109"/>
        <w:gridCol w:w="109"/>
        <w:gridCol w:w="109"/>
        <w:gridCol w:w="226"/>
        <w:gridCol w:w="76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10" w:type="dxa"/>
            <w:gridSpan w:val="10"/>
            <w:tcBorders/>
            <w:shd w:fill="000000" w:val="clear"/>
            <w:vAlign w:val="center"/>
          </w:tcPr>
          <w:p>
            <w:pPr>
              <w:pStyle w:val="TableContents"/>
              <w:bidi w:val="0"/>
              <w:spacing w:lineRule="atLeast" w:line="202" w:before="0" w:after="0"/>
              <w:jc w:val="center"/>
              <w:rPr/>
            </w:pPr>
            <w:r>
              <w:rPr/>
              <w:t>Value of Initial Fixed $100</w:t>
              <w:br/>
              <w:t xml:space="preserve">Investment Based 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5"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283"/>
              <w:jc w:val="left"/>
              <w:rPr/>
            </w:pPr>
            <w:r>
              <w:rPr/>
              <w:t>​</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Year</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Summary</w:t>
              <w:br/>
              <w:t>Compensation</w:t>
              <w:br/>
              <w:t>Table Total for</w:t>
              <w:br/>
              <w:t>CEO</w:t>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lineRule="atLeast" w:line="142" w:before="0" w:after="0"/>
              <w:jc w:val="center"/>
              <w:rPr/>
            </w:pPr>
            <w:r>
              <w:rPr/>
              <w:t>Compensation</w:t>
              <w:br/>
              <w:t>Actually Paid</w:t>
              <w:br/>
              <w:t>to CEO</w:t>
            </w:r>
            <w:r>
              <w:rPr>
                <w:sz w:val="11"/>
              </w:rPr>
              <w:t>1</w:t>
            </w:r>
            <w:r>
              <w:rPr/>
              <w:br/>
              <w:t xml:space="preserve">(c)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202" w:before="0" w:after="0"/>
              <w:jc w:val="center"/>
              <w:rPr/>
            </w:pPr>
            <w:r>
              <w:rPr/>
              <w:t>Average</w:t>
              <w:br/>
              <w:t>Summary</w:t>
              <w:br/>
              <w:t>Compensation</w:t>
              <w:br/>
              <w:t>Table Total for</w:t>
              <w:br/>
              <w:t>Non-CEO</w:t>
              <w:br/>
              <w:t>NEOs</w:t>
              <w:br/>
              <w:t xml:space="preserv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Average</w:t>
              <w:br/>
              <w:t>Compensation</w:t>
              <w:br/>
              <w:t>Actually Paid</w:t>
              <w:br/>
              <w:t>to Non-CEO</w:t>
              <w:br/>
              <w:t>NEOs</w:t>
            </w:r>
            <w:r>
              <w:rPr>
                <w:sz w:val="11"/>
              </w:rPr>
              <w:t>1</w:t>
            </w:r>
            <w:r>
              <w:rPr/>
              <w:br/>
              <w:t xml:space="preserv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gridSpan w:val="4"/>
            <w:tcBorders/>
            <w:shd w:fill="000000" w:val="clear"/>
            <w:vAlign w:val="center"/>
          </w:tcPr>
          <w:p>
            <w:pPr>
              <w:pStyle w:val="TableContents"/>
              <w:bidi w:val="0"/>
              <w:spacing w:lineRule="atLeast" w:line="142" w:before="0" w:after="0"/>
              <w:jc w:val="center"/>
              <w:rPr/>
            </w:pPr>
            <w:r>
              <w:rPr/>
              <w:t>Total</w:t>
              <w:br/>
              <w:t>Shareholder</w:t>
              <w:br/>
              <w:t>Return</w:t>
            </w:r>
            <w:r>
              <w:rPr>
                <w:sz w:val="11"/>
              </w:rPr>
              <w:t>2</w:t>
            </w:r>
            <w:r>
              <w:rPr/>
              <w:br/>
              <w:t xml:space="preserve">(f)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gridSpan w:val="4"/>
            <w:tcBorders/>
            <w:shd w:fill="000000" w:val="clear"/>
            <w:vAlign w:val="center"/>
          </w:tcPr>
          <w:p>
            <w:pPr>
              <w:pStyle w:val="TableContents"/>
              <w:bidi w:val="0"/>
              <w:spacing w:lineRule="atLeast" w:line="142" w:before="0" w:after="0"/>
              <w:jc w:val="center"/>
              <w:rPr/>
            </w:pPr>
            <w:r>
              <w:rPr/>
              <w:t>Peer Group</w:t>
              <w:br/>
              <w:t>Total</w:t>
              <w:br/>
              <w:t>Shareholder</w:t>
              <w:br/>
              <w:t>Return</w:t>
            </w:r>
            <w:r>
              <w:rPr>
                <w:sz w:val="11"/>
              </w:rPr>
              <w:t>3</w:t>
            </w:r>
            <w:r>
              <w:rPr/>
              <w:br/>
              <w:t xml:space="preserve">(g)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5" w:type="dxa"/>
            <w:gridSpan w:val="4"/>
            <w:tcBorders/>
            <w:shd w:fill="000000" w:val="clear"/>
            <w:vAlign w:val="center"/>
          </w:tcPr>
          <w:p>
            <w:pPr>
              <w:pStyle w:val="TableContents"/>
              <w:bidi w:val="0"/>
              <w:spacing w:lineRule="atLeast" w:line="142" w:before="0" w:after="0"/>
              <w:jc w:val="center"/>
              <w:rPr/>
            </w:pPr>
            <w:r>
              <w:rPr/>
              <w:t>Net Income</w:t>
              <w:br/>
              <w:t>(Loss)</w:t>
              <w:br/>
              <w:t>(millions)</w:t>
            </w:r>
            <w:r>
              <w:rPr>
                <w:sz w:val="11"/>
              </w:rPr>
              <w:t>4</w:t>
            </w:r>
            <w:r>
              <w:rPr/>
              <w:br/>
              <w:t xml:space="preserve">(h)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lineRule="atLeast" w:line="142" w:before="0" w:after="0"/>
              <w:jc w:val="center"/>
              <w:rPr/>
            </w:pPr>
            <w:r>
              <w:rPr/>
              <w:t>Revenue</w:t>
              <w:br/>
              <w:t>(millions)</w:t>
            </w:r>
            <w:r>
              <w:rPr>
                <w:sz w:val="11"/>
              </w:rPr>
              <w:t>5</w:t>
            </w:r>
            <w:r>
              <w:rPr/>
              <w:br/>
              <w:t xml:space="preserve">(i)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 </w:t>
            </w:r>
            <w:r>
              <w:rPr/>
              <w:t>10,351,021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8,563,688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4,722,400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3,785,984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 </w:t>
            </w:r>
            <w:r>
              <w:rPr/>
              <w:t>51.12</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 </w:t>
            </w:r>
            <w:r>
              <w:rPr/>
              <w:t>44.70</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146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 </w:t>
            </w:r>
            <w:r>
              <w:rPr/>
              <w:t>812.9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2025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9,582,835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2,795,204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4,066,002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1,460,671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50.39</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94.85</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shd w:fill="D8D8D8" w:val="clear"/>
            <w:tcMar>
              <w:bottom w:w="56" w:type="dxa"/>
            </w:tcMar>
            <w:vAlign w:val="center"/>
          </w:tcPr>
          <w:p>
            <w:pPr>
              <w:pStyle w:val="TableContents"/>
              <w:bidi w:val="0"/>
              <w:spacing w:before="0" w:after="283"/>
              <w:jc w:val="right"/>
              <w:rPr/>
            </w:pPr>
            <w:r>
              <w:rPr/>
              <w:t>(1)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56" w:type="dxa"/>
            </w:tcMar>
            <w:vAlign w:val="center"/>
          </w:tcPr>
          <w:p>
            <w:pPr>
              <w:pStyle w:val="TableContents"/>
              <w:bidi w:val="0"/>
              <w:spacing w:before="0" w:after="283"/>
              <w:jc w:val="right"/>
              <w:rPr/>
            </w:pPr>
            <w:r>
              <w:rPr/>
              <w:t>745.6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2024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10,082,248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 </w:t>
            </w:r>
            <w:r>
              <w:rPr/>
              <w:t>16,513,762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4,986,896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6,417,911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66.50</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92.62</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12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659.7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2023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6,256,075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433,031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2,561,259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346,019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42.27</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62.82</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(119)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56" w:type="dxa"/>
            </w:tcMar>
            <w:vAlign w:val="center"/>
          </w:tcPr>
          <w:p>
            <w:pPr>
              <w:pStyle w:val="TableContents"/>
              <w:bidi w:val="0"/>
              <w:spacing w:before="0" w:after="283"/>
              <w:jc w:val="right"/>
              <w:rPr/>
            </w:pPr>
            <w:r>
              <w:rPr/>
              <w:t>596.6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8,457,367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3,006,737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3,711,603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1,494,858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72.07</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65.04</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(34)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528.7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in column (c) and (e) represent the amount of  “compensation actually paid” to Mr. Howe, our CEO, for all applicable years and the average of the “compensation actually paid” to our Non-CEO NEOs. The dollar amounts reported as “compensation actually paid” do not reflect the actual amount of compensation earned by or paid to our CEO or our Non-CEO NEOs during the applicable years, as explained in the ensuing tables. The Non-CEO NEOs included for purposes of calculating the average amounts in each applicable year are as follows: (i) for fiscal 2026, Lauren R. Dillard, Matthew Karasick, Vihan Sharma, Jerry C. Jones and Mohsin Hussain; (ii) for fiscal 2025, Lauren R. Dillard, Vihan Sharma, Mohsin Hussain, Jerry C. Jones and Kimberly Bloomston; (iii) for fiscal 2024, Lauren R. Dillard, Vihan Sharma, Kimberly Bloomston, Jerry C. Jones and Warren C. Jenson; (iv) for fiscal 2023, Warren C. Jenson, Mohsin Hussain and Jerry C. Jones; and (v) for fiscal 2022, Warren C. Jenson, Mohsin Hussain, Jerry C. Jones, Diego Panama, and David Pann. In accordance with the requirements of Item 402(v) of Regulation S-K, the following adjustments set forth in the table below were made to total compensation to determine the compensation actually paid (certain totals may not sum due to rounding). Our prior proxy statements include corresponding information for fiscal years 2022 through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33">
                <wp:simplePos x="0" y="0"/>
                <wp:positionH relativeFrom="column">
                  <wp:align>left</wp:align>
                </wp:positionH>
                <wp:positionV relativeFrom="line">
                  <wp:align>top</wp:align>
                </wp:positionV>
                <wp:extent cx="254000" cy="350520"/>
                <wp:effectExtent l="0" t="0" r="0" b="0"/>
                <wp:wrapSquare wrapText="right"/>
                <wp:docPr id="1026" name="Frame9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8999" w:type="dxa"/>
        <w:jc w:val="left"/>
        <w:tblInd w:w="680" w:type="dxa"/>
        <w:tblLayout w:type="fixed"/>
        <w:tblCellMar>
          <w:top w:w="0" w:type="dxa"/>
          <w:left w:w="0" w:type="dxa"/>
          <w:bottom w:w="0" w:type="dxa"/>
          <w:right w:w="0" w:type="dxa"/>
        </w:tblCellMar>
      </w:tblPr>
      <w:tblGrid>
        <w:gridCol w:w="124"/>
        <w:gridCol w:w="661"/>
        <w:gridCol w:w="109"/>
        <w:gridCol w:w="109"/>
        <w:gridCol w:w="128"/>
        <w:gridCol w:w="267"/>
        <w:gridCol w:w="1545"/>
        <w:gridCol w:w="128"/>
        <w:gridCol w:w="109"/>
        <w:gridCol w:w="109"/>
        <w:gridCol w:w="124"/>
        <w:gridCol w:w="258"/>
        <w:gridCol w:w="1354"/>
        <w:gridCol w:w="124"/>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661" w:type="dxa"/>
            <w:tcBorders/>
            <w:shd w:fill="000000" w:val="clear"/>
            <w:vAlign w:val="center"/>
          </w:tcPr>
          <w:p>
            <w:pPr>
              <w:pStyle w:val="TableContents"/>
              <w:bidi w:val="0"/>
              <w:spacing w:before="0" w:after="283"/>
              <w:jc w:val="left"/>
              <w:rPr/>
            </w:pPr>
            <w:r>
              <w:rPr/>
              <w:t>Fiscal</w:t>
              <w:b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68" w:type="dxa"/>
            <w:gridSpan w:val="4"/>
            <w:tcBorders/>
            <w:shd w:fill="000000" w:val="clear"/>
            <w:vAlign w:val="center"/>
          </w:tcPr>
          <w:p>
            <w:pPr>
              <w:pStyle w:val="TableContents"/>
              <w:bidi w:val="0"/>
              <w:spacing w:lineRule="atLeast" w:line="142" w:before="0" w:after="0"/>
              <w:jc w:val="center"/>
              <w:rPr/>
            </w:pPr>
            <w:r>
              <w:rPr/>
              <w:t>Reported Summary</w:t>
              <w:br/>
              <w:t>Compensation Table</w:t>
              <w:br/>
              <w:t>(SCT) Total</w:t>
            </w:r>
            <w:r>
              <w:rPr>
                <w:sz w:val="10"/>
              </w:rPr>
              <w:t>i</w:t>
            </w:r>
            <w:r>
              <w:rPr/>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60" w:type="dxa"/>
            <w:gridSpan w:val="4"/>
            <w:tcBorders/>
            <w:shd w:fill="000000" w:val="clear"/>
            <w:vAlign w:val="center"/>
          </w:tcPr>
          <w:p>
            <w:pPr>
              <w:pStyle w:val="TableContents"/>
              <w:bidi w:val="0"/>
              <w:spacing w:lineRule="atLeast" w:line="142" w:before="0" w:after="0"/>
              <w:jc w:val="center"/>
              <w:rPr/>
            </w:pPr>
            <w:r>
              <w:rPr/>
              <w:t>Reported Value of</w:t>
              <w:br/>
              <w:t>Equity Awards</w:t>
            </w:r>
            <w:r>
              <w:rPr>
                <w:sz w:val="10"/>
              </w:rPr>
              <w:t>ii</w:t>
            </w:r>
            <w:r>
              <w:rPr/>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Equity Award</w:t>
              <w:br/>
              <w:t>Adjustments</w:t>
            </w:r>
            <w:r>
              <w:rPr>
                <w:sz w:val="10"/>
              </w:rPr>
              <w:t>iii</w:t>
            </w:r>
            <w:r>
              <w:rPr/>
              <w:br/>
              <w:t xml:space="preserve">C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Compensation</w:t>
              <w:br/>
              <w:t>Actually Paid</w:t>
              <w:br/>
              <w:t xml:space="preserve">A-B+C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721" w:type="dxa"/>
            <w:gridSpan w:val="25"/>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Company’s CEO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661"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7" w:type="dxa"/>
            <w:tcBorders>
              <w:bottom w:val="single" w:sz="2" w:space="0" w:color="016836"/>
            </w:tcBorders>
            <w:tcMar>
              <w:bottom w:w="56" w:type="dxa"/>
            </w:tcMar>
            <w:vAlign w:val="center"/>
          </w:tcPr>
          <w:p>
            <w:pPr>
              <w:pStyle w:val="TableContents"/>
              <w:bidi w:val="0"/>
              <w:spacing w:before="0" w:after="283"/>
              <w:jc w:val="right"/>
              <w:rPr/>
            </w:pPr>
            <w:r>
              <w:rPr/>
              <w:t>$</w:t>
            </w:r>
          </w:p>
        </w:tc>
        <w:tc>
          <w:tcPr>
            <w:tcW w:w="1545" w:type="dxa"/>
            <w:tcBorders>
              <w:bottom w:val="single" w:sz="2" w:space="0" w:color="016836"/>
            </w:tcBorders>
            <w:tcMar>
              <w:bottom w:w="56" w:type="dxa"/>
            </w:tcMar>
            <w:vAlign w:val="center"/>
          </w:tcPr>
          <w:p>
            <w:pPr>
              <w:pStyle w:val="TableContents"/>
              <w:bidi w:val="0"/>
              <w:spacing w:before="0" w:after="283"/>
              <w:jc w:val="right"/>
              <w:rPr/>
            </w:pPr>
            <w:r>
              <w:rPr/>
              <w:t> </w:t>
            </w:r>
            <w:r>
              <w:rPr/>
              <w:t>10,351,021</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8" w:type="dxa"/>
            <w:tcBorders>
              <w:bottom w:val="single" w:sz="2" w:space="0" w:color="016836"/>
            </w:tcBorders>
            <w:tcMar>
              <w:bottom w:w="56" w:type="dxa"/>
            </w:tcMar>
            <w:vAlign w:val="center"/>
          </w:tcPr>
          <w:p>
            <w:pPr>
              <w:pStyle w:val="TableContents"/>
              <w:bidi w:val="0"/>
              <w:spacing w:before="0" w:after="283"/>
              <w:jc w:val="right"/>
              <w:rPr/>
            </w:pPr>
            <w:r>
              <w:rPr/>
              <w:t>$</w:t>
            </w:r>
          </w:p>
        </w:tc>
        <w:tc>
          <w:tcPr>
            <w:tcW w:w="1354" w:type="dxa"/>
            <w:tcBorders>
              <w:bottom w:val="single" w:sz="2" w:space="0" w:color="016836"/>
            </w:tcBorders>
            <w:tcMar>
              <w:bottom w:w="56" w:type="dxa"/>
            </w:tcMar>
            <w:vAlign w:val="center"/>
          </w:tcPr>
          <w:p>
            <w:pPr>
              <w:pStyle w:val="TableContents"/>
              <w:bidi w:val="0"/>
              <w:spacing w:before="0" w:after="283"/>
              <w:jc w:val="right"/>
              <w:rPr/>
            </w:pPr>
            <w:r>
              <w:rPr/>
              <w:t> </w:t>
            </w:r>
            <w:r>
              <w:rPr/>
              <w:t>8,743,052</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6,955,720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8,563,688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721" w:type="dxa"/>
            <w:gridSpan w:val="25"/>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Average of Non-CEO NEOs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661"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7" w:type="dxa"/>
            <w:tcBorders>
              <w:bottom w:val="single" w:sz="2" w:space="0" w:color="016836"/>
            </w:tcBorders>
            <w:tcMar>
              <w:bottom w:w="56" w:type="dxa"/>
            </w:tcMar>
            <w:vAlign w:val="center"/>
          </w:tcPr>
          <w:p>
            <w:pPr>
              <w:pStyle w:val="TableContents"/>
              <w:bidi w:val="0"/>
              <w:spacing w:before="0" w:after="283"/>
              <w:jc w:val="right"/>
              <w:rPr/>
            </w:pPr>
            <w:r>
              <w:rPr/>
              <w:t>$</w:t>
            </w:r>
          </w:p>
        </w:tc>
        <w:tc>
          <w:tcPr>
            <w:tcW w:w="1545" w:type="dxa"/>
            <w:tcBorders>
              <w:bottom w:val="single" w:sz="2" w:space="0" w:color="016836"/>
            </w:tcBorders>
            <w:tcMar>
              <w:bottom w:w="56" w:type="dxa"/>
            </w:tcMar>
            <w:vAlign w:val="center"/>
          </w:tcPr>
          <w:p>
            <w:pPr>
              <w:pStyle w:val="TableContents"/>
              <w:bidi w:val="0"/>
              <w:spacing w:before="0" w:after="283"/>
              <w:jc w:val="right"/>
              <w:rPr/>
            </w:pPr>
            <w:r>
              <w:rPr/>
              <w:t>4,722,400</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8" w:type="dxa"/>
            <w:tcBorders>
              <w:bottom w:val="single" w:sz="2" w:space="0" w:color="016836"/>
            </w:tcBorders>
            <w:tcMar>
              <w:bottom w:w="56" w:type="dxa"/>
            </w:tcMar>
            <w:vAlign w:val="center"/>
          </w:tcPr>
          <w:p>
            <w:pPr>
              <w:pStyle w:val="TableContents"/>
              <w:bidi w:val="0"/>
              <w:spacing w:before="0" w:after="283"/>
              <w:jc w:val="right"/>
              <w:rPr/>
            </w:pPr>
            <w:r>
              <w:rPr/>
              <w:t>$</w:t>
            </w:r>
          </w:p>
        </w:tc>
        <w:tc>
          <w:tcPr>
            <w:tcW w:w="1354" w:type="dxa"/>
            <w:tcBorders>
              <w:bottom w:val="single" w:sz="2" w:space="0" w:color="016836"/>
            </w:tcBorders>
            <w:tcMar>
              <w:bottom w:w="56" w:type="dxa"/>
            </w:tcMar>
            <w:vAlign w:val="center"/>
          </w:tcPr>
          <w:p>
            <w:pPr>
              <w:pStyle w:val="TableContents"/>
              <w:bidi w:val="0"/>
              <w:spacing w:before="0" w:after="283"/>
              <w:jc w:val="right"/>
              <w:rPr/>
            </w:pPr>
            <w:r>
              <w:rPr/>
              <w:t>3,200,002</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2,263,586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3,785,984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Reflects the amounts (or the average amounts with regard to the Non-CEO NEOs) represented in the “Total” column of the Summary Compensation Table for the applicable years.</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82550" distB="0" distL="254000" distR="0" simplePos="0" locked="0" layoutInCell="1" allowOverlap="1" relativeHeight="1034">
                <wp:simplePos x="0" y="0"/>
                <wp:positionH relativeFrom="column">
                  <wp:align>left</wp:align>
                </wp:positionH>
                <wp:positionV relativeFrom="line">
                  <wp:align>top</wp:align>
                </wp:positionV>
                <wp:extent cx="254000" cy="350520"/>
                <wp:effectExtent l="0" t="0" r="0" b="0"/>
                <wp:wrapSquare wrapText="right"/>
                <wp:docPr id="1027" name="Frame9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00" w:before="0" w:after="283"/>
                        <w:jc w:val="both"/>
                        <w:rPr>
                          <w:i/>
                        </w:rPr>
                      </w:pPr>
                      <w:r>
                        <w:rPr>
                          <w:i/>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 xml:space="preserve">Reflects the grant date fair value of equity awards granted to the CEO (or the average amounts with regard to the Non-CEO NEOs) as reported in the “Stock Awards” column in the Summary Compensation Table for the covered years. </w:t>
      </w:r>
      <w:r>
        <mc:AlternateContent>
          <mc:Choice Requires="wps">
            <w:drawing>
              <wp:anchor behindDoc="0" distT="12700" distB="0" distL="254000" distR="0" simplePos="0" locked="0" layoutInCell="1" allowOverlap="1" relativeHeight="1035">
                <wp:simplePos x="0" y="0"/>
                <wp:positionH relativeFrom="column">
                  <wp:align>left</wp:align>
                </wp:positionH>
                <wp:positionV relativeFrom="line">
                  <wp:align>top</wp:align>
                </wp:positionV>
                <wp:extent cx="254000" cy="350520"/>
                <wp:effectExtent l="0" t="0" r="0" b="0"/>
                <wp:wrapSquare wrapText="right"/>
                <wp:docPr id="1028" name="Frame9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i/>
                        </w:rPr>
                      </w:pPr>
                      <w:r>
                        <w:rPr>
                          <w:i/>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00" w:before="1040" w:after="283"/>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The equity award adjustments for each applicable year include the addition (or subtraction, as applicable) as set forth in the chart below:</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0" distB="0" distL="254000" distR="0" simplePos="0" locked="0" layoutInCell="1" allowOverlap="1" relativeHeight="1036">
                <wp:simplePos x="0" y="0"/>
                <wp:positionH relativeFrom="column">
                  <wp:align>left</wp:align>
                </wp:positionH>
                <wp:positionV relativeFrom="line">
                  <wp:posOffset>635</wp:posOffset>
                </wp:positionV>
                <wp:extent cx="254000" cy="350520"/>
                <wp:effectExtent l="0" t="0" r="0" b="0"/>
                <wp:wrapSquare wrapText="right"/>
                <wp:docPr id="1029" name="Frame9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color w:val="000000"/>
                              </w:rPr>
                            </w:pPr>
                            <w:r>
                              <w:rPr>
                                <w:b w:val="false"/>
                                <w:i/>
                                <w:color w:val="000000"/>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both"/>
                        <w:rPr>
                          <w:b w:val="false"/>
                          <w:i/>
                          <w:color w:val="000000"/>
                        </w:rPr>
                      </w:pPr>
                      <w:r>
                        <w:rPr>
                          <w:b w:val="false"/>
                          <w:i/>
                          <w:color w:val="000000"/>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tbl>
      <w:tblPr>
        <w:tblW w:w="11217" w:type="dxa"/>
        <w:jc w:val="left"/>
        <w:tblInd w:w="680" w:type="dxa"/>
        <w:tblLayout w:type="fixed"/>
        <w:tblCellMar>
          <w:top w:w="0" w:type="dxa"/>
          <w:left w:w="0" w:type="dxa"/>
          <w:bottom w:w="0" w:type="dxa"/>
          <w:right w:w="0" w:type="dxa"/>
        </w:tblCellMar>
      </w:tblPr>
      <w:tblGrid>
        <w:gridCol w:w="124"/>
        <w:gridCol w:w="586"/>
        <w:gridCol w:w="109"/>
        <w:gridCol w:w="109"/>
        <w:gridCol w:w="109"/>
        <w:gridCol w:w="226"/>
        <w:gridCol w:w="1186"/>
        <w:gridCol w:w="109"/>
        <w:gridCol w:w="109"/>
        <w:gridCol w:w="109"/>
        <w:gridCol w:w="109"/>
        <w:gridCol w:w="226"/>
        <w:gridCol w:w="1081"/>
        <w:gridCol w:w="109"/>
        <w:gridCol w:w="109"/>
        <w:gridCol w:w="109"/>
        <w:gridCol w:w="109"/>
        <w:gridCol w:w="226"/>
        <w:gridCol w:w="886"/>
        <w:gridCol w:w="109"/>
        <w:gridCol w:w="109"/>
        <w:gridCol w:w="109"/>
        <w:gridCol w:w="109"/>
        <w:gridCol w:w="226"/>
        <w:gridCol w:w="1081"/>
        <w:gridCol w:w="109"/>
        <w:gridCol w:w="109"/>
        <w:gridCol w:w="109"/>
        <w:gridCol w:w="109"/>
        <w:gridCol w:w="226"/>
        <w:gridCol w:w="961"/>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80" w:before="0" w:after="0"/>
              <w:jc w:val="center"/>
              <w:rPr/>
            </w:pPr>
            <w:r>
              <w:rPr/>
              <w:t>Plus Year</w:t>
              <w:br/>
              <w:t>End Fair</w:t>
              <w:br/>
              <w:t>Value of</w:t>
              <w:br/>
              <w:t>Outstanding</w:t>
              <w:br/>
              <w:t>Unvested</w:t>
              <w:br/>
              <w:t>Stock Awards</w:t>
              <w:br/>
              <w:t>Granted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25" w:type="dxa"/>
            <w:gridSpan w:val="4"/>
            <w:tcBorders/>
            <w:shd w:fill="000000" w:val="clear"/>
            <w:vAlign w:val="center"/>
          </w:tcPr>
          <w:p>
            <w:pPr>
              <w:pStyle w:val="TableContents"/>
              <w:bidi w:val="0"/>
              <w:spacing w:lineRule="atLeast" w:line="180" w:before="0" w:after="0"/>
              <w:jc w:val="center"/>
              <w:rPr/>
            </w:pPr>
            <w:r>
              <w:rPr/>
              <w:t>Year over</w:t>
              <w:br/>
              <w:t>Year Change</w:t>
              <w:br/>
              <w:t>(Positive or</w:t>
              <w:br/>
              <w:t>Negative) in</w:t>
              <w:br/>
              <w:t>Fair Value of</w:t>
              <w:br/>
              <w:t>Outstanding</w:t>
              <w:br/>
              <w:t>and Unvested</w:t>
              <w:br/>
              <w:t>Stock Awards</w:t>
              <w:br/>
              <w:t>Granted in</w:t>
              <w:br/>
              <w:t xml:space="preserve">Prior Years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80" w:before="0" w:after="0"/>
              <w:jc w:val="center"/>
              <w:rPr/>
            </w:pPr>
            <w:r>
              <w:rPr/>
              <w:t>Plus Fair</w:t>
              <w:br/>
              <w:t>Value of</w:t>
              <w:br/>
              <w:t>Awards</w:t>
              <w:br/>
              <w:t>Granted and</w:t>
              <w:br/>
              <w:t>Vested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25" w:type="dxa"/>
            <w:gridSpan w:val="4"/>
            <w:tcBorders/>
            <w:shd w:fill="000000" w:val="clear"/>
            <w:vAlign w:val="center"/>
          </w:tcPr>
          <w:p>
            <w:pPr>
              <w:pStyle w:val="TableContents"/>
              <w:bidi w:val="0"/>
              <w:spacing w:lineRule="atLeast" w:line="180" w:before="0" w:after="0"/>
              <w:jc w:val="center"/>
              <w:rPr/>
            </w:pPr>
            <w:r>
              <w:rPr/>
              <w:t>Year over</w:t>
              <w:br/>
              <w:t>Year Change</w:t>
              <w:br/>
              <w:t>(Positive or</w:t>
              <w:br/>
              <w:t>Negative) in</w:t>
              <w:br/>
              <w:t>Fair Value of</w:t>
              <w:br/>
              <w:t>Stock Awards</w:t>
              <w:br/>
              <w:t>Granted in Prior</w:t>
              <w:br/>
              <w:t>Years that</w:t>
              <w:br/>
              <w:t>Vested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05" w:type="dxa"/>
            <w:gridSpan w:val="4"/>
            <w:tcBorders/>
            <w:shd w:fill="000000" w:val="clear"/>
            <w:vAlign w:val="center"/>
          </w:tcPr>
          <w:p>
            <w:pPr>
              <w:pStyle w:val="TableContents"/>
              <w:bidi w:val="0"/>
              <w:spacing w:lineRule="atLeast" w:line="180" w:before="0" w:after="0"/>
              <w:jc w:val="center"/>
              <w:rPr/>
            </w:pPr>
            <w:r>
              <w:rPr/>
              <w:t>Less Year</w:t>
              <w:br/>
              <w:t>End Fair Value</w:t>
              <w:br/>
              <w:t>of Awards</w:t>
              <w:br/>
              <w:t>Granted in</w:t>
              <w:br/>
              <w:t>Prior Years</w:t>
              <w:br/>
              <w:t>that Failed</w:t>
              <w:br/>
              <w:t>to Meet the</w:t>
              <w:br/>
              <w:t>Applicable</w:t>
              <w:br/>
              <w:t>Vesting</w:t>
              <w:br/>
              <w:t>Conditions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80" w:before="0" w:after="0"/>
              <w:jc w:val="center"/>
              <w:rPr/>
            </w:pPr>
            <w:r>
              <w:rPr/>
              <w:t>Total</w:t>
              <w:br/>
              <w:t>Equity</w:t>
              <w:br/>
              <w:t>Award</w:t>
              <w:br/>
              <w:t xml:space="preserve">Adjustments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39" w:type="dxa"/>
            <w:gridSpan w:val="37"/>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Company’s CEO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7,390,520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 </w:t>
            </w:r>
            <w:r>
              <w:rPr/>
              <w:t>(293,670)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 </w:t>
            </w:r>
            <w:r>
              <w:rPr/>
              <w:t>(141,130)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961"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6,955,720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39" w:type="dxa"/>
            <w:gridSpan w:val="37"/>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Average of Non-CEO NEOs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2,380,327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(112,341)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66,201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13,120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961" w:type="dxa"/>
            <w:tcBorders>
              <w:bottom w:val="single" w:sz="2" w:space="0" w:color="016836"/>
            </w:tcBorders>
            <w:tcMar>
              <w:bottom w:w="56" w:type="dxa"/>
            </w:tcMar>
            <w:vAlign w:val="center"/>
          </w:tcPr>
          <w:p>
            <w:pPr>
              <w:pStyle w:val="TableContents"/>
              <w:bidi w:val="0"/>
              <w:spacing w:before="0" w:after="283"/>
              <w:jc w:val="right"/>
              <w:rPr/>
            </w:pPr>
            <w:r>
              <w:rPr/>
              <w:t> </w:t>
            </w:r>
            <w:r>
              <w:rPr/>
              <w:t>(83,721)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2,263,586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Cumulative TSR is calculated by dividing the sum of the cumulative amount of dividends for the measurement period, assuming dividend reinvestment, and the difference between the price of Common Stock at the end and the beginning of the measurement period by the price of Common Stock at the beginning of the measurement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37">
                <wp:simplePos x="0" y="0"/>
                <wp:positionH relativeFrom="column">
                  <wp:align>left</wp:align>
                </wp:positionH>
                <wp:positionV relativeFrom="line">
                  <wp:align>top</wp:align>
                </wp:positionV>
                <wp:extent cx="254000" cy="350520"/>
                <wp:effectExtent l="0" t="0" r="0" b="0"/>
                <wp:wrapSquare wrapText="right"/>
                <wp:docPr id="1030" name="Frame9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peer group used for this purpose is the S&amp;P 400 IT Consulting and Other Services Index, which we also utilize in the stock performance graph required by Item 201(e) of Regulation S-K included in our Annual Reports on Form 10-K for the years ended March 31, 2026, March 31, 2025, March 31, 2024, March 31, 2023 and March 31,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38">
                <wp:simplePos x="0" y="0"/>
                <wp:positionH relativeFrom="column">
                  <wp:align>left</wp:align>
                </wp:positionH>
                <wp:positionV relativeFrom="line">
                  <wp:align>top</wp:align>
                </wp:positionV>
                <wp:extent cx="254000" cy="350520"/>
                <wp:effectExtent l="0" t="0" r="0" b="0"/>
                <wp:wrapSquare wrapText="right"/>
                <wp:docPr id="1031" name="Frame9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represent the amount of net income (loss) reflected in our audited consolidated financial statements for the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39">
                <wp:simplePos x="0" y="0"/>
                <wp:positionH relativeFrom="column">
                  <wp:align>left</wp:align>
                </wp:positionH>
                <wp:positionV relativeFrom="line">
                  <wp:align>top</wp:align>
                </wp:positionV>
                <wp:extent cx="254000" cy="350520"/>
                <wp:effectExtent l="0" t="0" r="0" b="0"/>
                <wp:wrapSquare wrapText="right"/>
                <wp:docPr id="1032" name="Frame9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Revenue as reported under GAAP.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40">
                <wp:simplePos x="0" y="0"/>
                <wp:positionH relativeFrom="column">
                  <wp:align>left</wp:align>
                </wp:positionH>
                <wp:positionV relativeFrom="line">
                  <wp:align>top</wp:align>
                </wp:positionV>
                <wp:extent cx="254000" cy="350520"/>
                <wp:effectExtent l="0" t="0" r="0" b="0"/>
                <wp:wrapSquare wrapText="right"/>
                <wp:docPr id="1033" name="Frame9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Financial Performance Measures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described in greater detail in the Compensation Discussion and Analysis section, our executive compensation program reflects a variable pay-for-performance philosophy with a substantial portion of our NEOs’ annual target total direct compensation “at-risk” and/or subject to performance-based vesting requirements. The metrics that we use for both our short and long-term compensation programs are selected based on the objective of ensuring our NEOs’ interests are aligned with those of our stockholders and to motivate and reward individual initiative and effort. The most important financial performance measures used by us to link executive compensation actually paid to the NEOs, for the most recently completed fiscal year, to our performance are set forth below. These measures are utilized in our annual cash and long-term equity incentive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Revenue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1">
                <wp:simplePos x="0" y="0"/>
                <wp:positionH relativeFrom="column">
                  <wp:align>left</wp:align>
                </wp:positionH>
                <wp:positionV relativeFrom="line">
                  <wp:align>top</wp:align>
                </wp:positionV>
                <wp:extent cx="127000" cy="350520"/>
                <wp:effectExtent l="0" t="0" r="0" b="0"/>
                <wp:wrapSquare wrapText="right"/>
                <wp:docPr id="1034" name="Frame9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Non-GAAP EBIT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2">
                <wp:simplePos x="0" y="0"/>
                <wp:positionH relativeFrom="column">
                  <wp:align>left</wp:align>
                </wp:positionH>
                <wp:positionV relativeFrom="line">
                  <wp:align>top</wp:align>
                </wp:positionV>
                <wp:extent cx="127000" cy="350520"/>
                <wp:effectExtent l="0" t="0" r="0" b="0"/>
                <wp:wrapSquare wrapText="right"/>
                <wp:docPr id="1035" name="Frame9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Rule of 40 (Average 3-year revenue growth percentage + Average 3-year EBITDA margin)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3">
                <wp:simplePos x="0" y="0"/>
                <wp:positionH relativeFrom="column">
                  <wp:align>left</wp:align>
                </wp:positionH>
                <wp:positionV relativeFrom="line">
                  <wp:align>top</wp:align>
                </wp:positionV>
                <wp:extent cx="127000" cy="350520"/>
                <wp:effectExtent l="0" t="0" r="0" b="0"/>
                <wp:wrapSquare wrapText="right"/>
                <wp:docPr id="1036" name="Frame10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Relative TSR compared to the Russell 2000 Index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4">
                <wp:simplePos x="0" y="0"/>
                <wp:positionH relativeFrom="column">
                  <wp:align>left</wp:align>
                </wp:positionH>
                <wp:positionV relativeFrom="line">
                  <wp:align>top</wp:align>
                </wp:positionV>
                <wp:extent cx="127000" cy="350520"/>
                <wp:effectExtent l="0" t="0" r="0" b="0"/>
                <wp:wrapSquare wrapText="right"/>
                <wp:docPr id="1037" name="Frame10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graphs and narratives on the following pages reflect the relationship between (i) the compensation actually paid to our CEO and the average compensation actually paid to our Non-CEO NEOs and (ii) each of the financial performance measures included within the Pay Versus Performance table above.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400" w:after="283"/>
        <w:ind w:left="680" w:right="0" w:hanging="0"/>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Cumulative TSR of the Company and Cumulative TSR of the Peer Group</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with our cumulative TSR and the TSR of our peer group over the five years presented in the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4629150" cy="2695575"/>
            <wp:effectExtent l="0" t="0" r="0" b="0"/>
            <wp:docPr id="10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37" descr=""/>
                    <pic:cNvPicPr>
                      <a:picLocks noChangeAspect="1" noChangeArrowheads="1"/>
                    </pic:cNvPicPr>
                  </pic:nvPicPr>
                  <pic:blipFill>
                    <a:blip r:embed="rId38"/>
                    <a:stretch>
                      <a:fillRect/>
                    </a:stretch>
                  </pic:blipFill>
                  <pic:spPr bwMode="auto">
                    <a:xfrm>
                      <a:off x="0" y="0"/>
                      <a:ext cx="4629150"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24"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Revenue</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with revenue. While the Company uses several financial performance measures to evaluate performance for purposes of its executive compensation program, the Company has determined that revenue is the financial performance measure that, in the Company’s assessment, represents the most important performance measure (that is not otherwise required to be disclosed in the table) used by the Company to link compensation actually paid to the NEOs for the most recently completed fiscal year to Company performance. Revenue is a key driver of both (i) our annual cash incentive plan, which, for fiscal 2026, utilized revenue adjusted to reflect the impact, if any, of acquisitions and divestitures during the year as one of the two corporate performance measures (weighted 50%) and (ii) our long-term equity incentive compensation program in our fiscal 2026 Rule of 40 PSUs (average 3-year revenue growth percentage). Note, however, that because a significant portion of compensation actually paid is comprised of equity awards, which have multi-year vesting periods, compensation actually paid is heavily impacted by fluctuations in stock price year-over-year, as compared to revenue.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4629150" cy="2428875"/>
            <wp:effectExtent l="0" t="0" r="0" b="0"/>
            <wp:docPr id="10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38" descr=""/>
                    <pic:cNvPicPr>
                      <a:picLocks noChangeAspect="1" noChangeArrowheads="1"/>
                    </pic:cNvPicPr>
                  </pic:nvPicPr>
                  <pic:blipFill>
                    <a:blip r:embed="rId39"/>
                    <a:stretch>
                      <a:fillRect/>
                    </a:stretch>
                  </pic:blipFill>
                  <pic:spPr bwMode="auto">
                    <a:xfrm>
                      <a:off x="0" y="0"/>
                      <a:ext cx="46291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40" w:after="283"/>
        <w:ind w:left="680" w:right="0" w:hanging="0"/>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Net Income (Loss)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to our net income (loss) over the five years presented in the table.</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29150" cy="2428875"/>
            <wp:effectExtent l="0" t="0" r="0" b="0"/>
            <wp:docPr id="10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39" descr=""/>
                    <pic:cNvPicPr>
                      <a:picLocks noChangeAspect="1" noChangeArrowheads="1"/>
                    </pic:cNvPicPr>
                  </pic:nvPicPr>
                  <pic:blipFill>
                    <a:blip r:embed="rId40"/>
                    <a:stretch>
                      <a:fillRect/>
                    </a:stretch>
                  </pic:blipFill>
                  <pic:spPr bwMode="auto">
                    <a:xfrm>
                      <a:off x="0" y="0"/>
                      <a:ext cx="46291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NDC"/>
      <w:bookmarkEnd w:id="158"/>
      <w:r>
        <w:rPr>
          <w:rFonts w:ascii="calibri;arial;sans-serif" w:hAnsi="calibri;arial;sans-serif"/>
          <w:b w:val="false"/>
          <w:i w:val="false"/>
          <w:caps w:val="false"/>
          <w:smallCaps w:val="false"/>
          <w:color w:val="000000"/>
          <w:sz w:val="16"/>
        </w:rPr>
        <w:t>​</w:t>
      </w:r>
      <w:bookmarkStart w:id="159" w:name="tBODS"/>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Non-Employee Director Compensation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Governance/Nominating Committee of the Board reviews and makes a recommendation to the full Board regarding the compensation to be paid to the non-employee directors each year. In the past fiscal year, the base annual retainer for each non-employee director, except for the Non</w:t>
      </w:r>
      <w:r>
        <w:rPr>
          <w:rFonts w:ascii="Arial;Helvetica;sans-serif" w:hAnsi="Arial;Helvetica;sans-serif"/>
          <w:b/>
          <w:i w:val="false"/>
          <w:caps w:val="false"/>
          <w:smallCaps w:val="false"/>
          <w:color w:val="000000"/>
          <w:sz w:val="20"/>
        </w:rPr>
        <w:t>-</w:t>
      </w:r>
      <w:r>
        <w:rPr>
          <w:rFonts w:ascii="Arial;Helvetica;sans-serif" w:hAnsi="Arial;Helvetica;sans-serif"/>
          <w:b w:val="false"/>
          <w:i w:val="false"/>
          <w:caps w:val="false"/>
          <w:smallCaps w:val="false"/>
          <w:color w:val="000000"/>
          <w:sz w:val="20"/>
        </w:rPr>
        <w:t>Executive Chairman of the Board, was $220,000, of which $160,000 was payable in Company Common Stock and $60,000 was payable in stock or cash at the election of each director. The base annual retainer for the Non-Executive Chairman of the Board during the past fiscal year was $290,000, of which $200,000 was payable in Company Common Stock and $90,000 was payable in stock or cash at the Chairman’s election. An additional $10,000 per committee was payable to each non-employee director for his or her service on the Audit/Finance, Talent and Compensation and Governance/Nominating Committees, payable in stock or cash at the election of each director. No additional compensation was paid for service on the Executive Committee. The chairs of the Audit/Finance, Talent and Compensation and Governance/Nominating Committees were paid an additional $20,000, $20,000, and $10,000, respectively, as compensation for their additional responsibilities as chairs, payable in stock or cash at each chair’s election.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Director fees are paid in arrears on a quarterly basis. The Company reimburses its outside directors for travel and other expenses directly incurred by them in connection with their service to the Company. The Company maintains a deferred compensation plan under which the directors may elect to defer receipt of their equity (but not cash) fees.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shows the compensation awarded in fiscal year 2026 to the Company’s non-employee directors. </w:t>
      </w:r>
    </w:p>
    <w:tbl>
      <w:tblPr>
        <w:tblW w:w="7094" w:type="dxa"/>
        <w:jc w:val="left"/>
        <w:tblInd w:w="680" w:type="dxa"/>
        <w:tblLayout w:type="fixed"/>
        <w:tblCellMar>
          <w:top w:w="0" w:type="dxa"/>
          <w:left w:w="0" w:type="dxa"/>
          <w:bottom w:w="0" w:type="dxa"/>
          <w:right w:w="0" w:type="dxa"/>
        </w:tblCellMar>
      </w:tblPr>
      <w:tblGrid>
        <w:gridCol w:w="124"/>
        <w:gridCol w:w="2176"/>
        <w:gridCol w:w="109"/>
        <w:gridCol w:w="109"/>
        <w:gridCol w:w="140"/>
        <w:gridCol w:w="140"/>
        <w:gridCol w:w="1140"/>
        <w:gridCol w:w="140"/>
        <w:gridCol w:w="109"/>
        <w:gridCol w:w="109"/>
        <w:gridCol w:w="109"/>
        <w:gridCol w:w="109"/>
        <w:gridCol w:w="886"/>
        <w:gridCol w:w="109"/>
        <w:gridCol w:w="109"/>
        <w:gridCol w:w="109"/>
        <w:gridCol w:w="109"/>
        <w:gridCol w:w="109"/>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217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0" w:type="dxa"/>
            <w:gridSpan w:val="4"/>
            <w:tcBorders/>
            <w:shd w:fill="000000" w:val="clear"/>
            <w:vAlign w:val="center"/>
          </w:tcPr>
          <w:p>
            <w:pPr>
              <w:pStyle w:val="TableContents"/>
              <w:bidi w:val="0"/>
              <w:spacing w:before="0" w:after="0"/>
              <w:jc w:val="center"/>
              <w:rPr/>
            </w:pPr>
            <w:r>
              <w:rPr/>
              <w:t>Fees Earned</w:t>
              <w:br/>
              <w:t>or Paid in Cash</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Stock</w:t>
              <w:br/>
              <w:t>Awards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Kristi Argyilan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John L. Battelle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60,000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185,000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245,000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Timothy R. Cadogan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100,000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260,000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Vivian Chow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90,000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250,000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Clark M. Kokich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110,000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200,000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310,000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Brian O’Kelley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Omar Tawakol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35,000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40,000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75,000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Debora B. Tomlin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80,000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240,000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320" w:before="21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Board of Directors’ Stock Ownership Guidelines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guidelines have been adopted by the Board with respect to stock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further align the interests of non-employee directors with the interests of the Company’s stockholders, each non-employee director is expected to acquire and retain shares of the Company’s Common Stock having a value equal to at least three times the total value of the non-employee director’s annual stock and cash retainer. Non-employee directors shall have five years from the date of election or appointment to attain such ownership levels. The Governance/Nominating Committee in its discretion may extend the period of time for attainment of such ownership levels in appropriate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these guidelines, a non-employee director’s stock ownership shall include all shares of the Company’s Common Stock owned outright by the director and by his or her immediate family members (spouse and dependent children) and any shares held in trust for the benefit of the director and/or his or her immediate family members, plus any stock held for the benefit of the director in a deferred compensation plan. The value of stock to be acquired by the Non-Executive Chairman of the Board need not be more than that of the other directors. The value of a share shall be measured as the greater of the then-current market price or the closing price of a share of the Company’s Common Stock on the director’s acquisition date. In the event the non-employee directors’ annual retainer increases, they have one year from the date of the increase to acquire any additional shares needed to meet these guidelines. All current directors own stock in the Company, and each director who has served on the Board for five or more years has met or exceeded the ownership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AVON"/>
      <w:bookmarkEnd w:id="160"/>
      <w:r>
        <w:rPr>
          <w:rFonts w:ascii="calibri;arial;sans-serif" w:hAnsi="calibri;arial;sans-serif"/>
          <w:b w:val="false"/>
          <w:i w:val="false"/>
          <w:caps w:val="false"/>
          <w:smallCaps w:val="false"/>
          <w:color w:val="000000"/>
          <w:sz w:val="16"/>
        </w:rPr>
        <w:t>​</w:t>
      </w:r>
      <w:bookmarkStart w:id="161" w:name="tVRTA1"/>
      <w:bookmarkEnd w:id="161"/>
      <w:r>
        <w:rPr>
          <w:rFonts w:ascii="calibri;arial;sans-serif" w:hAnsi="calibri;arial;sans-serif"/>
          <w:b w:val="false"/>
          <w:i w:val="false"/>
          <w:caps w:val="false"/>
          <w:smallCaps w:val="false"/>
          <w:color w:val="000000"/>
          <w:sz w:val="16"/>
        </w:rPr>
        <w:t>​</w:t>
      </w:r>
      <w:bookmarkStart w:id="162" w:name="tROTB2"/>
      <w:bookmarkEnd w:id="162"/>
      <w:r>
        <w:rPr>
          <w:rFonts w:ascii="calibri;arial;sans-serif" w:hAnsi="calibri;arial;sans-serif"/>
          <w:b w:val="false"/>
          <w:i w:val="false"/>
          <w:caps w:val="false"/>
          <w:smallCaps w:val="false"/>
          <w:color w:val="000000"/>
          <w:sz w:val="16"/>
        </w:rPr>
        <w:t xml:space="preserve">​ </w:t>
      </w:r>
    </w:p>
    <w:tbl>
      <w:tblPr>
        <w:tblW w:w="8167" w:type="dxa"/>
        <w:jc w:val="left"/>
        <w:tblInd w:w="440" w:type="dxa"/>
        <w:tblLayout w:type="fixed"/>
        <w:tblCellMar>
          <w:top w:w="0" w:type="dxa"/>
          <w:left w:w="0" w:type="dxa"/>
          <w:bottom w:w="0" w:type="dxa"/>
          <w:right w:w="0" w:type="dxa"/>
        </w:tblCellMar>
      </w:tblPr>
      <w:tblGrid>
        <w:gridCol w:w="124"/>
        <w:gridCol w:w="226"/>
        <w:gridCol w:w="109"/>
        <w:gridCol w:w="109"/>
        <w:gridCol w:w="109"/>
        <w:gridCol w:w="733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733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Advisory Vote on Named Executive Officer Merger-Related Compensation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7)</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14A of the Exchange Act and the applicable SEC rules issued thereunder, LiveRamp is required to submit a proposal to LiveRamp stockholders for a non-binding, advisory vote to approve certain compensation that may be paid or become payable to the named executive officers of LiveRamp that is based on or otherwise relates to the Merger, as determined in accordance with Item 402(t) of Regulation S-K. This compensation is summarized in the table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 — Quantification of Potential Payments and Benefits to LiveRamp’s Named Executive Officers in Connection with the Merger</w:t>
      </w:r>
      <w:r>
        <w:rPr>
          <w:rFonts w:ascii="Arial;Helvetica;sans-serif" w:hAnsi="Arial;Helvetica;sans-serif"/>
          <w:b w:val="false"/>
          <w:i w:val="false"/>
          <w:caps w:val="false"/>
          <w:smallCaps w:val="false"/>
          <w:color w:val="000000"/>
          <w:sz w:val="20"/>
        </w:rPr>
        <w:t>”, including the footnotes to the table. This proposal is commonly known as “say-on-golden parachutes”, and we refer to it as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those rules, LiveRamp is asking stockholders to vote on the approval of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stockholders of LiveRamp hereby approve, on a non-binding, advisory basis, the compensation that may be paid, or become payable, to LiveRamp’s named executive officers that is based on or otherwise relates to the Merger as disclosed pursuant to Item 402(t) of Regulation S-K in the table in the section of this proxy statement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 — Quantification of Potential Payments and Benefits to LiveRamp’s Named Executive Officers in Connection with the Merger”</w:t>
      </w:r>
      <w:r>
        <w:rPr>
          <w:rFonts w:ascii="Arial;Helvetica;sans-serif" w:hAnsi="Arial;Helvetica;sans-serif"/>
          <w:b w:val="false"/>
          <w:i w:val="false"/>
          <w:caps w:val="false"/>
          <w:smallCaps w:val="false"/>
          <w:color w:val="000000"/>
          <w:sz w:val="20"/>
        </w:rPr>
        <w:t>, including the footnotes to the table and the related narrative disclosures”.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encourages you to review carefully the compensation information disclosed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Vote Required to Approve the Merger Compensation Proposal</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proposal to adopt the Merger Agreement. Accordingly, you may vote to adopt the Merger Agreement and vote not to approve the Merger Compensation Proposal and vice versa. Because the vote on the Merger Compensation Proposal is advisory only, it will not be binding on either LiveRamp or Parent. Accordingly, if the Merger Agreement is approved and the Merger is completed, the compensation will be payable, subject only to the conditions applicable thereto, regardless of the outcome of the non-binding, advisory vote of LiveRamp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above resolution approving the Merger Compensation Proposal on an advisory basis will require the affirmative vote of a majority of the votes cast for the proposal virtually via the internet or by proxy at the Special Meeting. If a stockholder signs and returns a proxy card and does not indicate how he, she or it wishes to vote on the Merger Compensation Proposal, such stockholder’s shares of Common Stock will be voted in favor of the Merger Compensation Proposal. An abstention, or if a stockholder fails to vote, will have no effect on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Recommendation of the Board</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The Board unanimously recommends a vote “FOR” the Merger Compensation Proposal.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MPAD"/>
      <w:bookmarkEnd w:id="163"/>
      <w:r>
        <w:rPr>
          <w:rFonts w:ascii="calibri;arial;sans-serif" w:hAnsi="calibri;arial;sans-serif"/>
          <w:b w:val="false"/>
          <w:i w:val="false"/>
          <w:caps w:val="false"/>
          <w:smallCaps w:val="false"/>
          <w:color w:val="000000"/>
          <w:sz w:val="16"/>
        </w:rPr>
        <w:t>​</w:t>
      </w:r>
      <w:bookmarkStart w:id="164" w:name="tMAIN"/>
      <w:bookmarkEnd w:id="164"/>
      <w:r>
        <w:rPr>
          <w:rFonts w:ascii="calibri;arial;sans-serif" w:hAnsi="calibri;arial;sans-serif"/>
          <w:b w:val="false"/>
          <w:i w:val="false"/>
          <w:caps w:val="false"/>
          <w:smallCaps w:val="false"/>
          <w:color w:val="000000"/>
          <w:sz w:val="16"/>
        </w:rPr>
        <w:t>​</w:t>
      </w:r>
      <w:bookmarkStart w:id="165" w:name="tMPADRev1"/>
      <w:bookmarkEnd w:id="165"/>
      <w:r>
        <w:rPr>
          <w:rFonts w:ascii="calibri;arial;sans-serif" w:hAnsi="calibri;arial;sans-serif"/>
          <w:b w:val="false"/>
          <w:i w:val="false"/>
          <w:caps w:val="false"/>
          <w:smallCaps w:val="false"/>
          <w:color w:val="000000"/>
          <w:sz w:val="16"/>
        </w:rPr>
        <w:t>​</w:t>
      </w:r>
      <w:bookmarkStart w:id="166" w:name="tHOL"/>
      <w:bookmarkEnd w:id="166"/>
      <w:r>
        <w:rPr>
          <w:rFonts w:ascii="calibri;arial;sans-serif" w:hAnsi="calibri;arial;sans-serif"/>
          <w:b w:val="false"/>
          <w:i w:val="false"/>
          <w:caps w:val="false"/>
          <w:smallCaps w:val="false"/>
          <w:color w:val="000000"/>
          <w:sz w:val="16"/>
        </w:rPr>
        <w:t>​</w:t>
      </w:r>
      <w:bookmarkStart w:id="167" w:name="tDIV"/>
      <w:bookmarkEnd w:id="167"/>
      <w:r>
        <w:rPr>
          <w:rFonts w:ascii="calibri;arial;sans-serif" w:hAnsi="calibri;arial;sans-serif"/>
          <w:b w:val="false"/>
          <w:i w:val="false"/>
          <w:caps w:val="false"/>
          <w:smallCaps w:val="false"/>
          <w:color w:val="000000"/>
          <w:sz w:val="16"/>
        </w:rPr>
        <w:t xml:space="preserve">​ </w:t>
      </w:r>
    </w:p>
    <w:tbl>
      <w:tblPr>
        <w:tblW w:w="4732" w:type="dxa"/>
        <w:jc w:val="left"/>
        <w:tblInd w:w="440" w:type="dxa"/>
        <w:tblLayout w:type="fixed"/>
        <w:tblCellMar>
          <w:top w:w="0" w:type="dxa"/>
          <w:left w:w="0" w:type="dxa"/>
          <w:bottom w:w="0" w:type="dxa"/>
          <w:right w:w="0" w:type="dxa"/>
        </w:tblCellMar>
      </w:tblPr>
      <w:tblGrid>
        <w:gridCol w:w="124"/>
        <w:gridCol w:w="226"/>
        <w:gridCol w:w="109"/>
        <w:gridCol w:w="109"/>
        <w:gridCol w:w="109"/>
        <w:gridCol w:w="390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390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Market Price and Dividend Information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440" w:right="0" w:hanging="0"/>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Market Information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Shares of Common Stock are listed with, and trade on, the NYSE under the symbol “RAMP”. The closing price of Common Stock as reported on the NYSE as of May 15, 2026, the last trading day prior to the execution of the Merger Agreement, was $29.66 per share. The $38.50 per share to be paid for each share of Common Stock pursuant to the Merger Agreement represents a premium of approximately 30% over the closing price on May 15, 2026. On [      ], 2026, the latest practicable trading day before the filing of this proxy statement, the reported closing price for shares of Common Stock on the NYSE was $[      ]. You are urged to obtain current market quotations for Common Stock as reported on the NYSE when considering whether to approve the proposals set forth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close of business on the Record Date for the Special Meeting, there were [     ] shares of Common Stock issued and outstanding, held by approximately [     ] holders of record. The number of holders is based upon the actual number of holders registered in our records at such date and excludes holders of shares in “street name” or persons, partnerships, associations, corporations or other entities identified in security positions listings maintained by depository trust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Dividends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have historically not paid dividends to our stockholders. Under the terms of the Merger Agreement, between the date of the Merger Agreement and the earlier of the Effective Time and the date, if any, on which the Merger Agreement is terminated in accordance with its terms, we may not declare or pay dividends to holders of Common Stock without Parent’s consent.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SOOC"/>
      <w:bookmarkEnd w:id="168"/>
      <w:r>
        <w:rPr>
          <w:rFonts w:ascii="calibri;arial;sans-serif" w:hAnsi="calibri;arial;sans-serif"/>
          <w:b w:val="false"/>
          <w:i w:val="false"/>
          <w:caps w:val="false"/>
          <w:smallCaps w:val="false"/>
          <w:color w:val="000000"/>
          <w:sz w:val="16"/>
        </w:rPr>
        <w:t xml:space="preserve">​ </w:t>
      </w:r>
    </w:p>
    <w:tbl>
      <w:tblPr>
        <w:tblW w:w="7417" w:type="dxa"/>
        <w:jc w:val="left"/>
        <w:tblInd w:w="440" w:type="dxa"/>
        <w:tblLayout w:type="fixed"/>
        <w:tblCellMar>
          <w:top w:w="0" w:type="dxa"/>
          <w:left w:w="0" w:type="dxa"/>
          <w:bottom w:w="0" w:type="dxa"/>
          <w:right w:w="0" w:type="dxa"/>
        </w:tblCellMar>
      </w:tblPr>
      <w:tblGrid>
        <w:gridCol w:w="124"/>
        <w:gridCol w:w="226"/>
        <w:gridCol w:w="109"/>
        <w:gridCol w:w="109"/>
        <w:gridCol w:w="109"/>
        <w:gridCol w:w="658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65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Security Ownership of Certain Beneficial Owners and Management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as of June 18, 2026, with respect to the beneficial ownership of Common Stock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our directors, nominees and named executive officers individually;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45">
                <wp:simplePos x="0" y="0"/>
                <wp:positionH relativeFrom="column">
                  <wp:align>left</wp:align>
                </wp:positionH>
                <wp:positionV relativeFrom="line">
                  <wp:align>top</wp:align>
                </wp:positionV>
                <wp:extent cx="127000" cy="350520"/>
                <wp:effectExtent l="0" t="0" r="0" b="0"/>
                <wp:wrapSquare wrapText="right"/>
                <wp:docPr id="1041" name="Frame10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of our directors, nominees and executive officers as a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046">
                <wp:simplePos x="0" y="0"/>
                <wp:positionH relativeFrom="column">
                  <wp:align>left</wp:align>
                </wp:positionH>
                <wp:positionV relativeFrom="line">
                  <wp:align>top</wp:align>
                </wp:positionV>
                <wp:extent cx="127000" cy="350520"/>
                <wp:effectExtent l="0" t="0" r="0" b="0"/>
                <wp:wrapSquare wrapText="right"/>
                <wp:docPr id="1042" name="Frame10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person who is known to us to beneficially own more than 5% of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047">
                <wp:simplePos x="0" y="0"/>
                <wp:positionH relativeFrom="column">
                  <wp:align>left</wp:align>
                </wp:positionH>
                <wp:positionV relativeFrom="line">
                  <wp:align>top</wp:align>
                </wp:positionV>
                <wp:extent cx="127000" cy="350520"/>
                <wp:effectExtent l="0" t="0" r="0" b="0"/>
                <wp:wrapSquare wrapText="right"/>
                <wp:docPr id="1043" name="Frame10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indicated, the address of each person named in the table below is c/o LiveRamp Holdings, Inc., 225 Bush Street, 17th Floor, San Francisco, CA 94104, and each beneficial owner named in the table has sole voting and sole investment power with respect to all shares beneficially owned. The percentage listed in the column entitled “Percentage of Class” is calculated based on 60,786,315 shares of Common Stock issued and outstanding as of June 18, 2026. This number excludes 102,360,835 shares held in treasury.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A person is also deemed to be a beneficial owner of any securities of which that person has a right to acquire beneficial ownership within sixty (60) days. Under these rules, more than one person may be deemed a beneficial owner of the same securities and a person may be deemed to be a beneficial owner of securities as to which that person has no economic interest. In addition to the shares beneficially owned, the amounts in the table below include all outstanding time-based RSUs held by our executive officers that will vest contingent upon the recipient’s continued employment with the registrant.</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5816"/>
        <w:gridCol w:w="109"/>
        <w:gridCol w:w="109"/>
        <w:gridCol w:w="109"/>
        <w:gridCol w:w="109"/>
        <w:gridCol w:w="1311"/>
        <w:gridCol w:w="109"/>
        <w:gridCol w:w="109"/>
        <w:gridCol w:w="109"/>
        <w:gridCol w:w="126"/>
        <w:gridCol w:w="126"/>
        <w:gridCol w:w="975"/>
        <w:gridCol w:w="126"/>
        <w:gridCol w:w="158"/>
      </w:tblGrid>
      <w:tr>
        <w:trPr/>
        <w:tc>
          <w:tcPr>
            <w:tcW w:w="124" w:type="dxa"/>
            <w:tcBorders/>
            <w:shd w:fill="000000" w:val="clear"/>
            <w:vAlign w:val="center"/>
          </w:tcPr>
          <w:p>
            <w:pPr>
              <w:pStyle w:val="TableContents"/>
              <w:bidi w:val="0"/>
              <w:spacing w:before="0" w:after="283"/>
              <w:jc w:val="left"/>
              <w:rPr/>
            </w:pPr>
            <w:r>
              <w:rPr/>
              <w:t>​</w:t>
            </w:r>
          </w:p>
        </w:tc>
        <w:tc>
          <w:tcPr>
            <w:tcW w:w="5816" w:type="dxa"/>
            <w:tcBorders/>
            <w:shd w:fill="000000" w:val="clear"/>
            <w:vAlign w:val="center"/>
          </w:tcPr>
          <w:p>
            <w:pPr>
              <w:pStyle w:val="TableContents"/>
              <w:bidi w:val="0"/>
              <w:spacing w:before="0" w:after="0"/>
              <w:jc w:val="left"/>
              <w:rPr/>
            </w:pPr>
            <w:r>
              <w:rPr/>
              <w:t xml:space="preserve">Beneficial Owner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8" w:type="dxa"/>
            <w:gridSpan w:val="4"/>
            <w:tcBorders/>
            <w:shd w:fill="000000" w:val="clear"/>
            <w:vAlign w:val="center"/>
          </w:tcPr>
          <w:p>
            <w:pPr>
              <w:pStyle w:val="TableContents"/>
              <w:bidi w:val="0"/>
              <w:spacing w:before="0" w:after="0"/>
              <w:jc w:val="center"/>
              <w:rPr/>
            </w:pPr>
            <w:r>
              <w:rPr/>
              <w:t xml:space="preserve">Shares </w:t>
              <w:br/>
              <w:t xml:space="preserve">Beneficially </w:t>
              <w:br/>
              <w:t xml:space="preserve">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3" w:type="dxa"/>
            <w:gridSpan w:val="4"/>
            <w:tcBorders/>
            <w:shd w:fill="000000" w:val="clear"/>
            <w:vAlign w:val="center"/>
          </w:tcPr>
          <w:p>
            <w:pPr>
              <w:pStyle w:val="TableContents"/>
              <w:bidi w:val="0"/>
              <w:spacing w:before="0" w:after="0"/>
              <w:jc w:val="center"/>
              <w:rPr/>
            </w:pPr>
            <w:r>
              <w:rPr/>
              <w:t>Percentage of</w:t>
              <w:br/>
              <w:t xml:space="preserve">Class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Kristi Argyilan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1,039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John L. Battelle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58,219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Timothy R. Cadogan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61,099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Vivian Chow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30,205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397,476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1,255,867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2.07%</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28" w:type="dxa"/>
            </w:tcMar>
            <w:vAlign w:val="center"/>
          </w:tcPr>
          <w:p>
            <w:pPr>
              <w:pStyle w:val="TableContents"/>
              <w:bidi w:val="0"/>
              <w:spacing w:before="0" w:after="283"/>
              <w:jc w:val="left"/>
              <w:rPr/>
            </w:pPr>
            <w:r>
              <w:rPr/>
              <w:t xml:space="preserve">Mohsin Hussain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28" w:type="dxa"/>
            </w:tcMar>
            <w:vAlign w:val="center"/>
          </w:tcPr>
          <w:p>
            <w:pPr>
              <w:pStyle w:val="TableContents"/>
              <w:bidi w:val="0"/>
              <w:spacing w:before="0" w:after="283"/>
              <w:jc w:val="right"/>
              <w:rPr/>
            </w:pPr>
            <w:r>
              <w:rPr/>
              <w:t>117,983</w:t>
            </w:r>
            <w:r>
              <w:rPr>
                <w:sz w:val="13"/>
              </w:rPr>
              <w:t>1</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268,916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125,535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Clark M. Kokich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105,286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197,650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Debora B. Tomlin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 xml:space="preserve">34,075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All directors, nominees and executive officers as a group (12 people)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 xml:space="preserve">2,535,367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4.17%</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37" w:type="dxa"/>
            </w:tcMar>
            <w:vAlign w:val="center"/>
          </w:tcPr>
          <w:p>
            <w:pPr>
              <w:pStyle w:val="TableContents"/>
              <w:bidi w:val="0"/>
              <w:spacing w:before="0" w:after="0"/>
              <w:ind w:left="200" w:right="0" w:hanging="200"/>
              <w:jc w:val="left"/>
              <w:rPr/>
            </w:pPr>
            <w:r>
              <w:rPr/>
              <w:t>BlackRock, Inc.</w:t>
              <w:br/>
              <w:t>50 Hudson Yards</w:t>
              <w:br/>
              <w:t xml:space="preserve">New York, NY 10001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7" w:type="dxa"/>
            </w:tcMar>
            <w:vAlign w:val="center"/>
          </w:tcPr>
          <w:p>
            <w:pPr>
              <w:pStyle w:val="TableContents"/>
              <w:bidi w:val="0"/>
              <w:spacing w:before="0" w:after="283"/>
              <w:jc w:val="right"/>
              <w:rPr/>
            </w:pPr>
            <w:r>
              <w:rPr/>
              <w:t>​</w:t>
            </w:r>
          </w:p>
        </w:tc>
        <w:tc>
          <w:tcPr>
            <w:tcW w:w="1311" w:type="dxa"/>
            <w:tcBorders>
              <w:bottom w:val="single" w:sz="2" w:space="0" w:color="016836"/>
            </w:tcBorders>
            <w:tcMar>
              <w:bottom w:w="37" w:type="dxa"/>
            </w:tcMar>
            <w:vAlign w:val="center"/>
          </w:tcPr>
          <w:p>
            <w:pPr>
              <w:pStyle w:val="TableContents"/>
              <w:bidi w:val="0"/>
              <w:spacing w:before="0" w:after="283"/>
              <w:jc w:val="right"/>
              <w:rPr/>
            </w:pPr>
            <w:r>
              <w:rPr/>
              <w:t>10,040,234</w:t>
            </w:r>
            <w:r>
              <w:rPr>
                <w:sz w:val="13"/>
              </w:rPr>
              <w:t>2</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37" w:type="dxa"/>
            </w:tcMar>
            <w:vAlign w:val="center"/>
          </w:tcPr>
          <w:p>
            <w:pPr>
              <w:pStyle w:val="TableContents"/>
              <w:bidi w:val="0"/>
              <w:spacing w:before="0" w:after="283"/>
              <w:jc w:val="right"/>
              <w:rPr/>
            </w:pPr>
            <w:r>
              <w:rPr/>
              <w:t>​</w:t>
            </w:r>
          </w:p>
        </w:tc>
        <w:tc>
          <w:tcPr>
            <w:tcW w:w="975" w:type="dxa"/>
            <w:tcBorders>
              <w:bottom w:val="single" w:sz="2" w:space="0" w:color="016836"/>
            </w:tcBorders>
            <w:tcMar>
              <w:bottom w:w="37" w:type="dxa"/>
            </w:tcMar>
            <w:vAlign w:val="center"/>
          </w:tcPr>
          <w:p>
            <w:pPr>
              <w:pStyle w:val="TableContents"/>
              <w:bidi w:val="0"/>
              <w:spacing w:before="0" w:after="283"/>
              <w:jc w:val="right"/>
              <w:rPr/>
            </w:pPr>
            <w:r>
              <w:rPr/>
              <w:t>16.52%</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Vanguard Portfolio Management LLC</w:t>
              <w:br/>
              <w:t>100 Vanguard Blvd.</w:t>
              <w:br/>
              <w:t xml:space="preserve">Malvern, PA 19355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37" w:type="dxa"/>
            </w:tcMar>
            <w:vAlign w:val="center"/>
          </w:tcPr>
          <w:p>
            <w:pPr>
              <w:pStyle w:val="TableContents"/>
              <w:bidi w:val="0"/>
              <w:spacing w:before="0" w:after="283"/>
              <w:jc w:val="right"/>
              <w:rPr/>
            </w:pPr>
            <w:r>
              <w:rPr/>
              <w:t>5,657,399</w:t>
            </w:r>
            <w:r>
              <w:rPr>
                <w:sz w:val="13"/>
              </w:rPr>
              <w:t>3</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37" w:type="dxa"/>
            </w:tcMar>
            <w:vAlign w:val="center"/>
          </w:tcPr>
          <w:p>
            <w:pPr>
              <w:pStyle w:val="TableContents"/>
              <w:bidi w:val="0"/>
              <w:spacing w:before="0" w:after="283"/>
              <w:jc w:val="right"/>
              <w:rPr/>
            </w:pPr>
            <w:r>
              <w:rPr/>
              <w:t>9.31%</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248" w:type="dxa"/>
        <w:jc w:val="left"/>
        <w:tblInd w:w="440" w:type="dxa"/>
        <w:tblLayout w:type="fixed"/>
        <w:tblCellMar>
          <w:top w:w="0" w:type="dxa"/>
          <w:left w:w="0" w:type="dxa"/>
          <w:bottom w:w="0" w:type="dxa"/>
          <w:right w:w="0" w:type="dxa"/>
        </w:tblCellMar>
      </w:tblPr>
      <w:tblGrid>
        <w:gridCol w:w="124"/>
        <w:gridCol w:w="652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0"/>
              <w:jc w:val="right"/>
              <w:rPr/>
            </w:pPr>
            <w:r>
              <w:rPr/>
              <w:t>Security Ownership of Certain Beneficial Owners and Management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Denotes 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048">
                <wp:simplePos x="0" y="0"/>
                <wp:positionH relativeFrom="column">
                  <wp:align>left</wp:align>
                </wp:positionH>
                <wp:positionV relativeFrom="line">
                  <wp:posOffset>635</wp:posOffset>
                </wp:positionV>
                <wp:extent cx="254000" cy="350520"/>
                <wp:effectExtent l="0" t="0" r="0" b="0"/>
                <wp:wrapSquare wrapText="right"/>
                <wp:docPr id="1044" name="Frame10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Hussain ceased serving in his role as Chief Technology Officer effective March 31, 2026, and is no longer affiliated with the Company. In connection with his termination, the Company agreed that a prorated portion of Mr. Hussain’s outstanding PSUs would be accelerated as of the date of his termination. No information on his current holdings is currently available, and, accordingly, the number included above includes Mr. Hussain’s prorated portion of his PSUs and the shares reported on his most recent Form 4 dated March 3, 2026. For more information see our Compensation Discussion and Analysis section under the heading “</w:t>
      </w:r>
      <w:r>
        <w:rPr>
          <w:rFonts w:ascii="Arial;Helvetica;sans-serif" w:hAnsi="Arial;Helvetica;sans-serif"/>
          <w:b w:val="false"/>
          <w:i/>
          <w:caps w:val="false"/>
          <w:smallCaps w:val="false"/>
          <w:color w:val="000000"/>
          <w:sz w:val="16"/>
        </w:rPr>
        <w:t>Leadership Transition — Chief Technology Officer Departure</w:t>
      </w:r>
      <w:r>
        <w:rPr>
          <w:rFonts w:ascii="Arial;Helvetica;sans-serif" w:hAnsi="Arial;Helvetica;sans-serif"/>
          <w:b w:val="false"/>
          <w:i w:val="false"/>
          <w:caps w:val="false"/>
          <w:smallCaps w:val="false"/>
          <w:color w:val="000000"/>
          <w:sz w:val="16"/>
        </w:rPr>
        <w:t>” and the amounts reported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1049">
                <wp:simplePos x="0" y="0"/>
                <wp:positionH relativeFrom="column">
                  <wp:align>left</wp:align>
                </wp:positionH>
                <wp:positionV relativeFrom="line">
                  <wp:align>top</wp:align>
                </wp:positionV>
                <wp:extent cx="254000" cy="350520"/>
                <wp:effectExtent l="0" t="0" r="0" b="0"/>
                <wp:wrapSquare wrapText="right"/>
                <wp:docPr id="1045" name="Frame10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information is based solely upon information contained in a Schedule 13G/A filed on April 29, 2025. According to the Schedule 13G/A, BlackRock, Inc. has sole voting power over 9,961,825 of the reported shares, no shared voting power with respect to any reported shares and sole dispositive power over all reported shares through its control of certain direct and indirect subsidiaries listed on Exhibit 99 attached to the Schedule 13G/A.</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1050">
                <wp:simplePos x="0" y="0"/>
                <wp:positionH relativeFrom="column">
                  <wp:align>left</wp:align>
                </wp:positionH>
                <wp:positionV relativeFrom="line">
                  <wp:align>top</wp:align>
                </wp:positionV>
                <wp:extent cx="254000" cy="350520"/>
                <wp:effectExtent l="0" t="0" r="0" b="0"/>
                <wp:wrapSquare wrapText="right"/>
                <wp:docPr id="1046" name="Frame10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This information is based solely upon information contained in a Schedule 13G filed on April 29, 2026. According to the Schedule 13G, Vanguard Portfolio Management LLC has sole voting power over 132,085 of the reported shares, shared voting power over none of the reported shares, sole dispositive power over all of the reported shares, and shared dispositive power over none of the reported shares. </w:t>
      </w:r>
      <w:r>
        <mc:AlternateContent>
          <mc:Choice Requires="wps">
            <w:drawing>
              <wp:anchor behindDoc="0" distT="63500" distB="0" distL="0" distR="0" simplePos="0" locked="0" layoutInCell="1" allowOverlap="1" relativeHeight="1051">
                <wp:simplePos x="0" y="0"/>
                <wp:positionH relativeFrom="column">
                  <wp:align>left</wp:align>
                </wp:positionH>
                <wp:positionV relativeFrom="line">
                  <wp:align>top</wp:align>
                </wp:positionV>
                <wp:extent cx="254000" cy="350520"/>
                <wp:effectExtent l="0" t="0" r="0" b="0"/>
                <wp:wrapSquare wrapText="right"/>
                <wp:docPr id="1047" name="Frame10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MUFI1"/>
      <w:bookmarkEnd w:id="169"/>
      <w:r>
        <w:rPr>
          <w:rFonts w:ascii="calibri;arial;sans-serif" w:hAnsi="calibri;arial;sans-serif"/>
          <w:b w:val="false"/>
          <w:i w:val="false"/>
          <w:caps w:val="false"/>
          <w:smallCaps w:val="false"/>
          <w:color w:val="000000"/>
          <w:sz w:val="16"/>
        </w:rPr>
        <w:t>​</w:t>
      </w:r>
      <w:bookmarkStart w:id="170" w:name="tMUFI1Rev1"/>
      <w:bookmarkEnd w:id="170"/>
      <w:r>
        <w:rPr>
          <w:rFonts w:ascii="calibri;arial;sans-serif" w:hAnsi="calibri;arial;sans-serif"/>
          <w:b w:val="false"/>
          <w:i w:val="false"/>
          <w:caps w:val="false"/>
          <w:smallCaps w:val="false"/>
          <w:color w:val="000000"/>
          <w:sz w:val="16"/>
        </w:rPr>
        <w:t xml:space="preserve">​ </w:t>
      </w:r>
    </w:p>
    <w:tbl>
      <w:tblPr>
        <w:tblW w:w="7012" w:type="dxa"/>
        <w:jc w:val="left"/>
        <w:tblInd w:w="440" w:type="dxa"/>
        <w:tblLayout w:type="fixed"/>
        <w:tblCellMar>
          <w:top w:w="0" w:type="dxa"/>
          <w:left w:w="0" w:type="dxa"/>
          <w:bottom w:w="0" w:type="dxa"/>
          <w:right w:w="0" w:type="dxa"/>
        </w:tblCellMar>
      </w:tblPr>
      <w:tblGrid>
        <w:gridCol w:w="124"/>
        <w:gridCol w:w="226"/>
        <w:gridCol w:w="109"/>
        <w:gridCol w:w="109"/>
        <w:gridCol w:w="109"/>
        <w:gridCol w:w="618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6181"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Material U.S. Federal Income Tax Consequences of the Merger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general discussion of certain material U.S. federal income tax consequences of the Merger to U.S. Holders and Non-U.S. Holders (each as defined below) of Common Stock whose shares of Common Stock are exchanged for cash pursuant to the Merger. This discussion is based on the provisions of the Code, their legislative history, applicable U.S. Treasury Regulations promulgated under the Code, judicial opinions, and administrative rulings and published positions of the IRS, each as in effect as of the date hereof. These authorities are subject to change or differing interpretation at any time, possibly on a retroactive basis, and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and no opinion has been or will be rendered, regarding any matter discussed below or the U.S. federal income tax consequences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discussion, the term “U.S. Holder” means a beneficial owner of shares of Common Stock that is,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individual who is a citizen or resident of the United States;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2">
                <wp:simplePos x="0" y="0"/>
                <wp:positionH relativeFrom="column">
                  <wp:align>left</wp:align>
                </wp:positionH>
                <wp:positionV relativeFrom="line">
                  <wp:align>top</wp:align>
                </wp:positionV>
                <wp:extent cx="127000" cy="350520"/>
                <wp:effectExtent l="0" t="0" r="0" b="0"/>
                <wp:wrapSquare wrapText="right"/>
                <wp:docPr id="1048" name="Frame10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corporation or other entity or arrangement taxable as a corporation for U.S. federal income tax purposes, created or organized in or under the laws of the United States, any state thereof, or the District of Columbia;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3">
                <wp:simplePos x="0" y="0"/>
                <wp:positionH relativeFrom="column">
                  <wp:align>left</wp:align>
                </wp:positionH>
                <wp:positionV relativeFrom="line">
                  <wp:align>top</wp:align>
                </wp:positionV>
                <wp:extent cx="127000" cy="350520"/>
                <wp:effectExtent l="0" t="0" r="0" b="0"/>
                <wp:wrapSquare wrapText="right"/>
                <wp:docPr id="1049" name="Frame10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trust if  (1) a court within the United States is able to exercise primary supervision over the trust’s administration and one or more “United States persons” ​(within the meaning of the Code) are authorized to control all substantial decisions of the trust or (2) the trust has a valid election in effect under applicable U.S. Treasury Regulations to be treated as a “United States person” ​(within the meaning of the Code);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4">
                <wp:simplePos x="0" y="0"/>
                <wp:positionH relativeFrom="column">
                  <wp:align>left</wp:align>
                </wp:positionH>
                <wp:positionV relativeFrom="line">
                  <wp:align>top</wp:align>
                </wp:positionV>
                <wp:extent cx="127000" cy="350520"/>
                <wp:effectExtent l="0" t="0" r="0" b="0"/>
                <wp:wrapSquare wrapText="right"/>
                <wp:docPr id="1050" name="Frame10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estate the income of which is includible in gross income for U.S. federal income tax purposes regardless of its source.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5">
                <wp:simplePos x="0" y="0"/>
                <wp:positionH relativeFrom="column">
                  <wp:align>left</wp:align>
                </wp:positionH>
                <wp:positionV relativeFrom="line">
                  <wp:align>top</wp:align>
                </wp:positionV>
                <wp:extent cx="127000" cy="350520"/>
                <wp:effectExtent l="0" t="0" r="0" b="0"/>
                <wp:wrapSquare wrapText="right"/>
                <wp:docPr id="1051" name="Frame10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discussion, a “Non-U.S. Holder” means a beneficial owner of shares of Common Stock that is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non-resident alien individual (other than certain former citizens and residents of the United States subject to U.S. tax as expatriates);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6">
                <wp:simplePos x="0" y="0"/>
                <wp:positionH relativeFrom="column">
                  <wp:align>left</wp:align>
                </wp:positionH>
                <wp:positionV relativeFrom="line">
                  <wp:align>top</wp:align>
                </wp:positionV>
                <wp:extent cx="127000" cy="350520"/>
                <wp:effectExtent l="0" t="0" r="0" b="0"/>
                <wp:wrapSquare wrapText="right"/>
                <wp:docPr id="1052" name="Frame10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foreign corporation;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7">
                <wp:simplePos x="0" y="0"/>
                <wp:positionH relativeFrom="column">
                  <wp:align>left</wp:align>
                </wp:positionH>
                <wp:positionV relativeFrom="line">
                  <wp:align>top</wp:align>
                </wp:positionV>
                <wp:extent cx="127000" cy="350520"/>
                <wp:effectExtent l="0" t="0" r="0" b="0"/>
                <wp:wrapSquare wrapText="right"/>
                <wp:docPr id="1053" name="Frame10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estate or trust that is not a U.S. Holder;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8">
                <wp:simplePos x="0" y="0"/>
                <wp:positionH relativeFrom="column">
                  <wp:align>left</wp:align>
                </wp:positionH>
                <wp:positionV relativeFrom="line">
                  <wp:align>top</wp:align>
                </wp:positionV>
                <wp:extent cx="127000" cy="350520"/>
                <wp:effectExtent l="0" t="0" r="0" b="0"/>
                <wp:wrapSquare wrapText="right"/>
                <wp:docPr id="1054" name="Frame10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but generally does not include an individual who is present in the United States for 183 days or more in the taxable year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discussion applies only to holders of shares of Common Stock who hold such shares as “capital assets” within the meaning of Section 1221 of the Code (generally, property held for investment). Further, this discussion is for general information purposes only and does not purport to be a complete analysis or to consider all aspects of U.S. federal income taxation that may be relevant to a holder in light of such holder’s particular facts and circumstances, or that may apply to a holder that is subject to special treatment under the U.S. federal income tax laws (including, for example, insurance companies, controlled foreign corporations, passive foreign investment companies, personal holding companies, dealers or brokers in securities, commodities or foreign currencies, dealers or traders in securities subject to a mark-to-market method of accounting with respect to shares of Common Stock, holders that directly, indirectly or constructively own or have owned 5% or more of the combined voting power or value of Common Stock, U.S. Holders whose functional currency for U.S. federal income tax purposes is not the U.S. dollar, tax-exempt organizations, tax-deferred accounts, retirement plans or accounts, governmental agencies or instrumentalities, pension funds, banks and other financial institutions, mutual funds, former citizens or long-term residents of the United States, expatriated entities subject to Section 7874 of the Code, partnerships or other entities or arrangements treated as partnerships or other pass-through entities (including, for example, “S Corporations”) for U.S. federal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COUHJG2"/>
      <w:bookmarkEnd w:id="171"/>
      <w:r>
        <w:rPr>
          <w:rFonts w:ascii="calibri;arial;sans-serif" w:hAnsi="calibri;arial;sans-serif"/>
          <w:b w:val="false"/>
          <w:i w:val="false"/>
          <w:caps w:val="false"/>
          <w:smallCaps w:val="false"/>
          <w:color w:val="000000"/>
          <w:sz w:val="16"/>
        </w:rPr>
        <w:t>​</w:t>
      </w:r>
      <w:bookmarkStart w:id="172" w:name="tCONUJG2"/>
      <w:bookmarkEnd w:id="172"/>
      <w:r>
        <w:rPr>
          <w:rFonts w:ascii="calibri;arial;sans-serif" w:hAnsi="calibri;arial;sans-serif"/>
          <w:b w:val="false"/>
          <w:i w:val="false"/>
          <w:caps w:val="false"/>
          <w:smallCaps w:val="false"/>
          <w:color w:val="000000"/>
          <w:sz w:val="16"/>
        </w:rPr>
        <w:t xml:space="preserve">​ </w:t>
      </w:r>
    </w:p>
    <w:tbl>
      <w:tblPr>
        <w:tblW w:w="6843" w:type="dxa"/>
        <w:jc w:val="left"/>
        <w:tblInd w:w="440" w:type="dxa"/>
        <w:tblLayout w:type="fixed"/>
        <w:tblCellMar>
          <w:top w:w="0" w:type="dxa"/>
          <w:left w:w="0" w:type="dxa"/>
          <w:bottom w:w="0" w:type="dxa"/>
          <w:right w:w="0" w:type="dxa"/>
        </w:tblCellMar>
      </w:tblPr>
      <w:tblGrid>
        <w:gridCol w:w="124"/>
        <w:gridCol w:w="61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121" w:type="dxa"/>
            <w:tcBorders/>
            <w:vAlign w:val="center"/>
          </w:tcPr>
          <w:p>
            <w:pPr>
              <w:pStyle w:val="TableContents"/>
              <w:bidi w:val="0"/>
              <w:spacing w:before="0" w:after="0"/>
              <w:jc w:val="right"/>
              <w:rPr/>
            </w:pPr>
            <w:r>
              <w:rPr/>
              <w:t>Material U.S. Federal Income Tax Consequences of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income tax purposes or investors in any such entities or arrangements, grantor trusts, real estate investment trusts, regulated investment companies, holders who hold shares of Common Stock as part of a hedge, straddle, constructive sale or conversion transaction or other integrated investment or risk reduction transaction, holders that directly, indirectly or constructively own an equity interest in Parent or the Surviving Company after the Merger, holders that are subject to any applicable minimum tax, holders that acquire or sell shares of Common Stock as a part of wash sales for U.S. federal income tax purposes, holders holding Common Stock as qualified small business stock for purposes of Sections 1045 and/or 1202 of the Code, holders required to accelerate the recognition of any item of gross income with respect to Common Stock as a result of such income being taken into account on an applicable financial statement, and holders who acquired their shares of Common Stock through a tax-qualified retirement plan or through the exercise of employee stock options or other compensation arrangements). This discussion also does not address any tax consequences arising under any alternative minimum tax or the Medicare tax on net investment income under Section 1411 of the Code. In addition, no information is provided with respect to any tax consequences under state, local, or foreign laws or U.S. federal laws other than those pertaining to the U.S. federal income tax (such as, for example, U.S. federal estate or gift tax laws). Moreover, this section does not address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also does not address the U.S. federal income tax consequences in respect of Dissenting Shares or of any transaction other than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partnership (including for this purpose any entity or arrangement treated as a partnership for U.S. federal income tax purposes) owns Common Stock, the U.S. federal income tax treatment of a partner in such partnership will generally depend on the status of the partners, the activities of the partner and the partnership and certain determinations made at the partner or partnership level. Accordingly, a partnership for U.S. federal income tax purposes that holds Common Stock, and any partners in such partnership, should consult their tax advisors regarding the tax consequences of the Merger in light of their specific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U.S. federal income tax treatment of the Merger to any particular holder of Common Stock will depend on the holder’s particular tax circumstances. Holders of Common Stock should consult their tax advisors to determine the particular tax consequences to them of the Merger, including the applicability and effect of any alternative minimum tax, the Medicare contribution tax on net investment income and any other U.S. federal, state, local, foreign or other tax laws and any changes in those tax laws.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Consequences to U.S.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receipt of cash by U.S. Holders in exchange for shares of Common Stock pursuant to the Merger will be a taxable transaction for U.S. federal income tax purposes. For U.S. federal income tax purposes, a U.S. Holder who receives cash in exchange for shares of Common Stock pursuant to the Merger will recognize gain or loss in an amount equal to the difference, if any, between the amount of cash that the U.S. Holder receives pursuant to the Merger and the U.S. Holder’s adjusted tax basis in such shares. A U.S. Holder’s adjusted tax basis in its shares of Common Stock will generally equal the amount that such U.S. Holder paid for such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U.S. Holder’s holding period in the shares of Common Stock surrendered in the Merger is more than one year as of the date of the Merger, any gain or loss so recognized by such U.S. Holder will generally be long-term capital gain or loss. Long-term capital gains of certain non-corporate holders, including individuals, are generally subject to U.S. federal income tax at preferential rates. The deductibility of capital losses is subject to limitations. If a U.S. Holder acquired different blocks of Common Stock at different times or different prices, such U.S. Holder must determine its adjusted tax basis and holding period separately with respect to each block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Consequences to Non-U.S.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discussion below under “</w:t>
      </w:r>
      <w:r>
        <w:rPr>
          <w:rFonts w:ascii="Arial;Helvetica;sans-serif" w:hAnsi="Arial;Helvetica;sans-serif"/>
          <w:b w:val="false"/>
          <w:i/>
          <w:caps w:val="false"/>
          <w:smallCaps w:val="false"/>
          <w:color w:val="000000"/>
          <w:sz w:val="20"/>
        </w:rPr>
        <w:t>Information Reporting and Backup Withholding</w:t>
      </w:r>
      <w:r>
        <w:rPr>
          <w:rFonts w:ascii="Arial;Helvetica;sans-serif" w:hAnsi="Arial;Helvetica;sans-serif"/>
          <w:b w:val="false"/>
          <w:i w:val="false"/>
          <w:caps w:val="false"/>
          <w:smallCaps w:val="false"/>
          <w:color w:val="000000"/>
          <w:sz w:val="20"/>
        </w:rPr>
        <w:t xml:space="preserve">” concerning backup withholding, any gain realized by a Non-U.S. Holder on the exchange of shares of Common Stock for cash pursuant to the Merger generally will not be subject to U.S. federal income or withholding tax, unless the gain is effectively connected with the conduct by the Non-U.S. Holder of a trade or business within the United States (and, if required by an applicable income tax treaty, is attributable to a permanent establishment or fixed base in the United States maintained by the Non-U.S. Holder), in which case the Non-U.S. Holder generally will be subject to regular U.S. federal income tax on the net gain derived from the Merger in the same manner as discussed in the section above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IBWJG2"/>
      <w:bookmarkEnd w:id="1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w:t>
      </w:r>
      <w:r>
        <w:rPr>
          <w:rFonts w:ascii="Arial;Helvetica;sans-serif" w:hAnsi="Arial;Helvetica;sans-serif"/>
          <w:b w:val="false"/>
          <w:i/>
          <w:caps w:val="false"/>
          <w:smallCaps w:val="false"/>
          <w:color w:val="000000"/>
          <w:sz w:val="20"/>
        </w:rPr>
        <w:t>Consequences to U.S. Holders</w:t>
      </w:r>
      <w:r>
        <w:rPr>
          <w:rFonts w:ascii="Arial;Helvetica;sans-serif" w:hAnsi="Arial;Helvetica;sans-serif"/>
          <w:b w:val="false"/>
          <w:i w:val="false"/>
          <w:caps w:val="false"/>
          <w:smallCaps w:val="false"/>
          <w:color w:val="000000"/>
          <w:sz w:val="20"/>
        </w:rPr>
        <w:t>”, unless an applicable income tax treaty provides otherwise. In addition, earnings and profits of a corporate Non-U.S. Holder that are attributable to such gain, as determined after allowance for certain adjustments, may be subject to an additional “branch profits tax” at a rate of 30%, or at a lower rate as may be specified by an applicable income tax treaty.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Information Reporting and Backup Withholding</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information reporting requirements may apply in connection with payments made to holders in connection with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Payments made in exchange for shares of Common Stock pursuant to the Merger will generally be subject to backup withholding (currently, at a rate of 24%). To avoid backup withholding, a U.S. Holder that does not otherwise establish an exemption should complete and return IRS Form W-9, certifying under penalties of perjury that such U.S. Holder is a “United States person” ​(within the meaning of the Code), the taxpayer identification number provided is correct and such U.S. Holder is not subject to backup withholding, and must otherwise comply with all applicable requirements of the backup withholding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avoid backup withholding, a Non-U.S. Holder that does not otherwise establish an exemption from backup withholding should complete and return an appropriate IRS Form W-8 as applicable for such Non-U.S. Holder, in accordance with the instructions thereto, certifying that such Non-U.S. Holder is not a “United States person” ​(within the meaning of the Code). Non-U.S. Holders should consult their tax advisors to determine which IRS Form W-8 is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stockholders (including corporations) generally are not subject to backup withholding. Backup withholding is not an additional tax. Any amounts withheld under the backup withholding rules may be refunded or credited against a holder’s U.S. federal income tax liability, if any, provided that such holder furnishes the required information to the IRS in a timely manner. Holders are urged to consult their tax advisors as to the qualifications for exemption from backup withholding and the procedure for obtaining the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THIS DISCUSSION IS FOR GENERAL INFORMATION PURPOSES ONLY. IT DOES NOT ADDRESS TAX CONSIDERATIONS THAT MAY VARY WITH, OR ARE CONTINGENT ON, YOUR INDIVIDUAL CIRCUMSTANCES OR THE APPLICATION OF ANY U.S. NON-INCOME TAX LAWS OR THE LAWS OF ANY STATE, LOCAL OR NON-U.S. JURISDICTION, AND HOLDERS SHOULD CONSULT THEIR TAX ADVISORS REGARDING SUCH MATTERS AND THE TAX CONSEQUENCES OF THE MERGER TO THEM IN LIGHT OF THEIR PARTICULAR CIRCUMSTANCES.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4" w:name="tAPRI"/>
      <w:bookmarkEnd w:id="174"/>
      <w:r>
        <w:rPr>
          <w:rFonts w:ascii="calibri;arial;sans-serif" w:hAnsi="calibri;arial;sans-serif"/>
          <w:b w:val="false"/>
          <w:i w:val="false"/>
          <w:caps w:val="false"/>
          <w:smallCaps w:val="false"/>
          <w:color w:val="000000"/>
          <w:sz w:val="16"/>
        </w:rPr>
        <w:t xml:space="preserve">​ </w:t>
      </w:r>
    </w:p>
    <w:tbl>
      <w:tblPr>
        <w:tblW w:w="2587" w:type="dxa"/>
        <w:jc w:val="left"/>
        <w:tblInd w:w="440" w:type="dxa"/>
        <w:tblLayout w:type="fixed"/>
        <w:tblCellMar>
          <w:top w:w="0" w:type="dxa"/>
          <w:left w:w="0" w:type="dxa"/>
          <w:bottom w:w="0" w:type="dxa"/>
          <w:right w:w="0" w:type="dxa"/>
        </w:tblCellMar>
      </w:tblPr>
      <w:tblGrid>
        <w:gridCol w:w="124"/>
        <w:gridCol w:w="226"/>
        <w:gridCol w:w="109"/>
        <w:gridCol w:w="109"/>
        <w:gridCol w:w="109"/>
        <w:gridCol w:w="175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1756"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Appraisal Rights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holders of shares of Common Stock issued and outstanding immediately prior to the Effective Time who do not vote in favor of the Merger Agreement Proposal, who duly demand appraisal pursuant to Section 262 of the DGCL and have not effectively withdrawn their demand or otherwise waived or lost their rights to appraisal are entitled to seek appraisal of their shares of Common Stock in connection with the Merger under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section is intended only as a brief summary of certain provisions of the statutory procedures that a person must follow under the DGCL in order to seek and perfect appraisal rights in connection with the Merger. The following discussion is not a complete statement of the law pertaining to appraisal rights under the DGCL and is qualified in its entirety by the full text of Section 262 of the DGCL, which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and is incorporated by reference herein. The following summary does not constitute any legal or other advice, nor does it constitute a recommendation that persons entitled to appraisal exercise their appraisal rights under Section 262 of the DGCL. Failure to follow precisely the steps required by Section 262 of the DGCL for demanding and perfecting appraisal rights may result in the loss of such rights. All references in Section 262 of the DGCL and in this summary to a (i) “stockholder” are to the record holder of shares of Common Stock, (ii) “beneficial owner” are to a person who is the beneficial owner of shares of Common Stock held either in voting trust or by a nominee on behalf of such person, and (iii) “person” are to an individual, corporation, partnership, unincorporated association or other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Section 262 of the DGCL, when a Merger Agreement will be submitted for adoption at a meeting of stockholders, a company must notify each of its stockholders who was a stockholder of record on the Record Date for notice of such meeting, with respect to shares of Common Stock for which appraisal rights are available, not less than twenty (20) days before the Special Meeting to vote on the Merger Agreement, that appraisal rights are available. Either a copy of Section 262 of the DGCL must be included with the notice or the notice must direct stockholders to a publicly available electronic resource at which Section 262 of the DGCL may be accessed without subscription or cost.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proxy statement constitutes LiveRamp’s notice pursuant to Section 262 of the DGCL to our stockholders that appraisal rights are available in connection with the Merger, and the full text of Section 262 of the DGCL is available at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in compliance with the requirements of Section 262 of the DGCL. If you wish to exercise your appraisal rights, you should carefully review the provisions of Section 262 of the DGCL, which is accessible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particularly the procedural steps required to properly demand and perfect such rights. Failure to strictly comply, timely and properly, with the requirements of Section 262 of the DGCL will result in the loss of your appraisal rights. Moreover, because of the complexity of the procedures for exercising the right to seek appraisal of shares of Common Stock, LiveRamp encourages stockholders considering exercising such rights to consult with their legal and financial advisors.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wish to demand appraisal of your shares of Common Stock, you must satisfy each of the following conditions: (i) you must deliver to LiveRamp a written demand for an appraisal of your shares of Common Stock before the vote is taken on the Merger Agreement Proposal at the Special Meeting, which written demand must reasonably inform us of the identity of the stockholder of record of shares of Common Stock and that you intend thereby to demand appraisal of such shares of Common Stock in connection with the Merger; (ii) you must hold your shares of Common Stock from the date of making such demand and continue to hold your shares of Common Stock through the Effective Time; (iii) you must not vote or submit a proxy in favor of, or consent in writing to, the Merger Agreement Proposal with respect to your shares of Common Stock for which you intend to demand appraisal; (iv) you or any other person entitled to demand an appraisal in connection with the Merger must not thereafter withdraw your demand for appraisal of your shares of Common Stock or otherwise lose your appraisal rights, in each case in accordance with the DGCL; and (v) you otherwise meet the criteria and follow the procedures set forth in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any of these conditions is not satisfied with respect to any of your shares of Common Stock and the Merger is completed, you will be entitled to receive the Merger Consideration for each share of Common Stock as provided in the Merger Agreement, but you will not have appraisal rights with respect to such shares of Common Stock. A proxy with respect to any such shares of Common Stock that is submitted and does not contain voting instructions will,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RHJG2"/>
      <w:bookmarkEnd w:id="175"/>
      <w:r>
        <w:rPr>
          <w:rFonts w:ascii="calibri;arial;sans-serif" w:hAnsi="calibri;arial;sans-serif"/>
          <w:b w:val="false"/>
          <w:i w:val="false"/>
          <w:caps w:val="false"/>
          <w:smallCaps w:val="false"/>
          <w:color w:val="000000"/>
          <w:sz w:val="16"/>
        </w:rPr>
        <w:t>​</w:t>
      </w:r>
      <w:bookmarkStart w:id="176" w:name="tBOJG2"/>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revoked, be voted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result in the loss of the stockholder’s right of appraisal with respect to such shares of Common Stock and nullify any previously delivered written demand for appraisal in respect thereof. Therefore, a stockholder who submits a proxy for such person’s shares of Common Stock and who wishes to exercise appraisal rights with respect to such shares of Common Stock must either revoke such proxy, submit a later-dated proxy with respect to such shares of Common Stock containing instructions to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or “</w:t>
      </w:r>
      <w:r>
        <w:rPr>
          <w:rFonts w:ascii="Arial;Helvetica;sans-serif" w:hAnsi="Arial;Helvetica;sans-serif"/>
          <w:b/>
          <w:i w:val="false"/>
          <w:caps w:val="false"/>
          <w:smallCaps w:val="false"/>
          <w:color w:val="000000"/>
          <w:sz w:val="20"/>
        </w:rPr>
        <w:t>ABSTAIN</w:t>
      </w:r>
      <w:r>
        <w:rPr>
          <w:rFonts w:ascii="Arial;Helvetica;sans-serif" w:hAnsi="Arial;Helvetica;sans-serif"/>
          <w:b w:val="false"/>
          <w:i w:val="false"/>
          <w:caps w:val="false"/>
          <w:smallCaps w:val="false"/>
          <w:color w:val="000000"/>
          <w:sz w:val="20"/>
        </w:rPr>
        <w:t>” from voting on the Merger Agreement Proposal or attend the Special Meeting and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or “</w:t>
      </w:r>
      <w:r>
        <w:rPr>
          <w:rFonts w:ascii="Arial;Helvetica;sans-serif" w:hAnsi="Arial;Helvetica;sans-serif"/>
          <w:b/>
          <w:i w:val="false"/>
          <w:caps w:val="false"/>
          <w:smallCaps w:val="false"/>
          <w:color w:val="000000"/>
          <w:sz w:val="20"/>
        </w:rPr>
        <w:t>ABSTAIN</w:t>
      </w:r>
      <w:r>
        <w:rPr>
          <w:rFonts w:ascii="Arial;Helvetica;sans-serif" w:hAnsi="Arial;Helvetica;sans-serif"/>
          <w:b w:val="false"/>
          <w:i w:val="false"/>
          <w:caps w:val="false"/>
          <w:smallCaps w:val="false"/>
          <w:color w:val="000000"/>
          <w:sz w:val="20"/>
        </w:rPr>
        <w:t>” from voting on the Merger Agreement Proposal with respect to such shares of Common Stock. Voting against or failing to vote for the Merger Agreement Proposal by itself does not constitute a demand for appraisal within the meaning of Section 262 of the DGCL. The written demand for appraisal must be in addition to and separate from any proxy or vote on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shares of Common Stock are currently listed on a national securities exchange, and, assuming such shares of Common Stock remain listed on a national securities exchange immediately prior to the Merger (which we expect to be the case), after an appraisal petition has been filed, the Delaware Court of Chancery will dismiss appraisal proceedings as to all holders of Common Stock who are otherwise entitled to appraisal rights unless (x) the total number of shares of Common Stock entitled to appraisal exceeds 1% of the outstanding shares of Common Stock eligible for appraisal or (y) the value of the aggregate consideration offered pursuant to the Merger Agreement in respect of such total number of shares of Common Stock exceeds $1.0 million. We refer to these conditions as the “Minimum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written demands for appraisal (i) should be addressed to our Corporate Secretary at LiveRamp Holdings, Inc., 301 Main Street, 2nd Floor, Little Rock, AR 72201 and (ii) must be delivered to LiveRamp before the vote is taken on the Merger Agreement Proposal at the Special Meeting. Demands for appraisal may not be submitted by electronic transmission. The demand will be sufficient if it reasonably informs LiveRamp of the identity of the stockholder and the intention of the stockholder to demand appraisal of the fair value of such person’s shares of Common Stock. The failure of a record holder or beneficial owner of shares of Common Stock to file such a petition within the period specified in Section 262 of the DGCL, and deliver to LiveRamp the written demand for appraisal prior to the taking of the vote on the Merger Agreement Proposal at the Special Meeting, will result in the loss of appraisal rights.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Record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demand for appraisal by a holder of record must be executed by or on behalf of the holder of record and must reasonably inform us of the identity of the stockholder and that the person intends thereby to demand appraisal of the stockholder’s shares of Common Stock in connection with the Merger. If a holder of record is submitting a demand with respect to shares of Common Stock owned of record in a fiduciary or representative capacity, such as by a trustee, guardian or custodian, such demand must be executed by or on behalf of the record owner in such capacity, and if the shares of Common Stock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Common Stock as nominee or intermediary for one or more beneficial owners may exercise appraisal rights with respect to shares of Common Stock held for one or more beneficial owners while not exercising appraisal rights for other beneficial owners. In that case, the written demand should state the number of shares of Common Stock as to which appraisal is sought. Where no number of shares of Common Stock is expressly mentioned, the demand will be presumed to cover all shares of Common Stock held in the name of the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Beneficial Owners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beneficial owner may, in such person’s name, demand in writing an appraisal of such beneficial owner’s shares of Common Stock in accordance with the procedures of subsection (d)(1) of Section 262 of the DGCL summarized above, provided that (i) such beneficial owner continuously owns such shares of Common Stock through the Effective Time and otherwise satisfies the requirements applicable to a stockholder under the first sentence of subsection (a) of Section 262 of the DGCL and (ii) the demand made by such beneficial owner reasonably identifies the holder of record of the shares of Common Stock for which the demand is made, is accompanied by documentary evidence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tAACMJG2"/>
      <w:bookmarkEnd w:id="177"/>
      <w:r>
        <w:rPr>
          <w:rFonts w:ascii="calibri;arial;sans-serif" w:hAnsi="calibri;arial;sans-serif"/>
          <w:b w:val="false"/>
          <w:i w:val="false"/>
          <w:caps w:val="false"/>
          <w:smallCaps w:val="false"/>
          <w:color w:val="000000"/>
          <w:sz w:val="16"/>
        </w:rPr>
        <w:t xml:space="preserve">​ </w:t>
      </w:r>
    </w:p>
    <w:tbl>
      <w:tblPr>
        <w:tblW w:w="2418" w:type="dxa"/>
        <w:jc w:val="left"/>
        <w:tblInd w:w="440" w:type="dxa"/>
        <w:tblLayout w:type="fixed"/>
        <w:tblCellMar>
          <w:top w:w="0" w:type="dxa"/>
          <w:left w:w="0" w:type="dxa"/>
          <w:bottom w:w="0" w:type="dxa"/>
          <w:right w:w="0" w:type="dxa"/>
        </w:tblCellMar>
      </w:tblPr>
      <w:tblGrid>
        <w:gridCol w:w="124"/>
        <w:gridCol w:w="169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0"/>
              <w:jc w:val="right"/>
              <w:rPr/>
            </w:pPr>
            <w:r>
              <w:rPr/>
              <w:t>Appraisal Rights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such beneficial owner’s beneficial ownership of stock and a statement that such documentary evidence is a true and correct copy of what it purports to be, and provides an address at which such beneficial owner consents to receive notices given by LiveRamp under Section 262 of the DGCL and to be set forth on the Verified List (defined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not expressly required by Section 262 of the DGCL, LiveRamp reserves the right to take the position that it may require the submission of all information required of a beneficial owner under subsection (d)(3) of Section 262 of the DGCL with respect to any person sharing beneficial ownership of the shares of Common Stock for which such demand is submitted.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Actions After Consummation of the Merger</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consummated, within ten (10) days after the Effective Time, LiveRamp, as the Surviving Company in the Merger, will notify each LiveRamp stockholder of record who has made a written demand for appraisal pursuant to Section 262 of the DGCL and who has not voted in favor of the Merger Agreement Proposal, and any beneficial owner who has properly demanded appraisal pursuant to Section 262 of the DGCL, of the date that the Merger has become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within sixty (60) days after the Effective Time, any person entitled to appraisal rights who has not commenced an appraisal proceeding or joined a proceeding as a named party may withdraw such person’s demand for appraisal and accept the Merger Consideration offered pursuant to the Merger Agreement by delivering to us a written withdrawal of the demand for appraisal. Within one hundred and twenty (120) days after the Effective Time, but not thereafter, either LiveRamp, as the Surviving Company to the Merger, or any person who has complied with the requirements of Section 262 of the DGCL and is entitled to appraisal rights under Section 262 of the DGCL may commence an appraisal proceeding by filing a petition in the Delaware Court of Chancery, with a copy served on LiveRamp, as the Surviving Company, in the case of a petition filed by a stockholder of record or beneficial owner, demanding a determination of the fair value of the shares of Common Stock held by all LiveRamp stockholders entitled to appraisal. LiveRamp, as the Surviving Company to the Merger, is under no obligation to file any such petition and has no present intent of doing so. Accordingly, it is your obligation to initiate all necessary action to perfect your appraisal rights in respect of your shares of Common Stock within the time prescribed in Section 262 of the DGCL. Within one hundred and twenty (120) days after the Effective Time, any person who has complied with the requirements for exercise of appraisal rights will be entitled, upon written request, to receive from LiveRamp, as the Surviving Company of the Merger, a statement setting forth the aggregate number of shares of Common Stock not voted in favor of the approval and adoption of the Merger Agreement and with respect to which we have received demands for appraisal, and the aggregate number of stockholders or beneficial owners holding or owning such shares of Common Stock (provided that, where a beneficial owner makes a demand on his, her or its own behalf, the record holder of such shares of Common Stock will not be considered a separate stockholder holding such shares of Common Stock for purposes of such aggregate number). LiveRamp, as the Surviving Company of the Merger, must give this statement to the requesting stockholder or beneficial owner within ten (10) days after receipt of the written request for such a statement or within ten (10) days after the expiration of the period for delivery of demands for appraisal, whichever is later.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petition for an appraisal is duly filed by a record holder of shares of Common Stock or a beneficial owner and a copy thereof is served upon LiveRamp, as the Surviving Company of the Merger, then LiveRamp, as the Surviving Company of the Merger, will then be obligated within twenty (20) days after such service to file with the Delaware Register in Chancery a duly verified list (the “Verified List”) containing the names and addresses of all persons who have demanded appraisal for their shares of Common Stock and with whom agreements as to the value of their shares of Common Stock have not been reached. Upon the filing of any such petition, the Delaware Court of Chancery may order that notice of the time and place fixed for the hearing on the petition be mailed to LiveRamp, as the Surviving Company of the Merger, and all LiveRamp stockholders shown on the Verified List at the addresses stated therein. The forms of the notices by mail and by publication will be approved by the Delaware Court of Chancery, and the costs of these notices will be borne by LiveRamp, as the Surviving Company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providing notice to the stockholders as required by the court, the Delaware Court of Chancery is empowered to conduct a hearing on the petition to determine those persons who have complied with Section 262 of the DGCL and who have become entitled to appraisal rights thereunder. The Delaware Court of Chancery may require the persons who demanded appraisal of their shares of Common Stock to submit their stock Certificates to the Delaware Register in Chancery for notation thereon of the pendency of the appraisal proceedings, and if any person fails to comply with that direction, the Delaware Court of Chancery may dismiss the proceedings as to such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DFVJG2"/>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assuming Common Stock remained listed on a national securities exchange immediately prior to the Effective Time, the Delaware Court of Chancery will dismiss the appraisal proceedings as to all our stockholders who assert appraisal rights unless one of the Minimum Conditions is met.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Determination of Fair Value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determining the persons entitled to appraisal, the Delaware Court of Chancery will determine the “fair value” of the shares of Common Stock subject to appraisal, exclusive of any element of value arising from the accomplishment or expectation of the Merger, to be paid upon the amount determined to be the fair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determining fair value, the Delaware Court of Chancery will take into account all relevant factors. In </w:t>
      </w:r>
      <w:r>
        <w:rPr>
          <w:rFonts w:ascii="Arial;Helvetica;sans-serif" w:hAnsi="Arial;Helvetica;sans-serif"/>
          <w:b w:val="false"/>
          <w:i/>
          <w:caps w:val="false"/>
          <w:smallCaps w:val="false"/>
          <w:color w:val="000000"/>
          <w:sz w:val="20"/>
        </w:rPr>
        <w:t>Weinberger v. UOP, Inc.</w:t>
      </w:r>
      <w:r>
        <w:rPr>
          <w:rFonts w:ascii="Arial;Helvetica;sans-serif" w:hAnsi="Arial;Helvetica;sans-serif"/>
          <w:b w:val="false"/>
          <w:i w:val="false"/>
          <w:caps w:val="false"/>
          <w:smallCaps w:val="false"/>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the future prospects of the merged corporation. Section 262 of the DGCL provides that fair value is to be “exclusive of any element of value arising from the accomplishment or expectation of the Merger”. In </w:t>
      </w:r>
      <w:r>
        <w:rPr>
          <w:rFonts w:ascii="Arial;Helvetica;sans-serif" w:hAnsi="Arial;Helvetica;sans-serif"/>
          <w:b w:val="false"/>
          <w:i/>
          <w:caps w:val="false"/>
          <w:smallCaps w:val="false"/>
          <w:color w:val="000000"/>
          <w:sz w:val="20"/>
        </w:rPr>
        <w:t>Cede &amp; Co. v. Technicolor, Inc.</w:t>
      </w:r>
      <w:r>
        <w:rPr>
          <w:rFonts w:ascii="Arial;Helvetica;sans-serif" w:hAnsi="Arial;Helvetica;sans-serif"/>
          <w:b w:val="false"/>
          <w:i w:val="false"/>
          <w:caps w:val="false"/>
          <w:smallCaps w:val="false"/>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Helvetica;sans-serif" w:hAnsi="Arial;Helvetica;sans-serif"/>
          <w:b w:val="false"/>
          <w:i/>
          <w:caps w:val="false"/>
          <w:smallCaps w:val="false"/>
          <w:color w:val="000000"/>
          <w:sz w:val="20"/>
        </w:rPr>
        <w:t>Weinberger</w:t>
      </w:r>
      <w:r>
        <w:rPr>
          <w:rFonts w:ascii="Arial;Helvetica;sans-serif" w:hAnsi="Arial;Helvetica;sans-serif"/>
          <w:b w:val="false"/>
          <w:i w:val="false"/>
          <w:caps w:val="false"/>
          <w:smallCaps w:val="false"/>
          <w:color w:val="000000"/>
          <w:sz w:val="20"/>
        </w:rPr>
        <w:t>, the Supreme Court of Delaware also stated that “elements of future value, including the nature of the enterprise, which are known or susceptible of proof as of the date of the Merger and not the product of speculation, may be considered”.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Persons considering seeking appraisal should be aware that the fair value of their shares of Common Stock as so determined by the Delaware Court of Chancery could be more than, the same as or less than the Merger Consideration they would receive pursuant to the Merger if they did not seek appraisal of their shares of Common Stock and that an opinion of an investment banking firm as to the fairness from a financial point of view of the consideration offered pursuant to the Merger Agreement is not an opinion as to, and might not in any manner address, “fair value” under Section 262 of the DGCL. Although we believe that the Merger Consideration offered pursuant to the Merger Agreement is fair, no representation is made as to the outcome of the appraisal of fair value as determined by the Delaware Court of Chancery, and persons considering exercising appraisal rights should recognize that such an appraisal could result in a determination of a value higher or lower than, or the same as, the Merger Consideration offered pursuant to the Merger Agreement. Neither LiveRamp nor Parent anticipates offering more than the Merger Consideration offered pursuant to the Merger Agreement to any holder of shares of Common Stock exercising appraisal rights, and LiveRamp and Parent each reserve the right to make a voluntary cash payment pursuant to subsection (h) of Section 262 of the DGCL and to assert, in any appraisal proceeding, that for purposes of Section 262 of the DGCL, the “fair value” of a share of Common Stock is less than the Merger Consideration offered pursuant to the Merger Agreement. If a demand for appraisal is duly withdrawn, a petition for appraisal is not timely filed, neither of the Minimum Conditions is met (assuming Common Stock remained listed on a national securities exchange immediately prior to the Effective Time) or other requirements imposed by Section 262 of the DGCL to perfect and seek appraisal are not satisfied, then the right to an appraisal will cease.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application by LiveRamp, as the Surviving Company of the Merger,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Delaware Court of Chancery will direct the payment of the fair value of the shares of Common Stock by LiveRamp, as the Surviving Company of the Merger, to the persons entitled thereto. Payment will be made to each such person upon such terms and conditions as the Delaware Court of Chancery may order. The Delaware Court of Chancery’s decree may be enforced as other decrees in such court may be enforced.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418" w:type="dxa"/>
        <w:jc w:val="left"/>
        <w:tblInd w:w="440" w:type="dxa"/>
        <w:tblLayout w:type="fixed"/>
        <w:tblCellMar>
          <w:top w:w="0" w:type="dxa"/>
          <w:left w:w="0" w:type="dxa"/>
          <w:bottom w:w="0" w:type="dxa"/>
          <w:right w:w="0" w:type="dxa"/>
        </w:tblCellMar>
      </w:tblPr>
      <w:tblGrid>
        <w:gridCol w:w="124"/>
        <w:gridCol w:w="169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0"/>
              <w:jc w:val="right"/>
              <w:rPr/>
            </w:pPr>
            <w:r>
              <w:rPr/>
              <w:t>Appraisal Rights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who participated in the proceeding and incurred expenses in connection therewith, the Delaware Court of Chancery may also order that all or a portion of such expenses, including, without limitation, reasonable attorneys’ fees and the fees and expenses of experts, be charged pro rata against the value of all the shares of Common Stock entitled to appraisal not dismissed pursuant to subsection (k) of Section 262 of the DGCL or subject to such an award pursuant to a reservation of jurisdiction under subsection (k) of Section 262 of the DGCL. In the absence of such an order, each party bears its own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person who demands appraisal of such person’s shares of Common Stock under Section 262 of the DGCL fails to perfect, or loses or successfully withdraws, such person’s right to appraisal, such person’s shares of Common Stock will be deemed to have been converted at the Effective Time into the right to receive the Merger Consideration pursuant to the Merger Agreement. A person will fail to perfect, or effectively lose or withdraw, such person’s right to appraisal if no petition for appraisal is filed within one hundred and twenty (120) days after the Effective Time, neither of the Minimum Conditions is met (assuming Common Stock remained listed on a national securities exchange immediately prior to the Effective Time) or if the person delivers to LiveRamp a written withdrawal of the person’s demand for appraisal in accordance with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and after the Effective Time, no person who has demanded appraisal rights with respect to some or all of such person’s shares of Common Stock will be entitled to vote such shares of Common Stock for any purpose or to receive payment of dividends or other distributions on such shares of Common Stock, except dividends or other distributions payable to stockholders of record as of a time prior to the Effective Time. If no petition for an appraisal is filed, if neither of the Minimum Conditions is met (assuming Common Stock remained listed on a national securities exchange immediately prior to the Effective Time), or if the person who has made a demand for appraisal delivers to LiveRamp a written withdrawal of the demand for an appraisal in respect of some or all of such person’s shares of Common Stock within sixty (60) days after the Effective Time in accordance with Section 262 of the DGCL, then the right of such person to an appraisal of such shares of Common Stock will cease. Once a petition for appraisal is filed with the Delaware Court of Chancery, however, no appraisal proceeding will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subsection (j) of Section 262 of the DGCL, provided that this sentence does not affect the right of any person who has not commenced an appraisal proceeding or joined that proceeding as a named party to withdraw such person’s demand for appraisal and to accept the terms offered upon the Merger within sixty (60) days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Failure to comply strictly with all of the procedures set forth in Section 262 of the DGCL will result in the loss of a stockholder’s or beneficial owner’s statutory appraisal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Consequently, any stockholder or beneficial owner wishing to exercise appraisal rights is encouraged to consult with their legal and financial advisors before attempting to exercise those rights. To the extent there are any inconsistencies between the foregoing summary and Section 262 of the DGCL, Section 262 of the DGCL will govern.</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RPT"/>
      <w:bookmarkEnd w:id="179"/>
      <w:r>
        <w:rPr>
          <w:rFonts w:ascii="calibri;arial;sans-serif" w:hAnsi="calibri;arial;sans-serif"/>
          <w:b w:val="false"/>
          <w:i w:val="false"/>
          <w:caps w:val="false"/>
          <w:smallCaps w:val="false"/>
          <w:color w:val="000000"/>
          <w:sz w:val="16"/>
        </w:rPr>
        <w:t>​</w:t>
      </w:r>
      <w:bookmarkStart w:id="180" w:name="tHOPM"/>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Related Party Transactions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of the Board has the responsibility of reviewing and approving any transaction required to be disclosed as a related-party transaction under SEC rules and regulations. As provided in that committee’s charter, no related-party transaction will be approved unless it is deemed by the committee to be commercially reasonable and in the best interests of, or not inconsistent with the best interests of, the Company. Since the beginning of the Company’s past fiscal year, there were no reportable related-party transactions, and none are currently anticipated.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Householding of Proxy Materials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and other LiveRamp stockholders share a mailing address, you may have received a single copy of this proxy statement and the annual report. This practice, known as “householding”, is designed to reduce the volume of duplicate information and reduce printing and postage costs. Unless the Company has received contrary instructions from you or the other stockholders sharing your address that you did not want to participate in householding, you are deemed to have consented to it. Each stockholder will continue to receive a separate proxy card or voting instruction form. If you would like to receive an extra copy of the annual report or this proxy statement, we will send a copy to you by mail upon request to the Corporate Secretary, LiveRamp Holdings, Inc., 301 Main Street, 2nd Floor, Little Rock, AR 72201. Each document is also available in digital form for download or review in the “Financial Information — Annual Reports &amp; Proxies”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would like to revoke your consent to householding and in the future receive your own set of proxy materials, or if your household is currently receiving multiple copies of the proxy materials and you would like in the future to receive only a single set of proxy materials at your address, you may be able to do so by contacting the Broadridge Householding Department by mail at 51 Mercedes Way, Edgewood, New York 11717, or by calling 1-866-540-7095, and providing your name, the name of each of your brokerage firms or banks where your shares are held, and your account numbers. If this option is not available to you, please contact your custodian bank or broker directly. The revocation of a consent to householding will be effective thirty (30) days following its receipt. You may also have an opportunity to opt in or opt out of householding by following the instructions on your voting instruction form or by contacting your bank or broker.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STPR"/>
      <w:bookmarkEnd w:id="181"/>
      <w:r>
        <w:rPr>
          <w:rFonts w:ascii="calibri;arial;sans-serif" w:hAnsi="calibri;arial;sans-serif"/>
          <w:b w:val="false"/>
          <w:i w:val="false"/>
          <w:caps w:val="false"/>
          <w:smallCaps w:val="false"/>
          <w:color w:val="000000"/>
          <w:sz w:val="16"/>
        </w:rPr>
        <w:t>​</w:t>
      </w:r>
      <w:bookmarkStart w:id="182" w:name="tDS1R"/>
      <w:bookmarkEnd w:id="182"/>
      <w:r>
        <w:rPr>
          <w:rFonts w:ascii="calibri;arial;sans-serif" w:hAnsi="calibri;arial;sans-serif"/>
          <w:b w:val="false"/>
          <w:i w:val="false"/>
          <w:caps w:val="false"/>
          <w:smallCaps w:val="false"/>
          <w:color w:val="000000"/>
          <w:sz w:val="16"/>
        </w:rPr>
        <w:t>​</w:t>
      </w:r>
      <w:bookmarkStart w:id="183" w:name="tEOS"/>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Stockholder Proposals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we will have no public stockholders and there will be no public participation in any future meetings of our stockholders. However, if the Merger is not completed, our stockholders will continue to be entitled to attend and participate in stockholder meetings. The Company will hold a 2027 Annual Meeting of Stockholders only if the Merger has not already been completed and LiveRamp remains a public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Rule 14a-8, stockholders who intend to present proposals at the 2027 Annual Meeting, if held, and who wish to have those proposals included in LiveRamp’s proxy statement for the 2027 Annual Meeting, if held, must ensure that those proposals are received by the Company’s Corporate Secretary at LiveRamp Holdings, Inc., 301 Main Street, 2nd Floor, Little Rock AR 72201 on or before [      ], 2027. Such proposals must meet the requirements set forth in the rules and regulations of the SEC in order to be eligible for inclusion in the proxy statement for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LiveRamp’s bylaws, stockholders who intend to submit a proposal regarding a director nomination or other matter of business at the 2027 Annual Meeting, if held, and who do not intend to have such proposal included in the Company’s proxy statement and form of proxy relating to the 2027 Annual Meeting, if held, pursuant to SEC regulations, must ensure that notice of any such proposal (including certain additional information specified in LiveRamp’s bylaws) is received by the Company’s Corporate Secretary at the address specified above no earlier than [      ], 2027 and no later than [      ], 2027, to be considered timely. Such proposals, and the additional information specified by the bylaws, must be submitted within this time period in order to be considered at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[      ],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Delinquent Section 16(A) Reports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16(a) of the Exchange Act requires the Company’s directors and executive officers, and persons who own more than 10% of the Company’s Common Stock, to file reports of ownership and changes in ownership with the SEC. Except as set forth in “</w:t>
      </w:r>
      <w:r>
        <w:rPr>
          <w:rFonts w:ascii="Arial;Helvetica;sans-serif" w:hAnsi="Arial;Helvetica;sans-serif"/>
          <w:b w:val="false"/>
          <w:i/>
          <w:caps w:val="false"/>
          <w:smallCaps w:val="false"/>
          <w:color w:val="000000"/>
          <w:sz w:val="20"/>
        </w:rPr>
        <w:t>Security Ownership of Certain Beneficial Owners and Management</w:t>
      </w:r>
      <w:r>
        <w:rPr>
          <w:rFonts w:ascii="Arial;Helvetica;sans-serif" w:hAnsi="Arial;Helvetica;sans-serif"/>
          <w:b w:val="false"/>
          <w:i w:val="false"/>
          <w:caps w:val="false"/>
          <w:smallCaps w:val="false"/>
          <w:color w:val="000000"/>
          <w:sz w:val="20"/>
        </w:rPr>
        <w:t xml:space="preserve">” above, the Company currently knows of no person who owns 10% or more of Common Stock that was required to file Section 16 reports.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solely upon a review of copies of reports filed electronically with the SEC during fiscal 2026 and written representations from our directors and executive officers that no other reports were required with respect to the year ended March 31, 2026, we believe that all Section 16(a) filing requirements applicable to our directors and executive officers were met during the last fiscal year, except that the initial statement of beneficial ownership of securities on February 11, 2026 for Ms. Argyilan was not timely reported (subsequently reported on March 2,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Expenses of Solicitation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bear the expense of preparing and mailing the proxy statement and related materials. Arrangements will be made with brokerage firms and other custodians, nominees and fiduciaries to forward the solicitation materials to our stockholders, and we will provide reimbursement for reasonable out-of-pocket expenses incurred by these third parties. We have retained Innisfree to assist in the solicitation of proxies and provide related informational support, for a service fee of  $40,000, plus customary disbursements.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WYCF"/>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Where You Can Find More Information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is subject to the reporting requirements of the Exchange Act. Accordingly, LiveRamp files annual, quarterly and current reports, proxy statements and other information with the SEC. LiveRamp’s SEC filings are available to the public at the internet website maintained by the SEC at </w:t>
      </w:r>
      <w:r>
        <w:rPr>
          <w:rFonts w:ascii="Arial;Helvetica;sans-serif" w:hAnsi="Arial;Helvetica;sans-serif"/>
          <w:b w:val="false"/>
          <w:i w:val="false"/>
          <w:caps w:val="false"/>
          <w:smallCaps w:val="false"/>
          <w:color w:val="000000"/>
          <w:sz w:val="20"/>
          <w:u w:val="single"/>
        </w:rPr>
        <w:t>https://www.sec.gov</w:t>
      </w:r>
      <w:r>
        <w:rPr>
          <w:rFonts w:ascii="Arial;Helvetica;sans-serif" w:hAnsi="Arial;Helvetica;sans-serif"/>
          <w:b w:val="false"/>
          <w:i w:val="false"/>
          <w:caps w:val="false"/>
          <w:smallCaps w:val="false"/>
          <w:color w:val="000000"/>
          <w:sz w:val="20"/>
        </w:rPr>
        <w:t xml:space="preserve">. LiveRamp also makes available free of charge through its website its Annual Report on Form 10-K, Quarterly Reports on Form 10-Q, Current Reports on Form 8-K and amendments to those reports filed or furnished pursuant to Section 13(a) or 15(d) of the Exchange Act, its definitive proxy statements and Section 16 reports on Forms 3, 4 and 5, as soon as reasonably practicable after it electronically files such reports or amendments with, or furnishes them to, the SEC. LiveRamp’s internet website address is </w:t>
      </w:r>
      <w:r>
        <w:rPr>
          <w:rFonts w:ascii="Arial;Helvetica;sans-serif" w:hAnsi="Arial;Helvetica;sans-serif"/>
          <w:b w:val="false"/>
          <w:i w:val="false"/>
          <w:caps w:val="false"/>
          <w:smallCaps w:val="false"/>
          <w:color w:val="000000"/>
          <w:sz w:val="20"/>
          <w:u w:val="single"/>
        </w:rPr>
        <w:t>www.LiveRamp.com</w:t>
      </w:r>
      <w:r>
        <w:rPr>
          <w:rFonts w:ascii="Arial;Helvetica;sans-serif" w:hAnsi="Arial;Helvetica;sans-serif"/>
          <w:b w:val="false"/>
          <w:i w:val="false"/>
          <w:caps w:val="false"/>
          <w:smallCaps w:val="false"/>
          <w:color w:val="000000"/>
          <w:sz w:val="20"/>
        </w:rPr>
        <w:t>. The information located on, or hyperlinked or otherwise connected to, LiveRamp’s website is not, and will not be deemed to be, a part of this proxy statement or incorporated into any other filings that we make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 allows LiveRamp to “incorporate by reference” the information we file with the SEC into this proxy statement, which means that we can disclose important information to you by referring you to other documents filed separately with the SEC. The information incorporated by reference is deemed to be part of this proxy statement, except that information that we file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Annual Report on Form 10-K for the fiscal year ended March 31, 2026, filed May 21,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9">
                <wp:simplePos x="0" y="0"/>
                <wp:positionH relativeFrom="column">
                  <wp:align>left</wp:align>
                </wp:positionH>
                <wp:positionV relativeFrom="line">
                  <wp:align>top</wp:align>
                </wp:positionV>
                <wp:extent cx="127000" cy="350520"/>
                <wp:effectExtent l="0" t="0" r="0" b="0"/>
                <wp:wrapSquare wrapText="right"/>
                <wp:docPr id="1055" name="Frame10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also incorporate by reference into this proxy statement additional documents that LiveRamp may file with the SEC under Section 13(a), 13(c), 14 or 15(d) of the Exchange Act, from the date of this proxy statement until the date of the Special Meeting; provided, however, that we are not incorporating by reference any additional documents or information furnished and not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would like to receive an extra copy of the annual report or this proxy statement, we will send a copy to you by mail upon request to the Corporate Secretary, LiveRamp Holdings, Inc., 301 Main Street, 2nd Floor, Little Rock, AR 72201. Each document is also available in digital form for download or review in the “Financial Information — Annual Reports &amp; Proxies”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INTO THIS PROXY STATEMENT TO VOTE YOUR SHARES OF COMMON STOCK AT THE SPECIAL MEETING. WE HAVE NOT AUTHORIZED ANYONE TO PROVIDE YOU WITH INFORMATION THAT IS DIFFERENT FROM WHAT IS CONTAINED IN THIS PROXY STATEMENT. THIS PROXY STATEMENT IS DATED [      ],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OTMA1"/>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Other Matters 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38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does not intend to present any items of business other than those listed in the Notice of Special Meeting of Stockholders above. If other matters are properly brought before the meeting, the persons acting as proxies will vote the shares represented by it in accordance with their best judgment. Discretionary authority to vote on other matters is included in the proxy. The relevant materials referred to in this proxy statement under the captions “</w:t>
      </w:r>
      <w:r>
        <w:rPr>
          <w:rFonts w:ascii="Arial;Helvetica;sans-serif" w:hAnsi="Arial;Helvetica;sans-serif"/>
          <w:b w:val="false"/>
          <w:i/>
          <w:caps w:val="false"/>
          <w:smallCaps w:val="false"/>
          <w:color w:val="000000"/>
          <w:sz w:val="20"/>
        </w:rPr>
        <w:t>Talent and Compensation Committee Report</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caps w:val="false"/>
          <w:smallCaps w:val="false"/>
          <w:color w:val="000000"/>
          <w:sz w:val="20"/>
        </w:rPr>
        <w:t>Audit/Finance Committee Report</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caps w:val="false"/>
          <w:smallCaps w:val="false"/>
          <w:color w:val="000000"/>
          <w:sz w:val="20"/>
        </w:rPr>
        <w:t>Hedging Policy” and “Pay Versus Performance”</w:t>
      </w:r>
      <w:r>
        <w:rPr>
          <w:rFonts w:ascii="Arial;Helvetica;sans-serif" w:hAnsi="Arial;Helvetica;sans-serif"/>
          <w:b w:val="false"/>
          <w:i w:val="false"/>
          <w:caps w:val="false"/>
          <w:smallCaps w:val="false"/>
          <w:color w:val="000000"/>
          <w:sz w:val="20"/>
        </w:rPr>
        <w:t xml:space="preserve"> shall not be deemed soliciting material or otherwise deemed filed and shall not be deemed to be incorporated by any general statement of incorporation by reference in any filings made under the Securities Act of 1933, as amended, or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By Order of the Board of Directors</w:t>
      </w:r>
      <w:r>
        <w:rPr>
          <w:rFonts w:ascii="Arial;Helvetica;sans-serif" w:hAnsi="Arial;Helvetica;sans-serif"/>
          <w:b w:val="false"/>
          <w:i/>
          <w:caps w:val="false"/>
          <w:smallCaps w:val="false"/>
          <w:color w:val="000000"/>
          <w:spacing w:val="4"/>
          <w:sz w:val="20"/>
        </w:rPr>
        <w:t xml:space="preserve"> </w:t>
      </w:r>
    </w:p>
    <w:p>
      <w:pPr>
        <w:pStyle w:val="TextBody"/>
        <w:bidi w:val="0"/>
        <w:spacing w:before="200" w:after="283"/>
        <w:ind w:left="54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10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40" descr=""/>
                    <pic:cNvPicPr>
                      <a:picLocks noChangeAspect="1" noChangeArrowheads="1"/>
                    </pic:cNvPicPr>
                  </pic:nvPicPr>
                  <pic:blipFill>
                    <a:blip r:embed="rId41"/>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Jerry C. Jones </w:t>
        <w:br/>
        <w:t xml:space="preserve">Executive Vice President, Chief Ethics and </w:t>
        <w:br/>
        <w:t>Legal Officer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 2026</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6" w:name="tANA"/>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A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EXECUTION VERSION</w:t>
      </w:r>
      <w:r>
        <w:rPr>
          <w:rFonts w:ascii="Arial;Helvetica;sans-serif" w:hAnsi="Arial;Helvetica;sans-serif"/>
          <w:b w:val="false"/>
          <w:i w:val="false"/>
          <w:caps w:val="false"/>
          <w:smallCaps w:val="false"/>
          <w:color w:val="000000"/>
          <w:sz w:val="20"/>
        </w:rPr>
        <w:t>​</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AGREEMENT AND PLAN OF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and among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MMS USA HOLDINGS, INC.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COVEY MERGER SUB, INC.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val="false"/>
          <w:i w:val="false"/>
          <w:caps w:val="false"/>
          <w:smallCaps w:val="false"/>
          <w:color w:val="000000"/>
          <w:sz w:val="20"/>
        </w:rPr>
        <w:t>,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solely for the purposes of Section 10.14,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PUBLICIS GROUPE S.A.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dated as 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16,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OC9"/>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ABLE OF</w:t>
      </w:r>
      <w:r>
        <w:rPr>
          <w:rFonts w:ascii="Arial;Helvetica;sans-serif" w:hAnsi="Arial;Helvetica;sans-serif"/>
          <w:b/>
          <w:i w:val="false"/>
          <w:caps w:val="false"/>
          <w:smallCaps w:val="false"/>
          <w:color w:val="000000"/>
          <w:sz w:val="40"/>
        </w:rPr>
        <w:t xml:space="preserve"> 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311" w:type="dxa"/>
        <w:jc w:val="left"/>
        <w:tblInd w:w="680" w:type="dxa"/>
        <w:tblLayout w:type="fixed"/>
        <w:tblCellMar>
          <w:top w:w="0" w:type="dxa"/>
          <w:left w:w="0" w:type="dxa"/>
          <w:bottom w:w="0" w:type="dxa"/>
          <w:right w:w="0" w:type="dxa"/>
        </w:tblCellMar>
      </w:tblPr>
      <w:tblGrid>
        <w:gridCol w:w="7951"/>
        <w:gridCol w:w="109"/>
        <w:gridCol w:w="109"/>
        <w:gridCol w:w="109"/>
        <w:gridCol w:w="109"/>
        <w:gridCol w:w="661"/>
        <w:gridCol w:w="109"/>
        <w:gridCol w:w="154"/>
      </w:tblGrid>
      <w:tr>
        <w:trPr/>
        <w:tc>
          <w:tcPr>
            <w:tcW w:w="79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before="0" w:after="283"/>
              <w:jc w:val="left"/>
              <w:rPr/>
            </w:pPr>
            <w:hyperlink w:anchor="tARI">
              <w:r>
                <w:rPr>
                  <w:rStyle w:val="InternetLink"/>
                </w:rPr>
                <w:t xml:space="preserve">Article I CERTAIN DEFINITIONS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ARI">
              <w:r>
                <w:rPr>
                  <w:rStyle w:val="InternetLink"/>
                </w:rPr>
                <w:t xml:space="preserve">A-5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1DF">
              <w:r>
                <w:rPr>
                  <w:rStyle w:val="InternetLink"/>
                </w:rPr>
                <w:t xml:space="preserve">Definitions </w:t>
              </w:r>
            </w:hyperlink>
            <w:r>
              <mc:AlternateContent>
                <mc:Choice Requires="wps">
                  <w:drawing>
                    <wp:anchor behindDoc="0" distT="0" distB="0" distL="457200" distR="0" simplePos="0" locked="0" layoutInCell="1" allowOverlap="1" relativeHeight="1060">
                      <wp:simplePos x="0" y="0"/>
                      <wp:positionH relativeFrom="column">
                        <wp:align>left</wp:align>
                      </wp:positionH>
                      <wp:positionV relativeFrom="line">
                        <wp:posOffset>635</wp:posOffset>
                      </wp:positionV>
                      <wp:extent cx="1066800" cy="350520"/>
                      <wp:effectExtent l="0" t="0" r="0" b="0"/>
                      <wp:wrapSquare wrapText="right"/>
                      <wp:docPr id="1057" name="Frame101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DF">
                                    <w:r>
                                      <w:rPr>
                                        <w:rStyle w:val="InternetLink"/>
                                      </w:rPr>
                                      <w:t>Section 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DF">
                              <w:r>
                                <w:rPr>
                                  <w:rStyle w:val="InternetLink"/>
                                </w:rPr>
                                <w:t>Section 1.1.</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1DF">
              <w:r>
                <w:rPr>
                  <w:rStyle w:val="InternetLink"/>
                </w:rPr>
                <w:t xml:space="preserve">A-5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1TD">
              <w:r>
                <w:rPr>
                  <w:rStyle w:val="InternetLink"/>
                </w:rPr>
                <w:t xml:space="preserve">Terms Defined Elsewhere </w:t>
              </w:r>
            </w:hyperlink>
            <w:r>
              <mc:AlternateContent>
                <mc:Choice Requires="wps">
                  <w:drawing>
                    <wp:anchor behindDoc="0" distT="0" distB="0" distL="457200" distR="0" simplePos="0" locked="0" layoutInCell="1" allowOverlap="1" relativeHeight="1061">
                      <wp:simplePos x="0" y="0"/>
                      <wp:positionH relativeFrom="column">
                        <wp:align>left</wp:align>
                      </wp:positionH>
                      <wp:positionV relativeFrom="line">
                        <wp:posOffset>635</wp:posOffset>
                      </wp:positionV>
                      <wp:extent cx="1066800" cy="350520"/>
                      <wp:effectExtent l="0" t="0" r="0" b="0"/>
                      <wp:wrapSquare wrapText="right"/>
                      <wp:docPr id="1058" name="Frame101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TD">
                                    <w:r>
                                      <w:rPr>
                                        <w:rStyle w:val="InternetLink"/>
                                      </w:rPr>
                                      <w:t>Section 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TD">
                              <w:r>
                                <w:rPr>
                                  <w:rStyle w:val="InternetLink"/>
                                </w:rPr>
                                <w:t>Section 1.2.</w:t>
                                <w:br/>
                              </w:r>
                            </w:hyperlink>
                          </w:p>
                        </w:txbxContent>
                      </v:textbox>
                      <w10:wrap type="square" side="right"/>
                    </v:rect>
                  </w:pict>
                </mc:Fallback>
              </mc:AlternateContent>
            </w:r>
          </w:p>
          <w:p>
            <w:pPr>
              <w:pStyle w:val="TableContents"/>
              <w:bidi w:val="0"/>
              <w:spacing w:before="0" w:after="0"/>
              <w:ind w:left="0" w:right="0" w:hanging="0"/>
              <w:jc w:val="left"/>
              <w:rPr/>
            </w:pPr>
            <w:hyperlink w:anchor="tS1T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1TD">
              <w:r>
                <w:rPr>
                  <w:rStyle w:val="InternetLink"/>
                </w:rPr>
                <w:t xml:space="preserve">A-13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before="0" w:after="283"/>
              <w:jc w:val="left"/>
              <w:rPr/>
            </w:pPr>
            <w:hyperlink w:anchor="tARII">
              <w:r>
                <w:rPr>
                  <w:rStyle w:val="InternetLink"/>
                </w:rPr>
                <w:t xml:space="preserve">Article II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ARII">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TM">
              <w:r>
                <w:rPr>
                  <w:rStyle w:val="InternetLink"/>
                </w:rPr>
                <w:t xml:space="preserve">The Merger </w:t>
              </w:r>
            </w:hyperlink>
            <w:r>
              <mc:AlternateContent>
                <mc:Choice Requires="wps">
                  <w:drawing>
                    <wp:anchor behindDoc="0" distT="0" distB="0" distL="457200" distR="0" simplePos="0" locked="0" layoutInCell="1" allowOverlap="1" relativeHeight="1062">
                      <wp:simplePos x="0" y="0"/>
                      <wp:positionH relativeFrom="column">
                        <wp:align>left</wp:align>
                      </wp:positionH>
                      <wp:positionV relativeFrom="line">
                        <wp:posOffset>635</wp:posOffset>
                      </wp:positionV>
                      <wp:extent cx="1066800" cy="350520"/>
                      <wp:effectExtent l="0" t="0" r="0" b="0"/>
                      <wp:wrapSquare wrapText="right"/>
                      <wp:docPr id="1059" name="Frame101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TM">
                                    <w:r>
                                      <w:rPr>
                                        <w:rStyle w:val="InternetLink"/>
                                      </w:rPr>
                                      <w:t>Section 2.1.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TM">
                              <w:r>
                                <w:rPr>
                                  <w:rStyle w:val="InternetLink"/>
                                </w:rPr>
                                <w:t>Section 2.1.</w:t>
                                <w:br/>
                              </w:r>
                            </w:hyperlink>
                          </w:p>
                        </w:txbxContent>
                      </v:textbox>
                      <w10:wrap type="square" side="right"/>
                    </v:rect>
                  </w:pict>
                </mc:Fallback>
              </mc:AlternateContent>
            </w:r>
          </w:p>
          <w:p>
            <w:pPr>
              <w:pStyle w:val="TableContents"/>
              <w:bidi w:val="0"/>
              <w:spacing w:before="0" w:after="0"/>
              <w:ind w:left="0" w:right="0" w:hanging="0"/>
              <w:jc w:val="left"/>
              <w:rPr/>
            </w:pPr>
            <w:hyperlink w:anchor="tS2T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TM">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2TC">
              <w:r>
                <w:rPr>
                  <w:rStyle w:val="InternetLink"/>
                </w:rPr>
                <w:t xml:space="preserve">The Closing </w:t>
              </w:r>
            </w:hyperlink>
            <w:r>
              <mc:AlternateContent>
                <mc:Choice Requires="wps">
                  <w:drawing>
                    <wp:anchor behindDoc="0" distT="0" distB="0" distL="457200" distR="0" simplePos="0" locked="0" layoutInCell="1" allowOverlap="1" relativeHeight="1063">
                      <wp:simplePos x="0" y="0"/>
                      <wp:positionH relativeFrom="column">
                        <wp:align>left</wp:align>
                      </wp:positionH>
                      <wp:positionV relativeFrom="line">
                        <wp:posOffset>635</wp:posOffset>
                      </wp:positionV>
                      <wp:extent cx="1066800" cy="350520"/>
                      <wp:effectExtent l="0" t="0" r="0" b="0"/>
                      <wp:wrapSquare wrapText="right"/>
                      <wp:docPr id="1060" name="Frame102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TC">
                                    <w:r>
                                      <w:rPr>
                                        <w:rStyle w:val="InternetLink"/>
                                      </w:rPr>
                                      <w:t>Section 2.2.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TC">
                              <w:r>
                                <w:rPr>
                                  <w:rStyle w:val="InternetLink"/>
                                </w:rPr>
                                <w:t>Section 2.2.</w:t>
                                <w:br/>
                              </w:r>
                            </w:hyperlink>
                          </w:p>
                        </w:txbxContent>
                      </v:textbox>
                      <w10:wrap type="square" side="right"/>
                    </v:rect>
                  </w:pict>
                </mc:Fallback>
              </mc:AlternateContent>
            </w:r>
          </w:p>
          <w:p>
            <w:pPr>
              <w:pStyle w:val="TableContents"/>
              <w:bidi w:val="0"/>
              <w:spacing w:before="0" w:after="0"/>
              <w:ind w:left="0" w:right="0" w:hanging="0"/>
              <w:jc w:val="left"/>
              <w:rPr/>
            </w:pPr>
            <w:hyperlink w:anchor="tS2T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2TC">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ET">
              <w:r>
                <w:rPr>
                  <w:rStyle w:val="InternetLink"/>
                </w:rPr>
                <w:t xml:space="preserve">Effective Time </w:t>
              </w:r>
            </w:hyperlink>
            <w:r>
              <mc:AlternateContent>
                <mc:Choice Requires="wps">
                  <w:drawing>
                    <wp:anchor behindDoc="0" distT="0" distB="0" distL="457200" distR="0" simplePos="0" locked="0" layoutInCell="1" allowOverlap="1" relativeHeight="1064">
                      <wp:simplePos x="0" y="0"/>
                      <wp:positionH relativeFrom="column">
                        <wp:align>left</wp:align>
                      </wp:positionH>
                      <wp:positionV relativeFrom="line">
                        <wp:posOffset>635</wp:posOffset>
                      </wp:positionV>
                      <wp:extent cx="1066800" cy="350520"/>
                      <wp:effectExtent l="0" t="0" r="0" b="0"/>
                      <wp:wrapSquare wrapText="right"/>
                      <wp:docPr id="1061" name="Frame102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ET">
                                    <w:r>
                                      <w:rPr>
                                        <w:rStyle w:val="InternetLink"/>
                                      </w:rPr>
                                      <w:t>Section 2.3.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ET">
                              <w:r>
                                <w:rPr>
                                  <w:rStyle w:val="InternetLink"/>
                                </w:rPr>
                                <w:t>Section 2.3.</w:t>
                                <w:br/>
                              </w:r>
                            </w:hyperlink>
                          </w:p>
                        </w:txbxContent>
                      </v:textbox>
                      <w10:wrap type="square" side="right"/>
                    </v:rect>
                  </w:pict>
                </mc:Fallback>
              </mc:AlternateContent>
            </w:r>
          </w:p>
          <w:p>
            <w:pPr>
              <w:pStyle w:val="TableContents"/>
              <w:bidi w:val="0"/>
              <w:spacing w:before="0" w:after="0"/>
              <w:ind w:left="0" w:right="0" w:hanging="0"/>
              <w:jc w:val="left"/>
              <w:rPr/>
            </w:pPr>
            <w:hyperlink w:anchor="tS2E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ET">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2GD">
              <w:r>
                <w:rPr>
                  <w:rStyle w:val="InternetLink"/>
                </w:rPr>
                <w:t xml:space="preserve">Governing Documents </w:t>
              </w:r>
            </w:hyperlink>
            <w:r>
              <mc:AlternateContent>
                <mc:Choice Requires="wps">
                  <w:drawing>
                    <wp:anchor behindDoc="0" distT="0" distB="0" distL="457200" distR="0" simplePos="0" locked="0" layoutInCell="1" allowOverlap="1" relativeHeight="1065">
                      <wp:simplePos x="0" y="0"/>
                      <wp:positionH relativeFrom="column">
                        <wp:align>left</wp:align>
                      </wp:positionH>
                      <wp:positionV relativeFrom="line">
                        <wp:posOffset>635</wp:posOffset>
                      </wp:positionV>
                      <wp:extent cx="1066800" cy="350520"/>
                      <wp:effectExtent l="0" t="0" r="0" b="0"/>
                      <wp:wrapSquare wrapText="right"/>
                      <wp:docPr id="1062" name="Frame102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GD">
                                    <w:r>
                                      <w:rPr>
                                        <w:rStyle w:val="InternetLink"/>
                                      </w:rPr>
                                      <w:t>Section 2.4.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GD">
                              <w:r>
                                <w:rPr>
                                  <w:rStyle w:val="InternetLink"/>
                                </w:rPr>
                                <w:t>Section 2.4.</w:t>
                                <w:br/>
                              </w:r>
                            </w:hyperlink>
                          </w:p>
                        </w:txbxContent>
                      </v:textbox>
                      <w10:wrap type="square" side="right"/>
                    </v:rect>
                  </w:pict>
                </mc:Fallback>
              </mc:AlternateContent>
            </w:r>
          </w:p>
          <w:p>
            <w:pPr>
              <w:pStyle w:val="TableContents"/>
              <w:bidi w:val="0"/>
              <w:spacing w:before="0" w:after="0"/>
              <w:ind w:left="0" w:right="0" w:hanging="0"/>
              <w:jc w:val="left"/>
              <w:rPr/>
            </w:pPr>
            <w:hyperlink w:anchor="tS2G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2GD">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OA">
              <w:r>
                <w:rPr>
                  <w:rStyle w:val="InternetLink"/>
                </w:rPr>
                <w:t xml:space="preserve">Officers and Directors of the Surviving Company </w:t>
              </w:r>
            </w:hyperlink>
            <w:r>
              <mc:AlternateContent>
                <mc:Choice Requires="wps">
                  <w:drawing>
                    <wp:anchor behindDoc="0" distT="0" distB="0" distL="457200" distR="0" simplePos="0" locked="0" layoutInCell="1" allowOverlap="1" relativeHeight="1066">
                      <wp:simplePos x="0" y="0"/>
                      <wp:positionH relativeFrom="column">
                        <wp:align>left</wp:align>
                      </wp:positionH>
                      <wp:positionV relativeFrom="line">
                        <wp:posOffset>635</wp:posOffset>
                      </wp:positionV>
                      <wp:extent cx="1066800" cy="350520"/>
                      <wp:effectExtent l="0" t="0" r="0" b="0"/>
                      <wp:wrapSquare wrapText="right"/>
                      <wp:docPr id="1063" name="Frame102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OA">
                                    <w:r>
                                      <w:rPr>
                                        <w:rStyle w:val="InternetLink"/>
                                      </w:rPr>
                                      <w:t>Section 2.5.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OA">
                              <w:r>
                                <w:rPr>
                                  <w:rStyle w:val="InternetLink"/>
                                </w:rPr>
                                <w:t>Section 2.5.</w:t>
                                <w:br/>
                              </w:r>
                            </w:hyperlink>
                          </w:p>
                        </w:txbxContent>
                      </v:textbox>
                      <w10:wrap type="square" side="right"/>
                    </v:rect>
                  </w:pict>
                </mc:Fallback>
              </mc:AlternateContent>
            </w:r>
          </w:p>
          <w:p>
            <w:pPr>
              <w:pStyle w:val="TableContents"/>
              <w:bidi w:val="0"/>
              <w:spacing w:before="0" w:after="0"/>
              <w:ind w:left="0" w:right="0" w:hanging="0"/>
              <w:jc w:val="left"/>
              <w:rPr/>
            </w:pPr>
            <w:hyperlink w:anchor="tS2O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OA">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before="0" w:after="283"/>
              <w:jc w:val="left"/>
              <w:rPr/>
            </w:pPr>
            <w:hyperlink w:anchor="tARII1">
              <w:r>
                <w:rPr>
                  <w:rStyle w:val="InternetLink"/>
                </w:rPr>
                <w:t xml:space="preserve">Article III TREATMENT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ARII1">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3TO">
              <w:r>
                <w:rPr>
                  <w:rStyle w:val="InternetLink"/>
                </w:rPr>
                <w:t xml:space="preserve">Treatment of Capital Stock </w:t>
              </w:r>
            </w:hyperlink>
            <w:r>
              <mc:AlternateContent>
                <mc:Choice Requires="wps">
                  <w:drawing>
                    <wp:anchor behindDoc="0" distT="0" distB="0" distL="457200" distR="0" simplePos="0" locked="0" layoutInCell="1" allowOverlap="1" relativeHeight="1067">
                      <wp:simplePos x="0" y="0"/>
                      <wp:positionH relativeFrom="column">
                        <wp:align>left</wp:align>
                      </wp:positionH>
                      <wp:positionV relativeFrom="line">
                        <wp:posOffset>635</wp:posOffset>
                      </wp:positionV>
                      <wp:extent cx="1066800" cy="350520"/>
                      <wp:effectExtent l="0" t="0" r="0" b="0"/>
                      <wp:wrapSquare wrapText="right"/>
                      <wp:docPr id="1064" name="Frame102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TO">
                                    <w:r>
                                      <w:rPr>
                                        <w:rStyle w:val="InternetLink"/>
                                      </w:rPr>
                                      <w:t>Section 3.1.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TO">
                              <w:r>
                                <w:rPr>
                                  <w:rStyle w:val="InternetLink"/>
                                </w:rPr>
                                <w:t>Section 3.1.</w:t>
                                <w:br/>
                              </w:r>
                            </w:hyperlink>
                          </w:p>
                        </w:txbxContent>
                      </v:textbox>
                      <w10:wrap type="square" side="right"/>
                    </v:rect>
                  </w:pict>
                </mc:Fallback>
              </mc:AlternateContent>
            </w:r>
          </w:p>
          <w:p>
            <w:pPr>
              <w:pStyle w:val="TableContents"/>
              <w:bidi w:val="0"/>
              <w:spacing w:before="0" w:after="0"/>
              <w:ind w:left="0" w:right="0" w:hanging="0"/>
              <w:jc w:val="left"/>
              <w:rPr/>
            </w:pPr>
            <w:hyperlink w:anchor="tS3T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3TO">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3PF">
              <w:r>
                <w:rPr>
                  <w:rStyle w:val="InternetLink"/>
                </w:rPr>
                <w:t xml:space="preserve">Payment for Securities; Surrender of Certificates </w:t>
              </w:r>
            </w:hyperlink>
            <w:r>
              <mc:AlternateContent>
                <mc:Choice Requires="wps">
                  <w:drawing>
                    <wp:anchor behindDoc="0" distT="0" distB="0" distL="457200" distR="0" simplePos="0" locked="0" layoutInCell="1" allowOverlap="1" relativeHeight="1068">
                      <wp:simplePos x="0" y="0"/>
                      <wp:positionH relativeFrom="column">
                        <wp:align>left</wp:align>
                      </wp:positionH>
                      <wp:positionV relativeFrom="line">
                        <wp:posOffset>635</wp:posOffset>
                      </wp:positionV>
                      <wp:extent cx="1066800" cy="350520"/>
                      <wp:effectExtent l="0" t="0" r="0" b="0"/>
                      <wp:wrapSquare wrapText="right"/>
                      <wp:docPr id="1065" name="Frame102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PF">
                                    <w:r>
                                      <w:rPr>
                                        <w:rStyle w:val="InternetLink"/>
                                      </w:rPr>
                                      <w:t>Section 3.2.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PF">
                              <w:r>
                                <w:rPr>
                                  <w:rStyle w:val="InternetLink"/>
                                </w:rPr>
                                <w:t>Section 3.2.</w:t>
                                <w:br/>
                              </w:r>
                            </w:hyperlink>
                          </w:p>
                        </w:txbxContent>
                      </v:textbox>
                      <w10:wrap type="square" side="right"/>
                    </v:rect>
                  </w:pict>
                </mc:Fallback>
              </mc:AlternateContent>
            </w:r>
          </w:p>
          <w:p>
            <w:pPr>
              <w:pStyle w:val="TableContents"/>
              <w:bidi w:val="0"/>
              <w:spacing w:before="0" w:after="0"/>
              <w:ind w:left="0" w:right="0" w:hanging="0"/>
              <w:jc w:val="left"/>
              <w:rPr/>
            </w:pPr>
            <w:hyperlink w:anchor="tS3P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3PF">
              <w:r>
                <w:rPr>
                  <w:rStyle w:val="InternetLink"/>
                </w:rPr>
                <w:t xml:space="preserve">A-16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3TO1">
              <w:r>
                <w:rPr>
                  <w:rStyle w:val="InternetLink"/>
                </w:rPr>
                <w:t xml:space="preserve">Treatment of Company Equity Awards </w:t>
              </w:r>
            </w:hyperlink>
            <w:r>
              <mc:AlternateContent>
                <mc:Choice Requires="wps">
                  <w:drawing>
                    <wp:anchor behindDoc="0" distT="0" distB="0" distL="457200" distR="0" simplePos="0" locked="0" layoutInCell="1" allowOverlap="1" relativeHeight="1069">
                      <wp:simplePos x="0" y="0"/>
                      <wp:positionH relativeFrom="column">
                        <wp:align>left</wp:align>
                      </wp:positionH>
                      <wp:positionV relativeFrom="line">
                        <wp:posOffset>635</wp:posOffset>
                      </wp:positionV>
                      <wp:extent cx="1066800" cy="350520"/>
                      <wp:effectExtent l="0" t="0" r="0" b="0"/>
                      <wp:wrapSquare wrapText="right"/>
                      <wp:docPr id="1066" name="Frame102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TO1">
                                    <w:r>
                                      <w:rPr>
                                        <w:rStyle w:val="InternetLink"/>
                                      </w:rPr>
                                      <w:t>Section 3.3.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TO1">
                              <w:r>
                                <w:rPr>
                                  <w:rStyle w:val="InternetLink"/>
                                </w:rPr>
                                <w:t>Section 3.3.</w:t>
                                <w:br/>
                              </w:r>
                            </w:hyperlink>
                          </w:p>
                        </w:txbxContent>
                      </v:textbox>
                      <w10:wrap type="square" side="right"/>
                    </v:rect>
                  </w:pict>
                </mc:Fallback>
              </mc:AlternateContent>
            </w:r>
          </w:p>
          <w:p>
            <w:pPr>
              <w:pStyle w:val="TableContents"/>
              <w:bidi w:val="0"/>
              <w:spacing w:before="0" w:after="0"/>
              <w:ind w:left="0" w:right="0" w:hanging="0"/>
              <w:jc w:val="left"/>
              <w:rPr/>
            </w:pPr>
            <w:hyperlink w:anchor="tS3TO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3TO1">
              <w:r>
                <w:rPr>
                  <w:rStyle w:val="InternetLink"/>
                </w:rPr>
                <w:t xml:space="preserve">A-18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3WE">
              <w:r>
                <w:rPr>
                  <w:rStyle w:val="InternetLink"/>
                </w:rPr>
                <w:t xml:space="preserve">Withholding </w:t>
              </w:r>
            </w:hyperlink>
            <w:r>
              <mc:AlternateContent>
                <mc:Choice Requires="wps">
                  <w:drawing>
                    <wp:anchor behindDoc="0" distT="0" distB="0" distL="457200" distR="0" simplePos="0" locked="0" layoutInCell="1" allowOverlap="1" relativeHeight="1070">
                      <wp:simplePos x="0" y="0"/>
                      <wp:positionH relativeFrom="column">
                        <wp:align>left</wp:align>
                      </wp:positionH>
                      <wp:positionV relativeFrom="line">
                        <wp:posOffset>635</wp:posOffset>
                      </wp:positionV>
                      <wp:extent cx="1066800" cy="350520"/>
                      <wp:effectExtent l="0" t="0" r="0" b="0"/>
                      <wp:wrapSquare wrapText="right"/>
                      <wp:docPr id="1067" name="Frame102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WE">
                                    <w:r>
                                      <w:rPr>
                                        <w:rStyle w:val="InternetLink"/>
                                      </w:rPr>
                                      <w:t>Section 3.4.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WE">
                              <w:r>
                                <w:rPr>
                                  <w:rStyle w:val="InternetLink"/>
                                </w:rPr>
                                <w:t>Section 3.4.</w:t>
                                <w:br/>
                              </w:r>
                            </w:hyperlink>
                          </w:p>
                        </w:txbxContent>
                      </v:textbox>
                      <w10:wrap type="square" side="right"/>
                    </v:rect>
                  </w:pict>
                </mc:Fallback>
              </mc:AlternateContent>
            </w:r>
          </w:p>
          <w:p>
            <w:pPr>
              <w:pStyle w:val="TableContents"/>
              <w:bidi w:val="0"/>
              <w:spacing w:before="0" w:after="0"/>
              <w:ind w:left="0" w:right="0" w:hanging="0"/>
              <w:jc w:val="left"/>
              <w:rPr/>
            </w:pPr>
            <w:hyperlink w:anchor="tS3W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3WE">
              <w:r>
                <w:rPr>
                  <w:rStyle w:val="InternetLink"/>
                </w:rPr>
                <w:t xml:space="preserve">A-19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before="0" w:after="283"/>
              <w:jc w:val="left"/>
              <w:rPr/>
            </w:pPr>
            <w:hyperlink w:anchor="tARIV">
              <w:r>
                <w:rPr>
                  <w:rStyle w:val="InternetLink"/>
                </w:rPr>
                <w:t xml:space="preserve">Article IV REPRESENTATIONS AND WARRANTIES OF 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ARIV">
              <w:r>
                <w:rPr>
                  <w:rStyle w:val="InternetLink"/>
                </w:rPr>
                <w:t xml:space="preserve">A-19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QO">
              <w:r>
                <w:rPr>
                  <w:rStyle w:val="InternetLink"/>
                </w:rPr>
                <w:t xml:space="preserve">Qualification, Organization, Subsidiaries, etc. </w:t>
              </w:r>
            </w:hyperlink>
            <w:r>
              <mc:AlternateContent>
                <mc:Choice Requires="wps">
                  <w:drawing>
                    <wp:anchor behindDoc="0" distT="0" distB="0" distL="457200" distR="0" simplePos="0" locked="0" layoutInCell="1" allowOverlap="1" relativeHeight="1071">
                      <wp:simplePos x="0" y="0"/>
                      <wp:positionH relativeFrom="column">
                        <wp:align>left</wp:align>
                      </wp:positionH>
                      <wp:positionV relativeFrom="line">
                        <wp:posOffset>635</wp:posOffset>
                      </wp:positionV>
                      <wp:extent cx="1066800" cy="350520"/>
                      <wp:effectExtent l="0" t="0" r="0" b="0"/>
                      <wp:wrapSquare wrapText="right"/>
                      <wp:docPr id="1068" name="Frame102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QO">
                                    <w:r>
                                      <w:rPr>
                                        <w:rStyle w:val="InternetLink"/>
                                      </w:rPr>
                                      <w:t>Section 4.1.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QO">
                              <w:r>
                                <w:rPr>
                                  <w:rStyle w:val="InternetLink"/>
                                </w:rPr>
                                <w:t>Section 4.1.</w:t>
                                <w:br/>
                              </w:r>
                            </w:hyperlink>
                          </w:p>
                        </w:txbxContent>
                      </v:textbox>
                      <w10:wrap type="square" side="right"/>
                    </v:rect>
                  </w:pict>
                </mc:Fallback>
              </mc:AlternateContent>
            </w:r>
          </w:p>
          <w:p>
            <w:pPr>
              <w:pStyle w:val="TableContents"/>
              <w:bidi w:val="0"/>
              <w:spacing w:before="0" w:after="0"/>
              <w:ind w:left="0" w:right="0" w:hanging="0"/>
              <w:jc w:val="left"/>
              <w:rPr/>
            </w:pPr>
            <w:hyperlink w:anchor="tS4Q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QO">
              <w:r>
                <w:rPr>
                  <w:rStyle w:val="InternetLink"/>
                </w:rPr>
                <w:t xml:space="preserve">A-19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
              <w:r>
                <w:rPr>
                  <w:rStyle w:val="InternetLink"/>
                </w:rPr>
                <w:t xml:space="preserve">Capitalization </w:t>
              </w:r>
            </w:hyperlink>
            <w:r>
              <mc:AlternateContent>
                <mc:Choice Requires="wps">
                  <w:drawing>
                    <wp:anchor behindDoc="0" distT="0" distB="0" distL="457200" distR="0" simplePos="0" locked="0" layoutInCell="1" allowOverlap="1" relativeHeight="1072">
                      <wp:simplePos x="0" y="0"/>
                      <wp:positionH relativeFrom="column">
                        <wp:align>left</wp:align>
                      </wp:positionH>
                      <wp:positionV relativeFrom="line">
                        <wp:posOffset>635</wp:posOffset>
                      </wp:positionV>
                      <wp:extent cx="1066800" cy="350520"/>
                      <wp:effectExtent l="0" t="0" r="0" b="0"/>
                      <wp:wrapSquare wrapText="right"/>
                      <wp:docPr id="1069" name="Frame102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
                                    <w:r>
                                      <w:rPr>
                                        <w:rStyle w:val="InternetLink"/>
                                      </w:rPr>
                                      <w:t>Section 4.2.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
                              <w:r>
                                <w:rPr>
                                  <w:rStyle w:val="InternetLink"/>
                                </w:rPr>
                                <w:t>Section 4.2.</w:t>
                                <w:br/>
                              </w:r>
                            </w:hyperlink>
                          </w:p>
                        </w:txbxContent>
                      </v:textbox>
                      <w10:wrap type="square" side="right"/>
                    </v:rect>
                  </w:pict>
                </mc:Fallback>
              </mc:AlternateContent>
            </w:r>
          </w:p>
          <w:p>
            <w:pPr>
              <w:pStyle w:val="TableContents"/>
              <w:bidi w:val="0"/>
              <w:spacing w:before="0" w:after="0"/>
              <w:ind w:left="0" w:right="0" w:hanging="0"/>
              <w:jc w:val="left"/>
              <w:rPr/>
            </w:pPr>
            <w:hyperlink w:anchor="tS4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
              <w:r>
                <w:rPr>
                  <w:rStyle w:val="InternetLink"/>
                </w:rPr>
                <w:t xml:space="preserve">A-20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CA">
              <w:r>
                <w:rPr>
                  <w:rStyle w:val="InternetLink"/>
                </w:rPr>
                <w:t xml:space="preserve">Corporate Authority </w:t>
              </w:r>
            </w:hyperlink>
            <w:r>
              <mc:AlternateContent>
                <mc:Choice Requires="wps">
                  <w:drawing>
                    <wp:anchor behindDoc="0" distT="0" distB="0" distL="457200" distR="0" simplePos="0" locked="0" layoutInCell="1" allowOverlap="1" relativeHeight="1073">
                      <wp:simplePos x="0" y="0"/>
                      <wp:positionH relativeFrom="column">
                        <wp:align>left</wp:align>
                      </wp:positionH>
                      <wp:positionV relativeFrom="line">
                        <wp:posOffset>635</wp:posOffset>
                      </wp:positionV>
                      <wp:extent cx="1066800" cy="350520"/>
                      <wp:effectExtent l="0" t="0" r="0" b="0"/>
                      <wp:wrapSquare wrapText="right"/>
                      <wp:docPr id="1070" name="Frame103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A">
                                    <w:r>
                                      <w:rPr>
                                        <w:rStyle w:val="InternetLink"/>
                                      </w:rPr>
                                      <w:t>Section 4.3.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A">
                              <w:r>
                                <w:rPr>
                                  <w:rStyle w:val="InternetLink"/>
                                </w:rPr>
                                <w:t>Section 4.3.</w:t>
                                <w:br/>
                              </w:r>
                            </w:hyperlink>
                          </w:p>
                        </w:txbxContent>
                      </v:textbox>
                      <w10:wrap type="square" side="right"/>
                    </v:rect>
                  </w:pict>
                </mc:Fallback>
              </mc:AlternateContent>
            </w:r>
          </w:p>
          <w:p>
            <w:pPr>
              <w:pStyle w:val="TableContents"/>
              <w:bidi w:val="0"/>
              <w:spacing w:before="0" w:after="0"/>
              <w:ind w:left="0" w:right="0" w:hanging="0"/>
              <w:jc w:val="left"/>
              <w:rPr/>
            </w:pPr>
            <w:hyperlink w:anchor="tS4C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CA">
              <w:r>
                <w:rPr>
                  <w:rStyle w:val="InternetLink"/>
                </w:rPr>
                <w:t xml:space="preserve">A-21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GC">
              <w:r>
                <w:rPr>
                  <w:rStyle w:val="InternetLink"/>
                </w:rPr>
                <w:t xml:space="preserve">Governmental Consents; No Violation </w:t>
              </w:r>
            </w:hyperlink>
            <w:r>
              <mc:AlternateContent>
                <mc:Choice Requires="wps">
                  <w:drawing>
                    <wp:anchor behindDoc="0" distT="0" distB="0" distL="457200" distR="0" simplePos="0" locked="0" layoutInCell="1" allowOverlap="1" relativeHeight="1074">
                      <wp:simplePos x="0" y="0"/>
                      <wp:positionH relativeFrom="column">
                        <wp:align>left</wp:align>
                      </wp:positionH>
                      <wp:positionV relativeFrom="line">
                        <wp:posOffset>635</wp:posOffset>
                      </wp:positionV>
                      <wp:extent cx="1066800" cy="350520"/>
                      <wp:effectExtent l="0" t="0" r="0" b="0"/>
                      <wp:wrapSquare wrapText="right"/>
                      <wp:docPr id="1071" name="Frame103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GC">
                                    <w:r>
                                      <w:rPr>
                                        <w:rStyle w:val="InternetLink"/>
                                      </w:rPr>
                                      <w:t>Section 4.4.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GC">
                              <w:r>
                                <w:rPr>
                                  <w:rStyle w:val="InternetLink"/>
                                </w:rPr>
                                <w:t>Section 4.4.</w:t>
                                <w:br/>
                              </w:r>
                            </w:hyperlink>
                          </w:p>
                        </w:txbxContent>
                      </v:textbox>
                      <w10:wrap type="square" side="right"/>
                    </v:rect>
                  </w:pict>
                </mc:Fallback>
              </mc:AlternateContent>
            </w:r>
          </w:p>
          <w:p>
            <w:pPr>
              <w:pStyle w:val="TableContents"/>
              <w:bidi w:val="0"/>
              <w:spacing w:before="0" w:after="0"/>
              <w:ind w:left="0" w:right="0" w:hanging="0"/>
              <w:jc w:val="left"/>
              <w:rPr/>
            </w:pPr>
            <w:hyperlink w:anchor="tS4G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GC">
              <w:r>
                <w:rPr>
                  <w:rStyle w:val="InternetLink"/>
                </w:rPr>
                <w:t xml:space="preserve">A-22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SR">
              <w:r>
                <w:rPr>
                  <w:rStyle w:val="InternetLink"/>
                </w:rPr>
                <w:t xml:space="preserve">SEC Reports and Financial Statements </w:t>
              </w:r>
            </w:hyperlink>
            <w:r>
              <mc:AlternateContent>
                <mc:Choice Requires="wps">
                  <w:drawing>
                    <wp:anchor behindDoc="0" distT="0" distB="0" distL="457200" distR="0" simplePos="0" locked="0" layoutInCell="1" allowOverlap="1" relativeHeight="1075">
                      <wp:simplePos x="0" y="0"/>
                      <wp:positionH relativeFrom="column">
                        <wp:align>left</wp:align>
                      </wp:positionH>
                      <wp:positionV relativeFrom="line">
                        <wp:posOffset>635</wp:posOffset>
                      </wp:positionV>
                      <wp:extent cx="1066800" cy="350520"/>
                      <wp:effectExtent l="0" t="0" r="0" b="0"/>
                      <wp:wrapSquare wrapText="right"/>
                      <wp:docPr id="1072" name="Frame103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SR">
                                    <w:r>
                                      <w:rPr>
                                        <w:rStyle w:val="InternetLink"/>
                                      </w:rPr>
                                      <w:t>Section 4.5.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SR">
                              <w:r>
                                <w:rPr>
                                  <w:rStyle w:val="InternetLink"/>
                                </w:rPr>
                                <w:t>Section 4.5.</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SR">
              <w:r>
                <w:rPr>
                  <w:rStyle w:val="InternetLink"/>
                </w:rPr>
                <w:t xml:space="preserve">A-22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IC">
              <w:r>
                <w:rPr>
                  <w:rStyle w:val="InternetLink"/>
                </w:rPr>
                <w:t xml:space="preserve">Internal Controls and Procedures </w:t>
              </w:r>
            </w:hyperlink>
            <w:r>
              <mc:AlternateContent>
                <mc:Choice Requires="wps">
                  <w:drawing>
                    <wp:anchor behindDoc="0" distT="0" distB="0" distL="457200" distR="0" simplePos="0" locked="0" layoutInCell="1" allowOverlap="1" relativeHeight="1076">
                      <wp:simplePos x="0" y="0"/>
                      <wp:positionH relativeFrom="column">
                        <wp:align>left</wp:align>
                      </wp:positionH>
                      <wp:positionV relativeFrom="line">
                        <wp:posOffset>635</wp:posOffset>
                      </wp:positionV>
                      <wp:extent cx="1066800" cy="350520"/>
                      <wp:effectExtent l="0" t="0" r="0" b="0"/>
                      <wp:wrapSquare wrapText="right"/>
                      <wp:docPr id="1073" name="Frame103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C">
                                    <w:r>
                                      <w:rPr>
                                        <w:rStyle w:val="InternetLink"/>
                                      </w:rPr>
                                      <w:t>Section 4.6.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C">
                              <w:r>
                                <w:rPr>
                                  <w:rStyle w:val="InternetLink"/>
                                </w:rPr>
                                <w:t>Section 4.6.</w:t>
                                <w:br/>
                              </w:r>
                            </w:hyperlink>
                          </w:p>
                        </w:txbxContent>
                      </v:textbox>
                      <w10:wrap type="square" side="right"/>
                    </v:rect>
                  </w:pict>
                </mc:Fallback>
              </mc:AlternateContent>
            </w:r>
          </w:p>
          <w:p>
            <w:pPr>
              <w:pStyle w:val="TableContents"/>
              <w:bidi w:val="0"/>
              <w:spacing w:before="0" w:after="0"/>
              <w:ind w:left="0" w:right="0" w:hanging="0"/>
              <w:jc w:val="left"/>
              <w:rPr/>
            </w:pPr>
            <w:hyperlink w:anchor="tS4I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IC">
              <w:r>
                <w:rPr>
                  <w:rStyle w:val="InternetLink"/>
                </w:rPr>
                <w:t xml:space="preserve">A-23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NU">
              <w:r>
                <w:rPr>
                  <w:rStyle w:val="InternetLink"/>
                </w:rPr>
                <w:t xml:space="preserve">No Undisclosed Liabilities </w:t>
              </w:r>
            </w:hyperlink>
            <w:r>
              <mc:AlternateContent>
                <mc:Choice Requires="wps">
                  <w:drawing>
                    <wp:anchor behindDoc="0" distT="0" distB="0" distL="457200" distR="0" simplePos="0" locked="0" layoutInCell="1" allowOverlap="1" relativeHeight="1077">
                      <wp:simplePos x="0" y="0"/>
                      <wp:positionH relativeFrom="column">
                        <wp:align>left</wp:align>
                      </wp:positionH>
                      <wp:positionV relativeFrom="line">
                        <wp:posOffset>635</wp:posOffset>
                      </wp:positionV>
                      <wp:extent cx="1066800" cy="350520"/>
                      <wp:effectExtent l="0" t="0" r="0" b="0"/>
                      <wp:wrapSquare wrapText="right"/>
                      <wp:docPr id="1074" name="Frame103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U">
                                    <w:r>
                                      <w:rPr>
                                        <w:rStyle w:val="InternetLink"/>
                                      </w:rPr>
                                      <w:t>Section 4.7.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U">
                              <w:r>
                                <w:rPr>
                                  <w:rStyle w:val="InternetLink"/>
                                </w:rPr>
                                <w:t>Section 4.7.</w:t>
                                <w:br/>
                              </w:r>
                            </w:hyperlink>
                          </w:p>
                        </w:txbxContent>
                      </v:textbox>
                      <w10:wrap type="square" side="right"/>
                    </v:rect>
                  </w:pict>
                </mc:Fallback>
              </mc:AlternateContent>
            </w:r>
          </w:p>
          <w:p>
            <w:pPr>
              <w:pStyle w:val="TableContents"/>
              <w:bidi w:val="0"/>
              <w:spacing w:before="0" w:after="0"/>
              <w:ind w:left="0" w:right="0" w:hanging="0"/>
              <w:jc w:val="left"/>
              <w:rPr/>
            </w:pPr>
            <w:hyperlink w:anchor="tS4NU">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NU">
              <w:r>
                <w:rPr>
                  <w:rStyle w:val="InternetLink"/>
                </w:rPr>
                <w:t xml:space="preserve">A-23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AO">
              <w:r>
                <w:rPr>
                  <w:rStyle w:val="InternetLink"/>
                </w:rPr>
                <w:t xml:space="preserve">Absence of Certain Changes or Events </w:t>
              </w:r>
            </w:hyperlink>
            <w:r>
              <mc:AlternateContent>
                <mc:Choice Requires="wps">
                  <w:drawing>
                    <wp:anchor behindDoc="0" distT="0" distB="0" distL="457200" distR="0" simplePos="0" locked="0" layoutInCell="1" allowOverlap="1" relativeHeight="1078">
                      <wp:simplePos x="0" y="0"/>
                      <wp:positionH relativeFrom="column">
                        <wp:align>left</wp:align>
                      </wp:positionH>
                      <wp:positionV relativeFrom="line">
                        <wp:posOffset>635</wp:posOffset>
                      </wp:positionV>
                      <wp:extent cx="1066800" cy="350520"/>
                      <wp:effectExtent l="0" t="0" r="0" b="0"/>
                      <wp:wrapSquare wrapText="right"/>
                      <wp:docPr id="1075" name="Frame103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AO">
                                    <w:r>
                                      <w:rPr>
                                        <w:rStyle w:val="InternetLink"/>
                                      </w:rPr>
                                      <w:t>Section 4.8.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AO">
                              <w:r>
                                <w:rPr>
                                  <w:rStyle w:val="InternetLink"/>
                                </w:rPr>
                                <w:t>Section 4.8.</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AO">
              <w:r>
                <w:rPr>
                  <w:rStyle w:val="InternetLink"/>
                </w:rPr>
                <w:t xml:space="preserve">A-23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CW">
              <w:r>
                <w:rPr>
                  <w:rStyle w:val="InternetLink"/>
                </w:rPr>
                <w:t xml:space="preserve">Compliance with Law; Permits </w:t>
              </w:r>
            </w:hyperlink>
            <w:r>
              <mc:AlternateContent>
                <mc:Choice Requires="wps">
                  <w:drawing>
                    <wp:anchor behindDoc="0" distT="0" distB="0" distL="457200" distR="0" simplePos="0" locked="0" layoutInCell="1" allowOverlap="1" relativeHeight="1079">
                      <wp:simplePos x="0" y="0"/>
                      <wp:positionH relativeFrom="column">
                        <wp:align>left</wp:align>
                      </wp:positionH>
                      <wp:positionV relativeFrom="line">
                        <wp:posOffset>635</wp:posOffset>
                      </wp:positionV>
                      <wp:extent cx="1066800" cy="350520"/>
                      <wp:effectExtent l="0" t="0" r="0" b="0"/>
                      <wp:wrapSquare wrapText="right"/>
                      <wp:docPr id="1076" name="Frame103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W">
                                    <w:r>
                                      <w:rPr>
                                        <w:rStyle w:val="InternetLink"/>
                                      </w:rPr>
                                      <w:t>Section 4.9.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W">
                              <w:r>
                                <w:rPr>
                                  <w:rStyle w:val="InternetLink"/>
                                </w:rPr>
                                <w:t>Section 4.9.</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CW">
              <w:r>
                <w:rPr>
                  <w:rStyle w:val="InternetLink"/>
                </w:rPr>
                <w:t xml:space="preserve">A-24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NC">
              <w:r>
                <w:rPr>
                  <w:rStyle w:val="InternetLink"/>
                </w:rPr>
                <w:t xml:space="preserve">No Critical Technologies </w:t>
              </w:r>
            </w:hyperlink>
            <w:r>
              <mc:AlternateContent>
                <mc:Choice Requires="wps">
                  <w:drawing>
                    <wp:anchor behindDoc="0" distT="0" distB="0" distL="457200" distR="0" simplePos="0" locked="0" layoutInCell="1" allowOverlap="1" relativeHeight="1080">
                      <wp:simplePos x="0" y="0"/>
                      <wp:positionH relativeFrom="column">
                        <wp:align>left</wp:align>
                      </wp:positionH>
                      <wp:positionV relativeFrom="line">
                        <wp:posOffset>635</wp:posOffset>
                      </wp:positionV>
                      <wp:extent cx="1066800" cy="350520"/>
                      <wp:effectExtent l="0" t="0" r="0" b="0"/>
                      <wp:wrapSquare wrapText="right"/>
                      <wp:docPr id="1077" name="Frame103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C">
                                    <w:r>
                                      <w:rPr>
                                        <w:rStyle w:val="InternetLink"/>
                                      </w:rPr>
                                      <w:t>Section 4.10.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C">
                              <w:r>
                                <w:rPr>
                                  <w:rStyle w:val="InternetLink"/>
                                </w:rPr>
                                <w:t>Section 4.10.</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NC">
              <w:r>
                <w:rPr>
                  <w:rStyle w:val="InternetLink"/>
                </w:rPr>
                <w:t xml:space="preserve">A-25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EB">
              <w:r>
                <w:rPr>
                  <w:rStyle w:val="InternetLink"/>
                </w:rPr>
                <w:t xml:space="preserve">Employee Benefit Plans </w:t>
              </w:r>
            </w:hyperlink>
            <w:r>
              <mc:AlternateContent>
                <mc:Choice Requires="wps">
                  <w:drawing>
                    <wp:anchor behindDoc="0" distT="0" distB="0" distL="457200" distR="0" simplePos="0" locked="0" layoutInCell="1" allowOverlap="1" relativeHeight="1081">
                      <wp:simplePos x="0" y="0"/>
                      <wp:positionH relativeFrom="column">
                        <wp:align>left</wp:align>
                      </wp:positionH>
                      <wp:positionV relativeFrom="line">
                        <wp:posOffset>635</wp:posOffset>
                      </wp:positionV>
                      <wp:extent cx="1066800" cy="350520"/>
                      <wp:effectExtent l="0" t="0" r="0" b="0"/>
                      <wp:wrapSquare wrapText="right"/>
                      <wp:docPr id="1078" name="Frame103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EB">
                                    <w:r>
                                      <w:rPr>
                                        <w:rStyle w:val="InternetLink"/>
                                      </w:rPr>
                                      <w:t>Section 4.11.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EB">
                              <w:r>
                                <w:rPr>
                                  <w:rStyle w:val="InternetLink"/>
                                </w:rPr>
                                <w:t>Section 4.11.</w:t>
                                <w:br/>
                              </w:r>
                            </w:hyperlink>
                          </w:p>
                        </w:txbxContent>
                      </v:textbox>
                      <w10:wrap type="square" side="right"/>
                    </v:rect>
                  </w:pict>
                </mc:Fallback>
              </mc:AlternateContent>
            </w:r>
          </w:p>
          <w:p>
            <w:pPr>
              <w:pStyle w:val="TableContents"/>
              <w:bidi w:val="0"/>
              <w:spacing w:before="0" w:after="0"/>
              <w:ind w:left="0" w:right="0" w:hanging="0"/>
              <w:jc w:val="left"/>
              <w:rPr/>
            </w:pPr>
            <w:hyperlink w:anchor="tS4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EB">
              <w:r>
                <w:rPr>
                  <w:rStyle w:val="InternetLink"/>
                </w:rPr>
                <w:t xml:space="preserve">A-25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LM">
              <w:r>
                <w:rPr>
                  <w:rStyle w:val="InternetLink"/>
                </w:rPr>
                <w:t xml:space="preserve">Labor Matters </w:t>
              </w:r>
            </w:hyperlink>
            <w:r>
              <mc:AlternateContent>
                <mc:Choice Requires="wps">
                  <w:drawing>
                    <wp:anchor behindDoc="0" distT="0" distB="0" distL="457200" distR="0" simplePos="0" locked="0" layoutInCell="1" allowOverlap="1" relativeHeight="1082">
                      <wp:simplePos x="0" y="0"/>
                      <wp:positionH relativeFrom="column">
                        <wp:align>left</wp:align>
                      </wp:positionH>
                      <wp:positionV relativeFrom="line">
                        <wp:posOffset>635</wp:posOffset>
                      </wp:positionV>
                      <wp:extent cx="1066800" cy="350520"/>
                      <wp:effectExtent l="0" t="0" r="0" b="0"/>
                      <wp:wrapSquare wrapText="right"/>
                      <wp:docPr id="1079" name="Frame103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LM">
                                    <w:r>
                                      <w:rPr>
                                        <w:rStyle w:val="InternetLink"/>
                                      </w:rPr>
                                      <w:t>Section 4.12.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LM">
                              <w:r>
                                <w:rPr>
                                  <w:rStyle w:val="InternetLink"/>
                                </w:rPr>
                                <w:t>Section 4.12.</w:t>
                                <w:br/>
                              </w:r>
                            </w:hyperlink>
                          </w:p>
                        </w:txbxContent>
                      </v:textbox>
                      <w10:wrap type="square" side="right"/>
                    </v:rect>
                  </w:pict>
                </mc:Fallback>
              </mc:AlternateContent>
            </w:r>
          </w:p>
          <w:p>
            <w:pPr>
              <w:pStyle w:val="TableContents"/>
              <w:bidi w:val="0"/>
              <w:spacing w:before="0" w:after="0"/>
              <w:ind w:left="0" w:right="0" w:hanging="0"/>
              <w:jc w:val="left"/>
              <w:rPr/>
            </w:pPr>
            <w:hyperlink w:anchor="tS4L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LM">
              <w:r>
                <w:rPr>
                  <w:rStyle w:val="InternetLink"/>
                </w:rPr>
                <w:t xml:space="preserve">A-26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TM">
              <w:r>
                <w:rPr>
                  <w:rStyle w:val="InternetLink"/>
                </w:rPr>
                <w:t xml:space="preserve">Tax Matters </w:t>
              </w:r>
            </w:hyperlink>
            <w:r>
              <mc:AlternateContent>
                <mc:Choice Requires="wps">
                  <w:drawing>
                    <wp:anchor behindDoc="0" distT="0" distB="0" distL="457200" distR="0" simplePos="0" locked="0" layoutInCell="1" allowOverlap="1" relativeHeight="1083">
                      <wp:simplePos x="0" y="0"/>
                      <wp:positionH relativeFrom="column">
                        <wp:align>left</wp:align>
                      </wp:positionH>
                      <wp:positionV relativeFrom="line">
                        <wp:posOffset>635</wp:posOffset>
                      </wp:positionV>
                      <wp:extent cx="1066800" cy="350520"/>
                      <wp:effectExtent l="0" t="0" r="0" b="0"/>
                      <wp:wrapSquare wrapText="right"/>
                      <wp:docPr id="1080" name="Frame104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TM">
                                    <w:r>
                                      <w:rPr>
                                        <w:rStyle w:val="InternetLink"/>
                                      </w:rPr>
                                      <w:t>Section 4.13.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TM">
                              <w:r>
                                <w:rPr>
                                  <w:rStyle w:val="InternetLink"/>
                                </w:rPr>
                                <w:t>Section 4.13.</w:t>
                                <w:br/>
                              </w:r>
                            </w:hyperlink>
                          </w:p>
                        </w:txbxContent>
                      </v:textbox>
                      <w10:wrap type="square" side="right"/>
                    </v:rect>
                  </w:pict>
                </mc:Fallback>
              </mc:AlternateContent>
            </w:r>
          </w:p>
          <w:p>
            <w:pPr>
              <w:pStyle w:val="TableContents"/>
              <w:bidi w:val="0"/>
              <w:spacing w:before="0" w:after="0"/>
              <w:ind w:left="0" w:right="0" w:hanging="0"/>
              <w:jc w:val="left"/>
              <w:rPr/>
            </w:pPr>
            <w:hyperlink w:anchor="tS4T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TM">
              <w:r>
                <w:rPr>
                  <w:rStyle w:val="InternetLink"/>
                </w:rPr>
                <w:t xml:space="preserve">A-27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LO">
              <w:r>
                <w:rPr>
                  <w:rStyle w:val="InternetLink"/>
                </w:rPr>
                <w:t xml:space="preserve">Litigation; Orders </w:t>
              </w:r>
            </w:hyperlink>
            <w:r>
              <mc:AlternateContent>
                <mc:Choice Requires="wps">
                  <w:drawing>
                    <wp:anchor behindDoc="0" distT="0" distB="0" distL="457200" distR="0" simplePos="0" locked="0" layoutInCell="1" allowOverlap="1" relativeHeight="1084">
                      <wp:simplePos x="0" y="0"/>
                      <wp:positionH relativeFrom="column">
                        <wp:align>left</wp:align>
                      </wp:positionH>
                      <wp:positionV relativeFrom="line">
                        <wp:posOffset>635</wp:posOffset>
                      </wp:positionV>
                      <wp:extent cx="1066800" cy="350520"/>
                      <wp:effectExtent l="0" t="0" r="0" b="0"/>
                      <wp:wrapSquare wrapText="right"/>
                      <wp:docPr id="1081" name="Frame104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LO">
                                    <w:r>
                                      <w:rPr>
                                        <w:rStyle w:val="InternetLink"/>
                                      </w:rPr>
                                      <w:t>Section 4.14.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LO">
                              <w:r>
                                <w:rPr>
                                  <w:rStyle w:val="InternetLink"/>
                                </w:rPr>
                                <w:t>Section 4.14.</w:t>
                                <w:br/>
                              </w:r>
                            </w:hyperlink>
                          </w:p>
                        </w:txbxContent>
                      </v:textbox>
                      <w10:wrap type="square" side="right"/>
                    </v:rect>
                  </w:pict>
                </mc:Fallback>
              </mc:AlternateContent>
            </w:r>
          </w:p>
          <w:p>
            <w:pPr>
              <w:pStyle w:val="TableContents"/>
              <w:bidi w:val="0"/>
              <w:spacing w:before="0" w:after="0"/>
              <w:ind w:left="0" w:right="0" w:hanging="0"/>
              <w:jc w:val="left"/>
              <w:rPr/>
            </w:pPr>
            <w:hyperlink w:anchor="tS4L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LO">
              <w:r>
                <w:rPr>
                  <w:rStyle w:val="InternetLink"/>
                </w:rPr>
                <w:t xml:space="preserve">A-29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IP">
              <w:r>
                <w:rPr>
                  <w:rStyle w:val="InternetLink"/>
                </w:rPr>
                <w:t xml:space="preserve">Intellectual Property </w:t>
              </w:r>
            </w:hyperlink>
            <w:r>
              <mc:AlternateContent>
                <mc:Choice Requires="wps">
                  <w:drawing>
                    <wp:anchor behindDoc="0" distT="0" distB="0" distL="457200" distR="0" simplePos="0" locked="0" layoutInCell="1" allowOverlap="1" relativeHeight="1085">
                      <wp:simplePos x="0" y="0"/>
                      <wp:positionH relativeFrom="column">
                        <wp:align>left</wp:align>
                      </wp:positionH>
                      <wp:positionV relativeFrom="line">
                        <wp:posOffset>635</wp:posOffset>
                      </wp:positionV>
                      <wp:extent cx="1066800" cy="350520"/>
                      <wp:effectExtent l="0" t="0" r="0" b="0"/>
                      <wp:wrapSquare wrapText="right"/>
                      <wp:docPr id="1082" name="Frame104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P">
                                    <w:r>
                                      <w:rPr>
                                        <w:rStyle w:val="InternetLink"/>
                                      </w:rPr>
                                      <w:t>Section 4.15.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P">
                              <w:r>
                                <w:rPr>
                                  <w:rStyle w:val="InternetLink"/>
                                </w:rPr>
                                <w:t>Section 4.15.</w:t>
                                <w:br/>
                              </w:r>
                            </w:hyperlink>
                          </w:p>
                        </w:txbxContent>
                      </v:textbox>
                      <w10:wrap type="square" side="right"/>
                    </v:rect>
                  </w:pict>
                </mc:Fallback>
              </mc:AlternateContent>
            </w:r>
          </w:p>
          <w:p>
            <w:pPr>
              <w:pStyle w:val="TableContents"/>
              <w:bidi w:val="0"/>
              <w:spacing w:before="0" w:after="0"/>
              <w:ind w:left="0" w:right="0" w:hanging="0"/>
              <w:jc w:val="left"/>
              <w:rPr/>
            </w:pPr>
            <w:hyperlink w:anchor="tS4I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IP">
              <w:r>
                <w:rPr>
                  <w:rStyle w:val="InternetLink"/>
                </w:rPr>
                <w:t xml:space="preserve">A-29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I">
              <w:r>
                <w:rPr>
                  <w:rStyle w:val="InternetLink"/>
                </w:rPr>
                <w:t xml:space="preserve">Company IT; Privacy and Data Protection </w:t>
              </w:r>
            </w:hyperlink>
            <w:r>
              <mc:AlternateContent>
                <mc:Choice Requires="wps">
                  <w:drawing>
                    <wp:anchor behindDoc="0" distT="0" distB="0" distL="457200" distR="0" simplePos="0" locked="0" layoutInCell="1" allowOverlap="1" relativeHeight="1086">
                      <wp:simplePos x="0" y="0"/>
                      <wp:positionH relativeFrom="column">
                        <wp:align>left</wp:align>
                      </wp:positionH>
                      <wp:positionV relativeFrom="line">
                        <wp:posOffset>635</wp:posOffset>
                      </wp:positionV>
                      <wp:extent cx="1066800" cy="350520"/>
                      <wp:effectExtent l="0" t="0" r="0" b="0"/>
                      <wp:wrapSquare wrapText="right"/>
                      <wp:docPr id="1083" name="Frame104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I">
                                    <w:r>
                                      <w:rPr>
                                        <w:rStyle w:val="InternetLink"/>
                                      </w:rPr>
                                      <w:t>Section 4.16.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I">
                              <w:r>
                                <w:rPr>
                                  <w:rStyle w:val="InternetLink"/>
                                </w:rPr>
                                <w:t>Section 4.16.</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I">
              <w:r>
                <w:rPr>
                  <w:rStyle w:val="InternetLink"/>
                </w:rPr>
                <w:t xml:space="preserve">A-30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RP">
              <w:r>
                <w:rPr>
                  <w:rStyle w:val="InternetLink"/>
                </w:rPr>
                <w:t xml:space="preserve">Real Property </w:t>
              </w:r>
            </w:hyperlink>
            <w:r>
              <mc:AlternateContent>
                <mc:Choice Requires="wps">
                  <w:drawing>
                    <wp:anchor behindDoc="0" distT="0" distB="0" distL="457200" distR="0" simplePos="0" locked="0" layoutInCell="1" allowOverlap="1" relativeHeight="1087">
                      <wp:simplePos x="0" y="0"/>
                      <wp:positionH relativeFrom="column">
                        <wp:align>left</wp:align>
                      </wp:positionH>
                      <wp:positionV relativeFrom="line">
                        <wp:posOffset>635</wp:posOffset>
                      </wp:positionV>
                      <wp:extent cx="1066800" cy="350520"/>
                      <wp:effectExtent l="0" t="0" r="0" b="0"/>
                      <wp:wrapSquare wrapText="right"/>
                      <wp:docPr id="1084" name="Frame104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RP">
                                    <w:r>
                                      <w:rPr>
                                        <w:rStyle w:val="InternetLink"/>
                                      </w:rPr>
                                      <w:t>Section 4.17.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RP">
                              <w:r>
                                <w:rPr>
                                  <w:rStyle w:val="InternetLink"/>
                                </w:rPr>
                                <w:t>Section 4.17.</w:t>
                                <w:br/>
                              </w:r>
                            </w:hyperlink>
                          </w:p>
                        </w:txbxContent>
                      </v:textbox>
                      <w10:wrap type="square" side="right"/>
                    </v:rect>
                  </w:pict>
                </mc:Fallback>
              </mc:AlternateContent>
            </w:r>
          </w:p>
          <w:p>
            <w:pPr>
              <w:pStyle w:val="TableContents"/>
              <w:bidi w:val="0"/>
              <w:spacing w:before="0" w:after="0"/>
              <w:ind w:left="0" w:right="0" w:hanging="0"/>
              <w:jc w:val="left"/>
              <w:rPr/>
            </w:pPr>
            <w:hyperlink w:anchor="tS4R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RP">
              <w:r>
                <w:rPr>
                  <w:rStyle w:val="InternetLink"/>
                </w:rPr>
                <w:t xml:space="preserve">A-31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MC">
              <w:r>
                <w:rPr>
                  <w:rStyle w:val="InternetLink"/>
                </w:rPr>
                <w:t xml:space="preserve">Material Contracts </w:t>
              </w:r>
            </w:hyperlink>
            <w:r>
              <mc:AlternateContent>
                <mc:Choice Requires="wps">
                  <w:drawing>
                    <wp:anchor behindDoc="0" distT="0" distB="0" distL="457200" distR="0" simplePos="0" locked="0" layoutInCell="1" allowOverlap="1" relativeHeight="1088">
                      <wp:simplePos x="0" y="0"/>
                      <wp:positionH relativeFrom="column">
                        <wp:align>left</wp:align>
                      </wp:positionH>
                      <wp:positionV relativeFrom="line">
                        <wp:posOffset>635</wp:posOffset>
                      </wp:positionV>
                      <wp:extent cx="1066800" cy="350520"/>
                      <wp:effectExtent l="0" t="0" r="0" b="0"/>
                      <wp:wrapSquare wrapText="right"/>
                      <wp:docPr id="1085" name="Frame104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MC">
                                    <w:r>
                                      <w:rPr>
                                        <w:rStyle w:val="InternetLink"/>
                                      </w:rPr>
                                      <w:t>Section 4.18.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MC">
                              <w:r>
                                <w:rPr>
                                  <w:rStyle w:val="InternetLink"/>
                                </w:rPr>
                                <w:t>Section 4.18.</w:t>
                                <w:br/>
                              </w:r>
                            </w:hyperlink>
                          </w:p>
                        </w:txbxContent>
                      </v:textbox>
                      <w10:wrap type="square" side="right"/>
                    </v:rect>
                  </w:pict>
                </mc:Fallback>
              </mc:AlternateContent>
            </w:r>
          </w:p>
          <w:p>
            <w:pPr>
              <w:pStyle w:val="TableContents"/>
              <w:bidi w:val="0"/>
              <w:spacing w:before="0" w:after="0"/>
              <w:ind w:left="0" w:right="0" w:hanging="0"/>
              <w:jc w:val="left"/>
              <w:rPr/>
            </w:pPr>
            <w:hyperlink w:anchor="tS4M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MC">
              <w:r>
                <w:rPr>
                  <w:rStyle w:val="InternetLink"/>
                </w:rPr>
                <w:t xml:space="preserve">A-32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EM">
              <w:r>
                <w:rPr>
                  <w:rStyle w:val="InternetLink"/>
                </w:rPr>
                <w:t xml:space="preserve">Environmental Matters </w:t>
              </w:r>
            </w:hyperlink>
            <w:r>
              <mc:AlternateContent>
                <mc:Choice Requires="wps">
                  <w:drawing>
                    <wp:anchor behindDoc="0" distT="0" distB="0" distL="457200" distR="0" simplePos="0" locked="0" layoutInCell="1" allowOverlap="1" relativeHeight="1089">
                      <wp:simplePos x="0" y="0"/>
                      <wp:positionH relativeFrom="column">
                        <wp:align>left</wp:align>
                      </wp:positionH>
                      <wp:positionV relativeFrom="line">
                        <wp:posOffset>635</wp:posOffset>
                      </wp:positionV>
                      <wp:extent cx="1066800" cy="350520"/>
                      <wp:effectExtent l="0" t="0" r="0" b="0"/>
                      <wp:wrapSquare wrapText="right"/>
                      <wp:docPr id="1086" name="Frame104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EM">
                                    <w:r>
                                      <w:rPr>
                                        <w:rStyle w:val="InternetLink"/>
                                      </w:rPr>
                                      <w:t>Section 4.19.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EM">
                              <w:r>
                                <w:rPr>
                                  <w:rStyle w:val="InternetLink"/>
                                </w:rPr>
                                <w:t>Section 4.19.</w:t>
                                <w:br/>
                              </w:r>
                            </w:hyperlink>
                          </w:p>
                        </w:txbxContent>
                      </v:textbox>
                      <w10:wrap type="square" side="right"/>
                    </v:rect>
                  </w:pict>
                </mc:Fallback>
              </mc:AlternateContent>
            </w:r>
          </w:p>
          <w:p>
            <w:pPr>
              <w:pStyle w:val="TableContents"/>
              <w:bidi w:val="0"/>
              <w:spacing w:before="0" w:after="0"/>
              <w:ind w:left="0" w:right="0" w:hanging="0"/>
              <w:jc w:val="left"/>
              <w:rPr/>
            </w:pPr>
            <w:hyperlink w:anchor="tS4E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EM">
              <w:r>
                <w:rPr>
                  <w:rStyle w:val="InternetLink"/>
                </w:rPr>
                <w:t xml:space="preserve">A-34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A1">
              <w:r>
                <w:rPr>
                  <w:rStyle w:val="InternetLink"/>
                </w:rPr>
                <w:t xml:space="preserve">Customers and Suppliers </w:t>
              </w:r>
            </w:hyperlink>
            <w:r>
              <mc:AlternateContent>
                <mc:Choice Requires="wps">
                  <w:drawing>
                    <wp:anchor behindDoc="0" distT="0" distB="0" distL="457200" distR="0" simplePos="0" locked="0" layoutInCell="1" allowOverlap="1" relativeHeight="1090">
                      <wp:simplePos x="0" y="0"/>
                      <wp:positionH relativeFrom="column">
                        <wp:align>left</wp:align>
                      </wp:positionH>
                      <wp:positionV relativeFrom="line">
                        <wp:posOffset>635</wp:posOffset>
                      </wp:positionV>
                      <wp:extent cx="1066800" cy="350520"/>
                      <wp:effectExtent l="0" t="0" r="0" b="0"/>
                      <wp:wrapSquare wrapText="right"/>
                      <wp:docPr id="1087" name="Frame104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A1">
                                    <w:r>
                                      <w:rPr>
                                        <w:rStyle w:val="InternetLink"/>
                                      </w:rPr>
                                      <w:t>Section 4.20.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A1">
                              <w:r>
                                <w:rPr>
                                  <w:rStyle w:val="InternetLink"/>
                                </w:rPr>
                                <w:t>Section 4.20.</w:t>
                                <w:br/>
                              </w:r>
                            </w:hyperlink>
                          </w:p>
                        </w:txbxContent>
                      </v:textbox>
                      <w10:wrap type="square" side="right"/>
                    </v:rect>
                  </w:pict>
                </mc:Fallback>
              </mc:AlternateContent>
            </w:r>
          </w:p>
          <w:p>
            <w:pPr>
              <w:pStyle w:val="TableContents"/>
              <w:bidi w:val="0"/>
              <w:spacing w:before="0" w:after="0"/>
              <w:ind w:left="0" w:right="0" w:hanging="0"/>
              <w:jc w:val="left"/>
              <w:rPr/>
            </w:pPr>
            <w:hyperlink w:anchor="tS4CA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A1">
              <w:r>
                <w:rPr>
                  <w:rStyle w:val="InternetLink"/>
                </w:rPr>
                <w:t xml:space="preserve">A-34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IE">
              <w:r>
                <w:rPr>
                  <w:rStyle w:val="InternetLink"/>
                </w:rPr>
                <w:t xml:space="preserve">Insurance </w:t>
              </w:r>
            </w:hyperlink>
            <w:r>
              <mc:AlternateContent>
                <mc:Choice Requires="wps">
                  <w:drawing>
                    <wp:anchor behindDoc="0" distT="0" distB="0" distL="457200" distR="0" simplePos="0" locked="0" layoutInCell="1" allowOverlap="1" relativeHeight="1091">
                      <wp:simplePos x="0" y="0"/>
                      <wp:positionH relativeFrom="column">
                        <wp:align>left</wp:align>
                      </wp:positionH>
                      <wp:positionV relativeFrom="line">
                        <wp:posOffset>635</wp:posOffset>
                      </wp:positionV>
                      <wp:extent cx="1066800" cy="350520"/>
                      <wp:effectExtent l="0" t="0" r="0" b="0"/>
                      <wp:wrapSquare wrapText="right"/>
                      <wp:docPr id="1088" name="Frame104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E">
                                    <w:r>
                                      <w:rPr>
                                        <w:rStyle w:val="InternetLink"/>
                                      </w:rPr>
                                      <w:t>Section 4.21.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E">
                              <w:r>
                                <w:rPr>
                                  <w:rStyle w:val="InternetLink"/>
                                </w:rPr>
                                <w:t>Section 4.21.</w:t>
                                <w:br/>
                              </w:r>
                            </w:hyperlink>
                          </w:p>
                        </w:txbxContent>
                      </v:textbox>
                      <w10:wrap type="square" side="right"/>
                    </v:rect>
                  </w:pict>
                </mc:Fallback>
              </mc:AlternateContent>
            </w:r>
          </w:p>
          <w:p>
            <w:pPr>
              <w:pStyle w:val="TableContents"/>
              <w:bidi w:val="0"/>
              <w:spacing w:before="0" w:after="0"/>
              <w:ind w:left="0" w:right="0" w:hanging="0"/>
              <w:jc w:val="left"/>
              <w:rPr/>
            </w:pPr>
            <w:hyperlink w:anchor="tS4I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IE">
              <w:r>
                <w:rPr>
                  <w:rStyle w:val="InternetLink"/>
                </w:rPr>
                <w:t xml:space="preserve">A-34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IS">
              <w:r>
                <w:rPr>
                  <w:rStyle w:val="InternetLink"/>
                </w:rPr>
                <w:t xml:space="preserve">Information Supplied </w:t>
              </w:r>
            </w:hyperlink>
            <w:r>
              <mc:AlternateContent>
                <mc:Choice Requires="wps">
                  <w:drawing>
                    <wp:anchor behindDoc="0" distT="0" distB="0" distL="457200" distR="0" simplePos="0" locked="0" layoutInCell="1" allowOverlap="1" relativeHeight="1092">
                      <wp:simplePos x="0" y="0"/>
                      <wp:positionH relativeFrom="column">
                        <wp:align>left</wp:align>
                      </wp:positionH>
                      <wp:positionV relativeFrom="line">
                        <wp:posOffset>635</wp:posOffset>
                      </wp:positionV>
                      <wp:extent cx="1066800" cy="350520"/>
                      <wp:effectExtent l="0" t="0" r="0" b="0"/>
                      <wp:wrapSquare wrapText="right"/>
                      <wp:docPr id="1089" name="Frame104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S">
                                    <w:r>
                                      <w:rPr>
                                        <w:rStyle w:val="InternetLink"/>
                                      </w:rPr>
                                      <w:t>Section 4.22.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S">
                              <w:r>
                                <w:rPr>
                                  <w:rStyle w:val="InternetLink"/>
                                </w:rPr>
                                <w:t>Section 4.22.</w:t>
                                <w:br/>
                              </w:r>
                            </w:hyperlink>
                          </w:p>
                        </w:txbxContent>
                      </v:textbox>
                      <w10:wrap type="square" side="right"/>
                    </v:rect>
                  </w:pict>
                </mc:Fallback>
              </mc:AlternateContent>
            </w:r>
          </w:p>
          <w:p>
            <w:pPr>
              <w:pStyle w:val="TableContents"/>
              <w:bidi w:val="0"/>
              <w:spacing w:before="0" w:after="0"/>
              <w:ind w:left="0" w:right="0" w:hanging="0"/>
              <w:jc w:val="left"/>
              <w:rPr/>
            </w:pPr>
            <w:hyperlink w:anchor="tS4I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IS">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OO">
              <w:r>
                <w:rPr>
                  <w:rStyle w:val="InternetLink"/>
                </w:rPr>
                <w:t xml:space="preserve">Opinion of Financial Advisor </w:t>
              </w:r>
            </w:hyperlink>
            <w:r>
              <mc:AlternateContent>
                <mc:Choice Requires="wps">
                  <w:drawing>
                    <wp:anchor behindDoc="0" distT="0" distB="0" distL="457200" distR="0" simplePos="0" locked="0" layoutInCell="1" allowOverlap="1" relativeHeight="1093">
                      <wp:simplePos x="0" y="0"/>
                      <wp:positionH relativeFrom="column">
                        <wp:align>left</wp:align>
                      </wp:positionH>
                      <wp:positionV relativeFrom="line">
                        <wp:posOffset>635</wp:posOffset>
                      </wp:positionV>
                      <wp:extent cx="1066800" cy="350520"/>
                      <wp:effectExtent l="0" t="0" r="0" b="0"/>
                      <wp:wrapSquare wrapText="right"/>
                      <wp:docPr id="1090" name="Frame105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OO">
                                    <w:r>
                                      <w:rPr>
                                        <w:rStyle w:val="InternetLink"/>
                                      </w:rPr>
                                      <w:t>Section 4.23.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OO">
                              <w:r>
                                <w:rPr>
                                  <w:rStyle w:val="InternetLink"/>
                                </w:rPr>
                                <w:t>Section 4.23.</w:t>
                                <w:br/>
                              </w:r>
                            </w:hyperlink>
                          </w:p>
                        </w:txbxContent>
                      </v:textbox>
                      <w10:wrap type="square" side="right"/>
                    </v:rect>
                  </w:pict>
                </mc:Fallback>
              </mc:AlternateContent>
            </w:r>
          </w:p>
          <w:p>
            <w:pPr>
              <w:pStyle w:val="TableContents"/>
              <w:bidi w:val="0"/>
              <w:spacing w:before="0" w:after="0"/>
              <w:ind w:left="0" w:right="0" w:hanging="0"/>
              <w:jc w:val="left"/>
              <w:rPr/>
            </w:pPr>
            <w:hyperlink w:anchor="tS4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OO">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ST">
              <w:r>
                <w:rPr>
                  <w:rStyle w:val="InternetLink"/>
                </w:rPr>
                <w:t xml:space="preserve">State Takeover Statutes; Anti-Takeover Laws </w:t>
              </w:r>
            </w:hyperlink>
            <w:r>
              <mc:AlternateContent>
                <mc:Choice Requires="wps">
                  <w:drawing>
                    <wp:anchor behindDoc="0" distT="0" distB="0" distL="457200" distR="0" simplePos="0" locked="0" layoutInCell="1" allowOverlap="1" relativeHeight="1094">
                      <wp:simplePos x="0" y="0"/>
                      <wp:positionH relativeFrom="column">
                        <wp:align>left</wp:align>
                      </wp:positionH>
                      <wp:positionV relativeFrom="line">
                        <wp:posOffset>635</wp:posOffset>
                      </wp:positionV>
                      <wp:extent cx="1066800" cy="350520"/>
                      <wp:effectExtent l="0" t="0" r="0" b="0"/>
                      <wp:wrapSquare wrapText="right"/>
                      <wp:docPr id="1091" name="Frame105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ST">
                                    <w:r>
                                      <w:rPr>
                                        <w:rStyle w:val="InternetLink"/>
                                      </w:rPr>
                                      <w:t>Section 4.24.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ST">
                              <w:r>
                                <w:rPr>
                                  <w:rStyle w:val="InternetLink"/>
                                </w:rPr>
                                <w:t>Section 4.24.</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ST">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RP1">
              <w:r>
                <w:rPr>
                  <w:rStyle w:val="InternetLink"/>
                </w:rPr>
                <w:t xml:space="preserve">Related Party Transactions </w:t>
              </w:r>
            </w:hyperlink>
            <w:r>
              <mc:AlternateContent>
                <mc:Choice Requires="wps">
                  <w:drawing>
                    <wp:anchor behindDoc="0" distT="0" distB="0" distL="457200" distR="0" simplePos="0" locked="0" layoutInCell="1" allowOverlap="1" relativeHeight="1095">
                      <wp:simplePos x="0" y="0"/>
                      <wp:positionH relativeFrom="column">
                        <wp:align>left</wp:align>
                      </wp:positionH>
                      <wp:positionV relativeFrom="line">
                        <wp:posOffset>635</wp:posOffset>
                      </wp:positionV>
                      <wp:extent cx="1066800" cy="350520"/>
                      <wp:effectExtent l="0" t="0" r="0" b="0"/>
                      <wp:wrapSquare wrapText="right"/>
                      <wp:docPr id="1092" name="Frame105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RP1">
                                    <w:r>
                                      <w:rPr>
                                        <w:rStyle w:val="InternetLink"/>
                                      </w:rPr>
                                      <w:t>Section 4.25.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RP1">
                              <w:r>
                                <w:rPr>
                                  <w:rStyle w:val="InternetLink"/>
                                </w:rPr>
                                <w:t>Section 4.25.</w:t>
                                <w:br/>
                              </w:r>
                            </w:hyperlink>
                          </w:p>
                        </w:txbxContent>
                      </v:textbox>
                      <w10:wrap type="square" side="right"/>
                    </v:rect>
                  </w:pict>
                </mc:Fallback>
              </mc:AlternateContent>
            </w:r>
          </w:p>
          <w:p>
            <w:pPr>
              <w:pStyle w:val="TableContents"/>
              <w:bidi w:val="0"/>
              <w:spacing w:before="0" w:after="0"/>
              <w:ind w:left="0" w:right="0" w:hanging="0"/>
              <w:jc w:val="left"/>
              <w:rPr/>
            </w:pPr>
            <w:hyperlink w:anchor="tS4RP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RP1">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OC10"/>
      <w:bookmarkEnd w:id="18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8235"/>
        <w:gridCol w:w="109"/>
        <w:gridCol w:w="109"/>
        <w:gridCol w:w="109"/>
        <w:gridCol w:w="109"/>
        <w:gridCol w:w="590"/>
        <w:gridCol w:w="109"/>
        <w:gridCol w:w="155"/>
      </w:tblGrid>
      <w:tr>
        <w:trPr/>
        <w:tc>
          <w:tcPr>
            <w:tcW w:w="82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4FA">
              <w:r>
                <w:rPr>
                  <w:rStyle w:val="InternetLink"/>
                </w:rPr>
                <w:t xml:space="preserve">Finders and Brokers </w:t>
              </w:r>
            </w:hyperlink>
            <w:r>
              <mc:AlternateContent>
                <mc:Choice Requires="wps">
                  <w:drawing>
                    <wp:anchor behindDoc="0" distT="0" distB="0" distL="457200" distR="0" simplePos="0" locked="0" layoutInCell="1" allowOverlap="1" relativeHeight="1096">
                      <wp:simplePos x="0" y="0"/>
                      <wp:positionH relativeFrom="column">
                        <wp:align>left</wp:align>
                      </wp:positionH>
                      <wp:positionV relativeFrom="line">
                        <wp:posOffset>635</wp:posOffset>
                      </wp:positionV>
                      <wp:extent cx="1066800" cy="350520"/>
                      <wp:effectExtent l="0" t="0" r="0" b="0"/>
                      <wp:wrapSquare wrapText="right"/>
                      <wp:docPr id="1093" name="Frame105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FA">
                                    <w:r>
                                      <w:rPr>
                                        <w:rStyle w:val="InternetLink"/>
                                      </w:rPr>
                                      <w:t>Section 4.26.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FA">
                              <w:r>
                                <w:rPr>
                                  <w:rStyle w:val="InternetLink"/>
                                </w:rPr>
                                <w:t>Section 4.26.</w:t>
                                <w:br/>
                              </w:r>
                            </w:hyperlink>
                          </w:p>
                        </w:txbxContent>
                      </v:textbox>
                      <w10:wrap type="square" side="right"/>
                    </v:rect>
                  </w:pict>
                </mc:Fallback>
              </mc:AlternateContent>
            </w:r>
          </w:p>
          <w:p>
            <w:pPr>
              <w:pStyle w:val="TableContents"/>
              <w:bidi w:val="0"/>
              <w:spacing w:before="0" w:after="0"/>
              <w:ind w:left="0" w:right="0" w:hanging="0"/>
              <w:jc w:val="left"/>
              <w:rPr/>
            </w:pPr>
            <w:hyperlink w:anchor="tS4F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4FA">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4NO">
              <w:r>
                <w:rPr>
                  <w:rStyle w:val="InternetLink"/>
                </w:rPr>
                <w:t xml:space="preserve">No Other Representations </w:t>
              </w:r>
            </w:hyperlink>
            <w:r>
              <mc:AlternateContent>
                <mc:Choice Requires="wps">
                  <w:drawing>
                    <wp:anchor behindDoc="0" distT="0" distB="0" distL="457200" distR="0" simplePos="0" locked="0" layoutInCell="1" allowOverlap="1" relativeHeight="1097">
                      <wp:simplePos x="0" y="0"/>
                      <wp:positionH relativeFrom="column">
                        <wp:align>left</wp:align>
                      </wp:positionH>
                      <wp:positionV relativeFrom="line">
                        <wp:posOffset>635</wp:posOffset>
                      </wp:positionV>
                      <wp:extent cx="1066800" cy="350520"/>
                      <wp:effectExtent l="0" t="0" r="0" b="0"/>
                      <wp:wrapSquare wrapText="right"/>
                      <wp:docPr id="1094" name="Frame105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O">
                                    <w:r>
                                      <w:rPr>
                                        <w:rStyle w:val="InternetLink"/>
                                      </w:rPr>
                                      <w:t>Section 4.27.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O">
                              <w:r>
                                <w:rPr>
                                  <w:rStyle w:val="InternetLink"/>
                                </w:rPr>
                                <w:t>Section 4.27.</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4NO">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before="0" w:after="283"/>
              <w:jc w:val="left"/>
              <w:rPr/>
            </w:pPr>
            <w:hyperlink w:anchor="tARV">
              <w:r>
                <w:rPr>
                  <w:rStyle w:val="InternetLink"/>
                </w:rPr>
                <w:t xml:space="preserve">Article V REPRESENTATIONS AND WARRANTIES OF PARENT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ARV">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QO">
              <w:r>
                <w:rPr>
                  <w:rStyle w:val="InternetLink"/>
                </w:rPr>
                <w:t xml:space="preserve">Qualification, Organization, etc. </w:t>
              </w:r>
            </w:hyperlink>
            <w:r>
              <mc:AlternateContent>
                <mc:Choice Requires="wps">
                  <w:drawing>
                    <wp:anchor behindDoc="0" distT="0" distB="0" distL="457200" distR="0" simplePos="0" locked="0" layoutInCell="1" allowOverlap="1" relativeHeight="1098">
                      <wp:simplePos x="0" y="0"/>
                      <wp:positionH relativeFrom="column">
                        <wp:align>left</wp:align>
                      </wp:positionH>
                      <wp:positionV relativeFrom="line">
                        <wp:posOffset>635</wp:posOffset>
                      </wp:positionV>
                      <wp:extent cx="1066800" cy="350520"/>
                      <wp:effectExtent l="0" t="0" r="0" b="0"/>
                      <wp:wrapSquare wrapText="right"/>
                      <wp:docPr id="1095" name="Frame105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QO">
                                    <w:r>
                                      <w:rPr>
                                        <w:rStyle w:val="InternetLink"/>
                                      </w:rPr>
                                      <w:t>Section 5.1.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QO">
                              <w:r>
                                <w:rPr>
                                  <w:rStyle w:val="InternetLink"/>
                                </w:rPr>
                                <w:t>Section 5.1.</w:t>
                                <w:br/>
                              </w:r>
                            </w:hyperlink>
                          </w:p>
                        </w:txbxContent>
                      </v:textbox>
                      <w10:wrap type="square" side="right"/>
                    </v:rect>
                  </w:pict>
                </mc:Fallback>
              </mc:AlternateContent>
            </w:r>
          </w:p>
          <w:p>
            <w:pPr>
              <w:pStyle w:val="TableContents"/>
              <w:bidi w:val="0"/>
              <w:spacing w:before="0" w:after="0"/>
              <w:ind w:left="0" w:right="0" w:hanging="0"/>
              <w:jc w:val="left"/>
              <w:rPr/>
            </w:pPr>
            <w:hyperlink w:anchor="tS5Q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QO">
              <w:r>
                <w:rPr>
                  <w:rStyle w:val="InternetLink"/>
                </w:rPr>
                <w:t xml:space="preserve">A-36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CO">
              <w:r>
                <w:rPr>
                  <w:rStyle w:val="InternetLink"/>
                </w:rPr>
                <w:t xml:space="preserve">Capitalization of Merger Sub </w:t>
              </w:r>
            </w:hyperlink>
            <w:r>
              <mc:AlternateContent>
                <mc:Choice Requires="wps">
                  <w:drawing>
                    <wp:anchor behindDoc="0" distT="0" distB="0" distL="457200" distR="0" simplePos="0" locked="0" layoutInCell="1" allowOverlap="1" relativeHeight="1099">
                      <wp:simplePos x="0" y="0"/>
                      <wp:positionH relativeFrom="column">
                        <wp:align>left</wp:align>
                      </wp:positionH>
                      <wp:positionV relativeFrom="line">
                        <wp:posOffset>635</wp:posOffset>
                      </wp:positionV>
                      <wp:extent cx="1066800" cy="350520"/>
                      <wp:effectExtent l="0" t="0" r="0" b="0"/>
                      <wp:wrapSquare wrapText="right"/>
                      <wp:docPr id="1096" name="Frame105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CO">
                                    <w:r>
                                      <w:rPr>
                                        <w:rStyle w:val="InternetLink"/>
                                      </w:rPr>
                                      <w:t>Section 5.2.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CO">
                              <w:r>
                                <w:rPr>
                                  <w:rStyle w:val="InternetLink"/>
                                </w:rPr>
                                <w:t>Section 5.2.</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CO">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CA">
              <w:r>
                <w:rPr>
                  <w:rStyle w:val="InternetLink"/>
                </w:rPr>
                <w:t xml:space="preserve">Corporate Authority </w:t>
              </w:r>
            </w:hyperlink>
            <w:r>
              <mc:AlternateContent>
                <mc:Choice Requires="wps">
                  <w:drawing>
                    <wp:anchor behindDoc="0" distT="0" distB="0" distL="457200" distR="0" simplePos="0" locked="0" layoutInCell="1" allowOverlap="1" relativeHeight="1100">
                      <wp:simplePos x="0" y="0"/>
                      <wp:positionH relativeFrom="column">
                        <wp:align>left</wp:align>
                      </wp:positionH>
                      <wp:positionV relativeFrom="line">
                        <wp:posOffset>635</wp:posOffset>
                      </wp:positionV>
                      <wp:extent cx="1066800" cy="350520"/>
                      <wp:effectExtent l="0" t="0" r="0" b="0"/>
                      <wp:wrapSquare wrapText="right"/>
                      <wp:docPr id="1097" name="Frame105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CA">
                                    <w:r>
                                      <w:rPr>
                                        <w:rStyle w:val="InternetLink"/>
                                      </w:rPr>
                                      <w:t>Section 5.3.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CA">
                              <w:r>
                                <w:rPr>
                                  <w:rStyle w:val="InternetLink"/>
                                </w:rPr>
                                <w:t>Section 5.3.</w:t>
                                <w:br/>
                              </w:r>
                            </w:hyperlink>
                          </w:p>
                        </w:txbxContent>
                      </v:textbox>
                      <w10:wrap type="square" side="right"/>
                    </v:rect>
                  </w:pict>
                </mc:Fallback>
              </mc:AlternateContent>
            </w:r>
          </w:p>
          <w:p>
            <w:pPr>
              <w:pStyle w:val="TableContents"/>
              <w:bidi w:val="0"/>
              <w:spacing w:before="0" w:after="0"/>
              <w:ind w:left="0" w:right="0" w:hanging="0"/>
              <w:jc w:val="left"/>
              <w:rPr/>
            </w:pPr>
            <w:hyperlink w:anchor="tS5C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CA">
              <w:r>
                <w:rPr>
                  <w:rStyle w:val="InternetLink"/>
                </w:rPr>
                <w:t xml:space="preserve">A-36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GC">
              <w:r>
                <w:rPr>
                  <w:rStyle w:val="InternetLink"/>
                </w:rPr>
                <w:t xml:space="preserve">Governmental Consents; No Violation </w:t>
              </w:r>
            </w:hyperlink>
            <w:r>
              <mc:AlternateContent>
                <mc:Choice Requires="wps">
                  <w:drawing>
                    <wp:anchor behindDoc="0" distT="0" distB="0" distL="457200" distR="0" simplePos="0" locked="0" layoutInCell="1" allowOverlap="1" relativeHeight="1101">
                      <wp:simplePos x="0" y="0"/>
                      <wp:positionH relativeFrom="column">
                        <wp:align>left</wp:align>
                      </wp:positionH>
                      <wp:positionV relativeFrom="line">
                        <wp:posOffset>635</wp:posOffset>
                      </wp:positionV>
                      <wp:extent cx="1066800" cy="350520"/>
                      <wp:effectExtent l="0" t="0" r="0" b="0"/>
                      <wp:wrapSquare wrapText="right"/>
                      <wp:docPr id="1098" name="Frame105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GC">
                                    <w:r>
                                      <w:rPr>
                                        <w:rStyle w:val="InternetLink"/>
                                      </w:rPr>
                                      <w:t>Section 5.4.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GC">
                              <w:r>
                                <w:rPr>
                                  <w:rStyle w:val="InternetLink"/>
                                </w:rPr>
                                <w:t>Section 5.4.</w:t>
                                <w:br/>
                              </w:r>
                            </w:hyperlink>
                          </w:p>
                        </w:txbxContent>
                      </v:textbox>
                      <w10:wrap type="square" side="right"/>
                    </v:rect>
                  </w:pict>
                </mc:Fallback>
              </mc:AlternateContent>
            </w:r>
          </w:p>
          <w:p>
            <w:pPr>
              <w:pStyle w:val="TableContents"/>
              <w:bidi w:val="0"/>
              <w:spacing w:before="0" w:after="0"/>
              <w:ind w:left="0" w:right="0" w:hanging="0"/>
              <w:jc w:val="left"/>
              <w:rPr/>
            </w:pPr>
            <w:hyperlink w:anchor="tS5G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GC">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LO">
              <w:r>
                <w:rPr>
                  <w:rStyle w:val="InternetLink"/>
                </w:rPr>
                <w:t xml:space="preserve">Litigation; Orders </w:t>
              </w:r>
            </w:hyperlink>
            <w:r>
              <mc:AlternateContent>
                <mc:Choice Requires="wps">
                  <w:drawing>
                    <wp:anchor behindDoc="0" distT="0" distB="0" distL="457200" distR="0" simplePos="0" locked="0" layoutInCell="1" allowOverlap="1" relativeHeight="1102">
                      <wp:simplePos x="0" y="0"/>
                      <wp:positionH relativeFrom="column">
                        <wp:align>left</wp:align>
                      </wp:positionH>
                      <wp:positionV relativeFrom="line">
                        <wp:posOffset>635</wp:posOffset>
                      </wp:positionV>
                      <wp:extent cx="1066800" cy="350520"/>
                      <wp:effectExtent l="0" t="0" r="0" b="0"/>
                      <wp:wrapSquare wrapText="right"/>
                      <wp:docPr id="1099" name="Frame105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LO">
                                    <w:r>
                                      <w:rPr>
                                        <w:rStyle w:val="InternetLink"/>
                                      </w:rPr>
                                      <w:t>Section 5.5.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LO">
                              <w:r>
                                <w:rPr>
                                  <w:rStyle w:val="InternetLink"/>
                                </w:rPr>
                                <w:t>Section 5.5.</w:t>
                                <w:br/>
                              </w:r>
                            </w:hyperlink>
                          </w:p>
                        </w:txbxContent>
                      </v:textbox>
                      <w10:wrap type="square" side="right"/>
                    </v:rect>
                  </w:pict>
                </mc:Fallback>
              </mc:AlternateContent>
            </w:r>
          </w:p>
          <w:p>
            <w:pPr>
              <w:pStyle w:val="TableContents"/>
              <w:bidi w:val="0"/>
              <w:spacing w:before="0" w:after="0"/>
              <w:ind w:left="0" w:right="0" w:hanging="0"/>
              <w:jc w:val="left"/>
              <w:rPr/>
            </w:pPr>
            <w:hyperlink w:anchor="tS5L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LO">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IS">
              <w:r>
                <w:rPr>
                  <w:rStyle w:val="InternetLink"/>
                </w:rPr>
                <w:t xml:space="preserve">Information Supplied </w:t>
              </w:r>
            </w:hyperlink>
            <w:r>
              <mc:AlternateContent>
                <mc:Choice Requires="wps">
                  <w:drawing>
                    <wp:anchor behindDoc="0" distT="0" distB="0" distL="457200" distR="0" simplePos="0" locked="0" layoutInCell="1" allowOverlap="1" relativeHeight="1103">
                      <wp:simplePos x="0" y="0"/>
                      <wp:positionH relativeFrom="column">
                        <wp:align>left</wp:align>
                      </wp:positionH>
                      <wp:positionV relativeFrom="line">
                        <wp:posOffset>635</wp:posOffset>
                      </wp:positionV>
                      <wp:extent cx="1066800" cy="350520"/>
                      <wp:effectExtent l="0" t="0" r="0" b="0"/>
                      <wp:wrapSquare wrapText="right"/>
                      <wp:docPr id="1100" name="Frame106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IS">
                                    <w:r>
                                      <w:rPr>
                                        <w:rStyle w:val="InternetLink"/>
                                      </w:rPr>
                                      <w:t>Section 5.6.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IS">
                              <w:r>
                                <w:rPr>
                                  <w:rStyle w:val="InternetLink"/>
                                </w:rPr>
                                <w:t>Section 5.6.</w:t>
                                <w:br/>
                              </w:r>
                            </w:hyperlink>
                          </w:p>
                        </w:txbxContent>
                      </v:textbox>
                      <w10:wrap type="square" side="right"/>
                    </v:rect>
                  </w:pict>
                </mc:Fallback>
              </mc:AlternateContent>
            </w:r>
          </w:p>
          <w:p>
            <w:pPr>
              <w:pStyle w:val="TableContents"/>
              <w:bidi w:val="0"/>
              <w:spacing w:before="0" w:after="0"/>
              <w:ind w:left="0" w:right="0" w:hanging="0"/>
              <w:jc w:val="left"/>
              <w:rPr/>
            </w:pPr>
            <w:hyperlink w:anchor="tS5I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IS">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SF">
              <w:r>
                <w:rPr>
                  <w:rStyle w:val="InternetLink"/>
                </w:rPr>
                <w:t xml:space="preserve">Sufficient Funds </w:t>
              </w:r>
            </w:hyperlink>
            <w:r>
              <mc:AlternateContent>
                <mc:Choice Requires="wps">
                  <w:drawing>
                    <wp:anchor behindDoc="0" distT="0" distB="0" distL="457200" distR="0" simplePos="0" locked="0" layoutInCell="1" allowOverlap="1" relativeHeight="1104">
                      <wp:simplePos x="0" y="0"/>
                      <wp:positionH relativeFrom="column">
                        <wp:align>left</wp:align>
                      </wp:positionH>
                      <wp:positionV relativeFrom="line">
                        <wp:posOffset>635</wp:posOffset>
                      </wp:positionV>
                      <wp:extent cx="1066800" cy="350520"/>
                      <wp:effectExtent l="0" t="0" r="0" b="0"/>
                      <wp:wrapSquare wrapText="right"/>
                      <wp:docPr id="1101" name="Frame106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SF">
                                    <w:r>
                                      <w:rPr>
                                        <w:rStyle w:val="InternetLink"/>
                                      </w:rPr>
                                      <w:t>Section 5.7.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SF">
                              <w:r>
                                <w:rPr>
                                  <w:rStyle w:val="InternetLink"/>
                                </w:rPr>
                                <w:t>Section 5.7.</w:t>
                                <w:br/>
                              </w:r>
                            </w:hyperlink>
                          </w:p>
                        </w:txbxContent>
                      </v:textbox>
                      <w10:wrap type="square" side="right"/>
                    </v:rect>
                  </w:pict>
                </mc:Fallback>
              </mc:AlternateContent>
            </w:r>
          </w:p>
          <w:p>
            <w:pPr>
              <w:pStyle w:val="TableContents"/>
              <w:bidi w:val="0"/>
              <w:spacing w:before="0" w:after="0"/>
              <w:ind w:left="0" w:right="0" w:hanging="0"/>
              <w:jc w:val="left"/>
              <w:rPr/>
            </w:pPr>
            <w:hyperlink w:anchor="tS5S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SF">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FA">
              <w:r>
                <w:rPr>
                  <w:rStyle w:val="InternetLink"/>
                </w:rPr>
                <w:t xml:space="preserve">Finders and Brokers </w:t>
              </w:r>
            </w:hyperlink>
            <w:r>
              <mc:AlternateContent>
                <mc:Choice Requires="wps">
                  <w:drawing>
                    <wp:anchor behindDoc="0" distT="0" distB="0" distL="457200" distR="0" simplePos="0" locked="0" layoutInCell="1" allowOverlap="1" relativeHeight="1105">
                      <wp:simplePos x="0" y="0"/>
                      <wp:positionH relativeFrom="column">
                        <wp:align>left</wp:align>
                      </wp:positionH>
                      <wp:positionV relativeFrom="line">
                        <wp:posOffset>635</wp:posOffset>
                      </wp:positionV>
                      <wp:extent cx="1066800" cy="350520"/>
                      <wp:effectExtent l="0" t="0" r="0" b="0"/>
                      <wp:wrapSquare wrapText="right"/>
                      <wp:docPr id="1102" name="Frame106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FA">
                                    <w:r>
                                      <w:rPr>
                                        <w:rStyle w:val="InternetLink"/>
                                      </w:rPr>
                                      <w:t>Section 5.8.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FA">
                              <w:r>
                                <w:rPr>
                                  <w:rStyle w:val="InternetLink"/>
                                </w:rPr>
                                <w:t>Section 5.8.</w:t>
                                <w:br/>
                              </w:r>
                            </w:hyperlink>
                          </w:p>
                        </w:txbxContent>
                      </v:textbox>
                      <w10:wrap type="square" side="right"/>
                    </v:rect>
                  </w:pict>
                </mc:Fallback>
              </mc:AlternateContent>
            </w:r>
          </w:p>
          <w:p>
            <w:pPr>
              <w:pStyle w:val="TableContents"/>
              <w:bidi w:val="0"/>
              <w:spacing w:before="0" w:after="0"/>
              <w:ind w:left="0" w:right="0" w:hanging="0"/>
              <w:jc w:val="left"/>
              <w:rPr/>
            </w:pPr>
            <w:hyperlink w:anchor="tS5F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FA">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IS1">
              <w:r>
                <w:rPr>
                  <w:rStyle w:val="InternetLink"/>
                </w:rPr>
                <w:t xml:space="preserve">Interested Stockholder </w:t>
              </w:r>
            </w:hyperlink>
            <w:r>
              <mc:AlternateContent>
                <mc:Choice Requires="wps">
                  <w:drawing>
                    <wp:anchor behindDoc="0" distT="0" distB="0" distL="457200" distR="0" simplePos="0" locked="0" layoutInCell="1" allowOverlap="1" relativeHeight="1106">
                      <wp:simplePos x="0" y="0"/>
                      <wp:positionH relativeFrom="column">
                        <wp:align>left</wp:align>
                      </wp:positionH>
                      <wp:positionV relativeFrom="line">
                        <wp:posOffset>635</wp:posOffset>
                      </wp:positionV>
                      <wp:extent cx="1066800" cy="350520"/>
                      <wp:effectExtent l="0" t="0" r="0" b="0"/>
                      <wp:wrapSquare wrapText="right"/>
                      <wp:docPr id="1103" name="Frame106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IS1">
                                    <w:r>
                                      <w:rPr>
                                        <w:rStyle w:val="InternetLink"/>
                                      </w:rPr>
                                      <w:t>Section 5.9.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IS1">
                              <w:r>
                                <w:rPr>
                                  <w:rStyle w:val="InternetLink"/>
                                </w:rPr>
                                <w:t>Section 5.9.</w:t>
                                <w:br/>
                              </w:r>
                            </w:hyperlink>
                          </w:p>
                        </w:txbxContent>
                      </v:textbox>
                      <w10:wrap type="square" side="right"/>
                    </v:rect>
                  </w:pict>
                </mc:Fallback>
              </mc:AlternateContent>
            </w:r>
          </w:p>
          <w:p>
            <w:pPr>
              <w:pStyle w:val="TableContents"/>
              <w:bidi w:val="0"/>
              <w:spacing w:before="0" w:after="0"/>
              <w:ind w:left="0" w:right="0" w:hanging="0"/>
              <w:jc w:val="left"/>
              <w:rPr/>
            </w:pPr>
            <w:hyperlink w:anchor="tS5IS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IS1">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NM">
              <w:r>
                <w:rPr>
                  <w:rStyle w:val="InternetLink"/>
                </w:rPr>
                <w:t xml:space="preserve">No Merger Sub Activity </w:t>
              </w:r>
            </w:hyperlink>
            <w:r>
              <mc:AlternateContent>
                <mc:Choice Requires="wps">
                  <w:drawing>
                    <wp:anchor behindDoc="0" distT="0" distB="0" distL="457200" distR="0" simplePos="0" locked="0" layoutInCell="1" allowOverlap="1" relativeHeight="1107">
                      <wp:simplePos x="0" y="0"/>
                      <wp:positionH relativeFrom="column">
                        <wp:align>left</wp:align>
                      </wp:positionH>
                      <wp:positionV relativeFrom="line">
                        <wp:posOffset>635</wp:posOffset>
                      </wp:positionV>
                      <wp:extent cx="1066800" cy="350520"/>
                      <wp:effectExtent l="0" t="0" r="0" b="0"/>
                      <wp:wrapSquare wrapText="right"/>
                      <wp:docPr id="1104" name="Frame106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M">
                                    <w:r>
                                      <w:rPr>
                                        <w:rStyle w:val="InternetLink"/>
                                      </w:rPr>
                                      <w:t>Section 5.10.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M">
                              <w:r>
                                <w:rPr>
                                  <w:rStyle w:val="InternetLink"/>
                                </w:rPr>
                                <w:t>Section 5.10.</w:t>
                                <w:br/>
                              </w:r>
                            </w:hyperlink>
                          </w:p>
                        </w:txbxContent>
                      </v:textbox>
                      <w10:wrap type="square" side="right"/>
                    </v:rect>
                  </w:pict>
                </mc:Fallback>
              </mc:AlternateContent>
            </w:r>
          </w:p>
          <w:p>
            <w:pPr>
              <w:pStyle w:val="TableContents"/>
              <w:bidi w:val="0"/>
              <w:spacing w:before="0" w:after="0"/>
              <w:ind w:left="0" w:right="0" w:hanging="0"/>
              <w:jc w:val="left"/>
              <w:rPr/>
            </w:pPr>
            <w:hyperlink w:anchor="tS5N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NM">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NS">
              <w:r>
                <w:rPr>
                  <w:rStyle w:val="InternetLink"/>
                </w:rPr>
                <w:t xml:space="preserve">National Security Matters </w:t>
              </w:r>
            </w:hyperlink>
            <w:r>
              <mc:AlternateContent>
                <mc:Choice Requires="wps">
                  <w:drawing>
                    <wp:anchor behindDoc="0" distT="0" distB="0" distL="457200" distR="0" simplePos="0" locked="0" layoutInCell="1" allowOverlap="1" relativeHeight="1108">
                      <wp:simplePos x="0" y="0"/>
                      <wp:positionH relativeFrom="column">
                        <wp:align>left</wp:align>
                      </wp:positionH>
                      <wp:positionV relativeFrom="line">
                        <wp:posOffset>635</wp:posOffset>
                      </wp:positionV>
                      <wp:extent cx="1066800" cy="350520"/>
                      <wp:effectExtent l="0" t="0" r="0" b="0"/>
                      <wp:wrapSquare wrapText="right"/>
                      <wp:docPr id="1105" name="Frame106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S">
                                    <w:r>
                                      <w:rPr>
                                        <w:rStyle w:val="InternetLink"/>
                                      </w:rPr>
                                      <w:t>Section 5.11.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S">
                              <w:r>
                                <w:rPr>
                                  <w:rStyle w:val="InternetLink"/>
                                </w:rPr>
                                <w:t>Section 5.11.</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NS">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NO">
              <w:r>
                <w:rPr>
                  <w:rStyle w:val="InternetLink"/>
                </w:rPr>
                <w:t xml:space="preserve">No Other Representations </w:t>
              </w:r>
            </w:hyperlink>
            <w:r>
              <mc:AlternateContent>
                <mc:Choice Requires="wps">
                  <w:drawing>
                    <wp:anchor behindDoc="0" distT="0" distB="0" distL="457200" distR="0" simplePos="0" locked="0" layoutInCell="1" allowOverlap="1" relativeHeight="1109">
                      <wp:simplePos x="0" y="0"/>
                      <wp:positionH relativeFrom="column">
                        <wp:align>left</wp:align>
                      </wp:positionH>
                      <wp:positionV relativeFrom="line">
                        <wp:posOffset>635</wp:posOffset>
                      </wp:positionV>
                      <wp:extent cx="1066800" cy="350520"/>
                      <wp:effectExtent l="0" t="0" r="0" b="0"/>
                      <wp:wrapSquare wrapText="right"/>
                      <wp:docPr id="1106" name="Frame106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O">
                                    <w:r>
                                      <w:rPr>
                                        <w:rStyle w:val="InternetLink"/>
                                      </w:rPr>
                                      <w:t>Section 5.12.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O">
                              <w:r>
                                <w:rPr>
                                  <w:rStyle w:val="InternetLink"/>
                                </w:rPr>
                                <w:t>Section 5.12.</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NO">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0"/>
              <w:jc w:val="left"/>
              <w:rPr/>
            </w:pPr>
            <w:hyperlink w:anchor="tARVI">
              <w:r>
                <w:rPr>
                  <w:rStyle w:val="InternetLink"/>
                </w:rPr>
                <w:t xml:space="preserve">Article VI COVENANTS RELATING TO CONDUCT OF BUSINESS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
              <w:r>
                <w:rPr>
                  <w:rStyle w:val="InternetLink"/>
                </w:rPr>
                <w:t xml:space="preserve">A-38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6CO">
              <w:r>
                <w:rPr>
                  <w:rStyle w:val="InternetLink"/>
                </w:rPr>
                <w:t xml:space="preserve">Conduct of Business by the Company Pending the Closing </w:t>
              </w:r>
            </w:hyperlink>
            <w:r>
              <mc:AlternateContent>
                <mc:Choice Requires="wps">
                  <w:drawing>
                    <wp:anchor behindDoc="0" distT="0" distB="0" distL="457200" distR="0" simplePos="0" locked="0" layoutInCell="1" allowOverlap="1" relativeHeight="1110">
                      <wp:simplePos x="0" y="0"/>
                      <wp:positionH relativeFrom="column">
                        <wp:align>left</wp:align>
                      </wp:positionH>
                      <wp:positionV relativeFrom="line">
                        <wp:posOffset>635</wp:posOffset>
                      </wp:positionV>
                      <wp:extent cx="1066800" cy="350520"/>
                      <wp:effectExtent l="0" t="0" r="0" b="0"/>
                      <wp:wrapSquare wrapText="right"/>
                      <wp:docPr id="1107" name="Frame106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CO">
                                    <w:r>
                                      <w:rPr>
                                        <w:rStyle w:val="InternetLink"/>
                                      </w:rPr>
                                      <w:t>Section 6.1.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CO">
                              <w:r>
                                <w:rPr>
                                  <w:rStyle w:val="InternetLink"/>
                                </w:rPr>
                                <w:t>Section 6.1.</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6CO">
              <w:r>
                <w:rPr>
                  <w:rStyle w:val="InternetLink"/>
                </w:rPr>
                <w:t xml:space="preserve">A-38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6NO">
              <w:r>
                <w:rPr>
                  <w:rStyle w:val="InternetLink"/>
                </w:rPr>
                <w:t xml:space="preserve">Notification of Certain Matters </w:t>
              </w:r>
            </w:hyperlink>
            <w:r>
              <mc:AlternateContent>
                <mc:Choice Requires="wps">
                  <w:drawing>
                    <wp:anchor behindDoc="0" distT="0" distB="0" distL="457200" distR="0" simplePos="0" locked="0" layoutInCell="1" allowOverlap="1" relativeHeight="1111">
                      <wp:simplePos x="0" y="0"/>
                      <wp:positionH relativeFrom="column">
                        <wp:align>left</wp:align>
                      </wp:positionH>
                      <wp:positionV relativeFrom="line">
                        <wp:posOffset>635</wp:posOffset>
                      </wp:positionV>
                      <wp:extent cx="1066800" cy="350520"/>
                      <wp:effectExtent l="0" t="0" r="0" b="0"/>
                      <wp:wrapSquare wrapText="right"/>
                      <wp:docPr id="1108" name="Frame106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NO">
                                    <w:r>
                                      <w:rPr>
                                        <w:rStyle w:val="InternetLink"/>
                                      </w:rPr>
                                      <w:t>Section 6.2.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NO">
                              <w:r>
                                <w:rPr>
                                  <w:rStyle w:val="InternetLink"/>
                                </w:rPr>
                                <w:t>Section 6.2.</w:t>
                                <w:br/>
                              </w:r>
                            </w:hyperlink>
                          </w:p>
                        </w:txbxContent>
                      </v:textbox>
                      <w10:wrap type="square" side="right"/>
                    </v:rect>
                  </w:pict>
                </mc:Fallback>
              </mc:AlternateContent>
            </w:r>
          </w:p>
          <w:p>
            <w:pPr>
              <w:pStyle w:val="TableContents"/>
              <w:bidi w:val="0"/>
              <w:spacing w:before="0" w:after="0"/>
              <w:ind w:left="0" w:right="0" w:hanging="0"/>
              <w:jc w:val="left"/>
              <w:rPr/>
            </w:pPr>
            <w:hyperlink w:anchor="tS6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6NO">
              <w:r>
                <w:rPr>
                  <w:rStyle w:val="InternetLink"/>
                </w:rPr>
                <w:t xml:space="preserve">A-41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6NS">
              <w:r>
                <w:rPr>
                  <w:rStyle w:val="InternetLink"/>
                </w:rPr>
                <w:t xml:space="preserve">No Solicitation by the Company </w:t>
              </w:r>
            </w:hyperlink>
            <w:r>
              <mc:AlternateContent>
                <mc:Choice Requires="wps">
                  <w:drawing>
                    <wp:anchor behindDoc="0" distT="0" distB="0" distL="457200" distR="0" simplePos="0" locked="0" layoutInCell="1" allowOverlap="1" relativeHeight="1112">
                      <wp:simplePos x="0" y="0"/>
                      <wp:positionH relativeFrom="column">
                        <wp:align>left</wp:align>
                      </wp:positionH>
                      <wp:positionV relativeFrom="line">
                        <wp:posOffset>635</wp:posOffset>
                      </wp:positionV>
                      <wp:extent cx="1066800" cy="350520"/>
                      <wp:effectExtent l="0" t="0" r="0" b="0"/>
                      <wp:wrapSquare wrapText="right"/>
                      <wp:docPr id="1109" name="Frame106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NS">
                                    <w:r>
                                      <w:rPr>
                                        <w:rStyle w:val="InternetLink"/>
                                      </w:rPr>
                                      <w:t>Section 6.3.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NS">
                              <w:r>
                                <w:rPr>
                                  <w:rStyle w:val="InternetLink"/>
                                </w:rPr>
                                <w:t>Section 6.3.</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6NS">
              <w:r>
                <w:rPr>
                  <w:rStyle w:val="InternetLink"/>
                </w:rPr>
                <w:t xml:space="preserve">A-41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283"/>
              <w:jc w:val="left"/>
              <w:rPr/>
            </w:pPr>
            <w:hyperlink w:anchor="tARVI1">
              <w:r>
                <w:rPr>
                  <w:rStyle w:val="InternetLink"/>
                </w:rPr>
                <w:t xml:space="preserve">Article VII ADDITIONAL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1">
              <w:r>
                <w:rPr>
                  <w:rStyle w:val="InternetLink"/>
                </w:rPr>
                <w:t xml:space="preserve">A-44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AC">
              <w:r>
                <w:rPr>
                  <w:rStyle w:val="InternetLink"/>
                </w:rPr>
                <w:t xml:space="preserve">Access; Confidentiality; Notice of Certain Events </w:t>
              </w:r>
            </w:hyperlink>
            <w:r>
              <mc:AlternateContent>
                <mc:Choice Requires="wps">
                  <w:drawing>
                    <wp:anchor behindDoc="0" distT="0" distB="0" distL="457200" distR="0" simplePos="0" locked="0" layoutInCell="1" allowOverlap="1" relativeHeight="1113">
                      <wp:simplePos x="0" y="0"/>
                      <wp:positionH relativeFrom="column">
                        <wp:align>left</wp:align>
                      </wp:positionH>
                      <wp:positionV relativeFrom="line">
                        <wp:posOffset>635</wp:posOffset>
                      </wp:positionV>
                      <wp:extent cx="1066800" cy="350520"/>
                      <wp:effectExtent l="0" t="0" r="0" b="0"/>
                      <wp:wrapSquare wrapText="right"/>
                      <wp:docPr id="1110" name="Frame107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AC">
                                    <w:r>
                                      <w:rPr>
                                        <w:rStyle w:val="InternetLink"/>
                                      </w:rPr>
                                      <w:t>Section 7.1.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AC">
                              <w:r>
                                <w:rPr>
                                  <w:rStyle w:val="InternetLink"/>
                                </w:rPr>
                                <w:t>Section 7.1.</w:t>
                                <w:br/>
                              </w:r>
                            </w:hyperlink>
                          </w:p>
                        </w:txbxContent>
                      </v:textbox>
                      <w10:wrap type="square" side="right"/>
                    </v:rect>
                  </w:pict>
                </mc:Fallback>
              </mc:AlternateContent>
            </w:r>
          </w:p>
          <w:p>
            <w:pPr>
              <w:pStyle w:val="TableContents"/>
              <w:bidi w:val="0"/>
              <w:spacing w:before="0" w:after="0"/>
              <w:ind w:left="0" w:right="0" w:hanging="0"/>
              <w:jc w:val="left"/>
              <w:rPr/>
            </w:pPr>
            <w:hyperlink w:anchor="tS7A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AC">
              <w:r>
                <w:rPr>
                  <w:rStyle w:val="InternetLink"/>
                </w:rPr>
                <w:t xml:space="preserve">A-44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RA">
              <w:r>
                <w:rPr>
                  <w:rStyle w:val="InternetLink"/>
                </w:rPr>
                <w:t xml:space="preserve">Regulatory Approvals </w:t>
              </w:r>
            </w:hyperlink>
            <w:r>
              <mc:AlternateContent>
                <mc:Choice Requires="wps">
                  <w:drawing>
                    <wp:anchor behindDoc="0" distT="0" distB="0" distL="457200" distR="0" simplePos="0" locked="0" layoutInCell="1" allowOverlap="1" relativeHeight="1114">
                      <wp:simplePos x="0" y="0"/>
                      <wp:positionH relativeFrom="column">
                        <wp:align>left</wp:align>
                      </wp:positionH>
                      <wp:positionV relativeFrom="line">
                        <wp:posOffset>635</wp:posOffset>
                      </wp:positionV>
                      <wp:extent cx="1066800" cy="350520"/>
                      <wp:effectExtent l="0" t="0" r="0" b="0"/>
                      <wp:wrapSquare wrapText="right"/>
                      <wp:docPr id="1111" name="Frame107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RA">
                                    <w:r>
                                      <w:rPr>
                                        <w:rStyle w:val="InternetLink"/>
                                      </w:rPr>
                                      <w:t>Section 7.2.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RA">
                              <w:r>
                                <w:rPr>
                                  <w:rStyle w:val="InternetLink"/>
                                </w:rPr>
                                <w:t>Section 7.2.</w:t>
                                <w:br/>
                              </w:r>
                            </w:hyperlink>
                          </w:p>
                        </w:txbxContent>
                      </v:textbox>
                      <w10:wrap type="square" side="right"/>
                    </v:rect>
                  </w:pict>
                </mc:Fallback>
              </mc:AlternateContent>
            </w:r>
          </w:p>
          <w:p>
            <w:pPr>
              <w:pStyle w:val="TableContents"/>
              <w:bidi w:val="0"/>
              <w:spacing w:before="0" w:after="0"/>
              <w:ind w:left="0" w:right="0" w:hanging="0"/>
              <w:jc w:val="left"/>
              <w:rPr/>
            </w:pPr>
            <w:hyperlink w:anchor="tS7R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RA">
              <w:r>
                <w:rPr>
                  <w:rStyle w:val="InternetLink"/>
                </w:rPr>
                <w:t xml:space="preserve">A-45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PS">
              <w:r>
                <w:rPr>
                  <w:rStyle w:val="InternetLink"/>
                </w:rPr>
                <w:t xml:space="preserve">Publicity </w:t>
              </w:r>
            </w:hyperlink>
            <w:r>
              <mc:AlternateContent>
                <mc:Choice Requires="wps">
                  <w:drawing>
                    <wp:anchor behindDoc="0" distT="0" distB="0" distL="457200" distR="0" simplePos="0" locked="0" layoutInCell="1" allowOverlap="1" relativeHeight="1115">
                      <wp:simplePos x="0" y="0"/>
                      <wp:positionH relativeFrom="column">
                        <wp:align>left</wp:align>
                      </wp:positionH>
                      <wp:positionV relativeFrom="line">
                        <wp:posOffset>635</wp:posOffset>
                      </wp:positionV>
                      <wp:extent cx="1066800" cy="350520"/>
                      <wp:effectExtent l="0" t="0" r="0" b="0"/>
                      <wp:wrapSquare wrapText="right"/>
                      <wp:docPr id="1112" name="Frame107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PS">
                                    <w:r>
                                      <w:rPr>
                                        <w:rStyle w:val="InternetLink"/>
                                      </w:rPr>
                                      <w:t>Section 7.3.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PS">
                              <w:r>
                                <w:rPr>
                                  <w:rStyle w:val="InternetLink"/>
                                </w:rPr>
                                <w:t>Section 7.3.</w:t>
                                <w:br/>
                              </w:r>
                            </w:hyperlink>
                          </w:p>
                        </w:txbxContent>
                      </v:textbox>
                      <w10:wrap type="square" side="right"/>
                    </v:rect>
                  </w:pict>
                </mc:Fallback>
              </mc:AlternateContent>
            </w:r>
          </w:p>
          <w:p>
            <w:pPr>
              <w:pStyle w:val="TableContents"/>
              <w:bidi w:val="0"/>
              <w:spacing w:before="0" w:after="0"/>
              <w:ind w:left="0" w:right="0" w:hanging="0"/>
              <w:jc w:val="left"/>
              <w:rPr/>
            </w:pPr>
            <w:hyperlink w:anchor="tS7P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PS">
              <w:r>
                <w:rPr>
                  <w:rStyle w:val="InternetLink"/>
                </w:rPr>
                <w:t xml:space="preserve">A-48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DI">
              <w:r>
                <w:rPr>
                  <w:rStyle w:val="InternetLink"/>
                </w:rPr>
                <w:t xml:space="preserve">D&amp;O Insurance and Indemnification </w:t>
              </w:r>
            </w:hyperlink>
            <w:r>
              <mc:AlternateContent>
                <mc:Choice Requires="wps">
                  <w:drawing>
                    <wp:anchor behindDoc="0" distT="0" distB="0" distL="457200" distR="0" simplePos="0" locked="0" layoutInCell="1" allowOverlap="1" relativeHeight="1116">
                      <wp:simplePos x="0" y="0"/>
                      <wp:positionH relativeFrom="column">
                        <wp:align>left</wp:align>
                      </wp:positionH>
                      <wp:positionV relativeFrom="line">
                        <wp:posOffset>635</wp:posOffset>
                      </wp:positionV>
                      <wp:extent cx="1066800" cy="350520"/>
                      <wp:effectExtent l="0" t="0" r="0" b="0"/>
                      <wp:wrapSquare wrapText="right"/>
                      <wp:docPr id="1113" name="Frame107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I">
                                    <w:r>
                                      <w:rPr>
                                        <w:rStyle w:val="InternetLink"/>
                                      </w:rPr>
                                      <w:t>Section 7.4.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I">
                              <w:r>
                                <w:rPr>
                                  <w:rStyle w:val="InternetLink"/>
                                </w:rPr>
                                <w:t>Section 7.4.</w:t>
                                <w:br/>
                              </w:r>
                            </w:hyperlink>
                          </w:p>
                        </w:txbxContent>
                      </v:textbox>
                      <w10:wrap type="square" side="right"/>
                    </v:rect>
                  </w:pict>
                </mc:Fallback>
              </mc:AlternateContent>
            </w:r>
          </w:p>
          <w:p>
            <w:pPr>
              <w:pStyle w:val="TableContents"/>
              <w:bidi w:val="0"/>
              <w:spacing w:before="0" w:after="0"/>
              <w:ind w:left="0" w:right="0" w:hanging="0"/>
              <w:jc w:val="left"/>
              <w:rPr/>
            </w:pPr>
            <w:hyperlink w:anchor="tS7D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DI">
              <w:r>
                <w:rPr>
                  <w:rStyle w:val="InternetLink"/>
                </w:rPr>
                <w:t xml:space="preserve">A-48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TS">
              <w:r>
                <w:rPr>
                  <w:rStyle w:val="InternetLink"/>
                </w:rPr>
                <w:t xml:space="preserve">Takeover Statutes </w:t>
              </w:r>
            </w:hyperlink>
            <w:r>
              <mc:AlternateContent>
                <mc:Choice Requires="wps">
                  <w:drawing>
                    <wp:anchor behindDoc="0" distT="0" distB="0" distL="457200" distR="0" simplePos="0" locked="0" layoutInCell="1" allowOverlap="1" relativeHeight="1117">
                      <wp:simplePos x="0" y="0"/>
                      <wp:positionH relativeFrom="column">
                        <wp:align>left</wp:align>
                      </wp:positionH>
                      <wp:positionV relativeFrom="line">
                        <wp:posOffset>635</wp:posOffset>
                      </wp:positionV>
                      <wp:extent cx="1066800" cy="350520"/>
                      <wp:effectExtent l="0" t="0" r="0" b="0"/>
                      <wp:wrapSquare wrapText="right"/>
                      <wp:docPr id="1114" name="Frame107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TS">
                                    <w:r>
                                      <w:rPr>
                                        <w:rStyle w:val="InternetLink"/>
                                      </w:rPr>
                                      <w:t>Section 7.5.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TS">
                              <w:r>
                                <w:rPr>
                                  <w:rStyle w:val="InternetLink"/>
                                </w:rPr>
                                <w:t>Section 7.5.</w:t>
                                <w:br/>
                              </w:r>
                            </w:hyperlink>
                          </w:p>
                        </w:txbxContent>
                      </v:textbox>
                      <w10:wrap type="square" side="right"/>
                    </v:rect>
                  </w:pict>
                </mc:Fallback>
              </mc:AlternateContent>
            </w:r>
          </w:p>
          <w:p>
            <w:pPr>
              <w:pStyle w:val="TableContents"/>
              <w:bidi w:val="0"/>
              <w:spacing w:before="0" w:after="0"/>
              <w:ind w:left="0" w:right="0" w:hanging="0"/>
              <w:jc w:val="left"/>
              <w:rPr/>
            </w:pPr>
            <w:hyperlink w:anchor="tS7T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TS">
              <w:r>
                <w:rPr>
                  <w:rStyle w:val="InternetLink"/>
                </w:rPr>
                <w:t xml:space="preserve">A-49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OO">
              <w:r>
                <w:rPr>
                  <w:rStyle w:val="InternetLink"/>
                </w:rPr>
                <w:t xml:space="preserve">Obligations of Merger Sub </w:t>
              </w:r>
            </w:hyperlink>
            <w:r>
              <mc:AlternateContent>
                <mc:Choice Requires="wps">
                  <w:drawing>
                    <wp:anchor behindDoc="0" distT="0" distB="0" distL="457200" distR="0" simplePos="0" locked="0" layoutInCell="1" allowOverlap="1" relativeHeight="1118">
                      <wp:simplePos x="0" y="0"/>
                      <wp:positionH relativeFrom="column">
                        <wp:align>left</wp:align>
                      </wp:positionH>
                      <wp:positionV relativeFrom="line">
                        <wp:posOffset>635</wp:posOffset>
                      </wp:positionV>
                      <wp:extent cx="1066800" cy="350520"/>
                      <wp:effectExtent l="0" t="0" r="0" b="0"/>
                      <wp:wrapSquare wrapText="right"/>
                      <wp:docPr id="1115" name="Frame107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OO">
                                    <w:r>
                                      <w:rPr>
                                        <w:rStyle w:val="InternetLink"/>
                                      </w:rPr>
                                      <w:t>Section 7.6.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OO">
                              <w:r>
                                <w:rPr>
                                  <w:rStyle w:val="InternetLink"/>
                                </w:rPr>
                                <w:t>Section 7.6.</w:t>
                                <w:br/>
                              </w:r>
                            </w:hyperlink>
                          </w:p>
                        </w:txbxContent>
                      </v:textbox>
                      <w10:wrap type="square" side="right"/>
                    </v:rect>
                  </w:pict>
                </mc:Fallback>
              </mc:AlternateContent>
            </w:r>
          </w:p>
          <w:p>
            <w:pPr>
              <w:pStyle w:val="TableContents"/>
              <w:bidi w:val="0"/>
              <w:spacing w:before="0" w:after="0"/>
              <w:ind w:left="0" w:right="0" w:hanging="0"/>
              <w:jc w:val="left"/>
              <w:rPr/>
            </w:pPr>
            <w:hyperlink w:anchor="tS7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OO">
              <w:r>
                <w:rPr>
                  <w:rStyle w:val="InternetLink"/>
                </w:rPr>
                <w:t xml:space="preserve">A-50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EM">
              <w:r>
                <w:rPr>
                  <w:rStyle w:val="InternetLink"/>
                </w:rPr>
                <w:t xml:space="preserve">Employee Matters </w:t>
              </w:r>
            </w:hyperlink>
            <w:r>
              <mc:AlternateContent>
                <mc:Choice Requires="wps">
                  <w:drawing>
                    <wp:anchor behindDoc="0" distT="0" distB="0" distL="457200" distR="0" simplePos="0" locked="0" layoutInCell="1" allowOverlap="1" relativeHeight="1119">
                      <wp:simplePos x="0" y="0"/>
                      <wp:positionH relativeFrom="column">
                        <wp:align>left</wp:align>
                      </wp:positionH>
                      <wp:positionV relativeFrom="line">
                        <wp:posOffset>635</wp:posOffset>
                      </wp:positionV>
                      <wp:extent cx="1066800" cy="350520"/>
                      <wp:effectExtent l="0" t="0" r="0" b="0"/>
                      <wp:wrapSquare wrapText="right"/>
                      <wp:docPr id="1116" name="Frame107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EM">
                                    <w:r>
                                      <w:rPr>
                                        <w:rStyle w:val="InternetLink"/>
                                      </w:rPr>
                                      <w:t>Section 7.7.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EM">
                              <w:r>
                                <w:rPr>
                                  <w:rStyle w:val="InternetLink"/>
                                </w:rPr>
                                <w:t>Section 7.7.</w:t>
                                <w:br/>
                              </w:r>
                            </w:hyperlink>
                          </w:p>
                        </w:txbxContent>
                      </v:textbox>
                      <w10:wrap type="square" side="right"/>
                    </v:rect>
                  </w:pict>
                </mc:Fallback>
              </mc:AlternateContent>
            </w:r>
          </w:p>
          <w:p>
            <w:pPr>
              <w:pStyle w:val="TableContents"/>
              <w:bidi w:val="0"/>
              <w:spacing w:before="0" w:after="0"/>
              <w:ind w:left="0" w:right="0" w:hanging="0"/>
              <w:jc w:val="left"/>
              <w:rPr/>
            </w:pPr>
            <w:hyperlink w:anchor="tS7E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EM">
              <w:r>
                <w:rPr>
                  <w:rStyle w:val="InternetLink"/>
                </w:rPr>
                <w:t xml:space="preserve">A-50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R1">
              <w:r>
                <w:rPr>
                  <w:rStyle w:val="InternetLink"/>
                </w:rPr>
                <w:t xml:space="preserve">Rule 16b-3 </w:t>
              </w:r>
            </w:hyperlink>
            <w:r>
              <mc:AlternateContent>
                <mc:Choice Requires="wps">
                  <w:drawing>
                    <wp:anchor behindDoc="0" distT="0" distB="0" distL="457200" distR="0" simplePos="0" locked="0" layoutInCell="1" allowOverlap="1" relativeHeight="1120">
                      <wp:simplePos x="0" y="0"/>
                      <wp:positionH relativeFrom="column">
                        <wp:align>left</wp:align>
                      </wp:positionH>
                      <wp:positionV relativeFrom="line">
                        <wp:posOffset>635</wp:posOffset>
                      </wp:positionV>
                      <wp:extent cx="1066800" cy="350520"/>
                      <wp:effectExtent l="0" t="0" r="0" b="0"/>
                      <wp:wrapSquare wrapText="right"/>
                      <wp:docPr id="1117" name="Frame107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R1">
                                    <w:r>
                                      <w:rPr>
                                        <w:rStyle w:val="InternetLink"/>
                                      </w:rPr>
                                      <w:t>Section 7.8.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R1">
                              <w:r>
                                <w:rPr>
                                  <w:rStyle w:val="InternetLink"/>
                                </w:rPr>
                                <w:t>Section 7.8.</w:t>
                                <w:br/>
                              </w:r>
                            </w:hyperlink>
                          </w:p>
                        </w:txbxContent>
                      </v:textbox>
                      <w10:wrap type="square" side="right"/>
                    </v:rect>
                  </w:pict>
                </mc:Fallback>
              </mc:AlternateContent>
            </w:r>
          </w:p>
          <w:p>
            <w:pPr>
              <w:pStyle w:val="TableContents"/>
              <w:bidi w:val="0"/>
              <w:spacing w:before="0" w:after="0"/>
              <w:ind w:left="0" w:right="0" w:hanging="0"/>
              <w:jc w:val="left"/>
              <w:rPr/>
            </w:pPr>
            <w:hyperlink w:anchor="tS7R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R1">
              <w:r>
                <w:rPr>
                  <w:rStyle w:val="InternetLink"/>
                </w:rPr>
                <w:t xml:space="preserve">A-51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SL">
              <w:r>
                <w:rPr>
                  <w:rStyle w:val="InternetLink"/>
                </w:rPr>
                <w:t xml:space="preserve">Stockholder Litigation </w:t>
              </w:r>
            </w:hyperlink>
            <w:r>
              <mc:AlternateContent>
                <mc:Choice Requires="wps">
                  <w:drawing>
                    <wp:anchor behindDoc="0" distT="0" distB="0" distL="457200" distR="0" simplePos="0" locked="0" layoutInCell="1" allowOverlap="1" relativeHeight="1121">
                      <wp:simplePos x="0" y="0"/>
                      <wp:positionH relativeFrom="column">
                        <wp:align>left</wp:align>
                      </wp:positionH>
                      <wp:positionV relativeFrom="line">
                        <wp:posOffset>635</wp:posOffset>
                      </wp:positionV>
                      <wp:extent cx="1066800" cy="350520"/>
                      <wp:effectExtent l="0" t="0" r="0" b="0"/>
                      <wp:wrapSquare wrapText="right"/>
                      <wp:docPr id="1118" name="Frame107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SL">
                                    <w:r>
                                      <w:rPr>
                                        <w:rStyle w:val="InternetLink"/>
                                      </w:rPr>
                                      <w:t>Section 7.9.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SL">
                              <w:r>
                                <w:rPr>
                                  <w:rStyle w:val="InternetLink"/>
                                </w:rPr>
                                <w:t>Section 7.9.</w:t>
                                <w:br/>
                              </w:r>
                            </w:hyperlink>
                          </w:p>
                        </w:txbxContent>
                      </v:textbox>
                      <w10:wrap type="square" side="right"/>
                    </v:rect>
                  </w:pict>
                </mc:Fallback>
              </mc:AlternateContent>
            </w:r>
          </w:p>
          <w:p>
            <w:pPr>
              <w:pStyle w:val="TableContents"/>
              <w:bidi w:val="0"/>
              <w:spacing w:before="0" w:after="0"/>
              <w:ind w:left="0" w:right="0" w:hanging="0"/>
              <w:jc w:val="left"/>
              <w:rPr/>
            </w:pPr>
            <w:hyperlink w:anchor="tS7SL">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SL">
              <w:r>
                <w:rPr>
                  <w:rStyle w:val="InternetLink"/>
                </w:rPr>
                <w:t xml:space="preserve">A-51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DE">
              <w:r>
                <w:rPr>
                  <w:rStyle w:val="InternetLink"/>
                </w:rPr>
                <w:t xml:space="preserve">Delisting </w:t>
              </w:r>
            </w:hyperlink>
            <w:r>
              <mc:AlternateContent>
                <mc:Choice Requires="wps">
                  <w:drawing>
                    <wp:anchor behindDoc="0" distT="0" distB="0" distL="457200" distR="0" simplePos="0" locked="0" layoutInCell="1" allowOverlap="1" relativeHeight="1122">
                      <wp:simplePos x="0" y="0"/>
                      <wp:positionH relativeFrom="column">
                        <wp:align>left</wp:align>
                      </wp:positionH>
                      <wp:positionV relativeFrom="line">
                        <wp:posOffset>635</wp:posOffset>
                      </wp:positionV>
                      <wp:extent cx="1066800" cy="350520"/>
                      <wp:effectExtent l="0" t="0" r="0" b="0"/>
                      <wp:wrapSquare wrapText="right"/>
                      <wp:docPr id="1119" name="Frame107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E">
                                    <w:r>
                                      <w:rPr>
                                        <w:rStyle w:val="InternetLink"/>
                                      </w:rPr>
                                      <w:t>Section 7.10.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E">
                              <w:r>
                                <w:rPr>
                                  <w:rStyle w:val="InternetLink"/>
                                </w:rPr>
                                <w:t>Section 7.10.</w:t>
                                <w:br/>
                              </w:r>
                            </w:hyperlink>
                          </w:p>
                        </w:txbxContent>
                      </v:textbox>
                      <w10:wrap type="square" side="right"/>
                    </v:rect>
                  </w:pict>
                </mc:Fallback>
              </mc:AlternateContent>
            </w:r>
          </w:p>
          <w:p>
            <w:pPr>
              <w:pStyle w:val="TableContents"/>
              <w:bidi w:val="0"/>
              <w:spacing w:before="0" w:after="0"/>
              <w:ind w:left="0" w:right="0" w:hanging="0"/>
              <w:jc w:val="left"/>
              <w:rPr/>
            </w:pPr>
            <w:hyperlink w:anchor="tS7D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DE">
              <w:r>
                <w:rPr>
                  <w:rStyle w:val="InternetLink"/>
                </w:rPr>
                <w:t xml:space="preserve">A-51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DR">
              <w:r>
                <w:rPr>
                  <w:rStyle w:val="InternetLink"/>
                </w:rPr>
                <w:t xml:space="preserve">Director Resignations </w:t>
              </w:r>
            </w:hyperlink>
            <w:r>
              <mc:AlternateContent>
                <mc:Choice Requires="wps">
                  <w:drawing>
                    <wp:anchor behindDoc="0" distT="0" distB="0" distL="457200" distR="0" simplePos="0" locked="0" layoutInCell="1" allowOverlap="1" relativeHeight="1123">
                      <wp:simplePos x="0" y="0"/>
                      <wp:positionH relativeFrom="column">
                        <wp:align>left</wp:align>
                      </wp:positionH>
                      <wp:positionV relativeFrom="line">
                        <wp:posOffset>635</wp:posOffset>
                      </wp:positionV>
                      <wp:extent cx="1066800" cy="350520"/>
                      <wp:effectExtent l="0" t="0" r="0" b="0"/>
                      <wp:wrapSquare wrapText="right"/>
                      <wp:docPr id="1120" name="Frame108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R">
                                    <w:r>
                                      <w:rPr>
                                        <w:rStyle w:val="InternetLink"/>
                                      </w:rPr>
                                      <w:t>Section 7.11.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R">
                              <w:r>
                                <w:rPr>
                                  <w:rStyle w:val="InternetLink"/>
                                </w:rPr>
                                <w:t>Section 7.11.</w:t>
                                <w:br/>
                              </w:r>
                            </w:hyperlink>
                          </w:p>
                        </w:txbxContent>
                      </v:textbox>
                      <w10:wrap type="square" side="right"/>
                    </v:rect>
                  </w:pict>
                </mc:Fallback>
              </mc:AlternateContent>
            </w:r>
          </w:p>
          <w:p>
            <w:pPr>
              <w:pStyle w:val="TableContents"/>
              <w:bidi w:val="0"/>
              <w:spacing w:before="0" w:after="0"/>
              <w:ind w:left="0" w:right="0" w:hanging="0"/>
              <w:jc w:val="left"/>
              <w:rPr/>
            </w:pPr>
            <w:hyperlink w:anchor="tS7DR">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DR">
              <w:r>
                <w:rPr>
                  <w:rStyle w:val="InternetLink"/>
                </w:rPr>
                <w:t xml:space="preserve">A-52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PS1">
              <w:r>
                <w:rPr>
                  <w:rStyle w:val="InternetLink"/>
                </w:rPr>
                <w:t xml:space="preserve">Proxy Statement; Company Stockholders’ Meeting </w:t>
              </w:r>
            </w:hyperlink>
            <w:r>
              <mc:AlternateContent>
                <mc:Choice Requires="wps">
                  <w:drawing>
                    <wp:anchor behindDoc="0" distT="0" distB="0" distL="457200" distR="0" simplePos="0" locked="0" layoutInCell="1" allowOverlap="1" relativeHeight="1124">
                      <wp:simplePos x="0" y="0"/>
                      <wp:positionH relativeFrom="column">
                        <wp:align>left</wp:align>
                      </wp:positionH>
                      <wp:positionV relativeFrom="line">
                        <wp:posOffset>635</wp:posOffset>
                      </wp:positionV>
                      <wp:extent cx="1066800" cy="350520"/>
                      <wp:effectExtent l="0" t="0" r="0" b="0"/>
                      <wp:wrapSquare wrapText="right"/>
                      <wp:docPr id="1121" name="Frame108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PS1">
                                    <w:r>
                                      <w:rPr>
                                        <w:rStyle w:val="InternetLink"/>
                                      </w:rPr>
                                      <w:t>Section 7.12.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PS1">
                              <w:r>
                                <w:rPr>
                                  <w:rStyle w:val="InternetLink"/>
                                </w:rPr>
                                <w:t>Section 7.12.</w:t>
                                <w:br/>
                              </w:r>
                            </w:hyperlink>
                          </w:p>
                        </w:txbxContent>
                      </v:textbox>
                      <w10:wrap type="square" side="right"/>
                    </v:rect>
                  </w:pict>
                </mc:Fallback>
              </mc:AlternateContent>
            </w:r>
          </w:p>
          <w:p>
            <w:pPr>
              <w:pStyle w:val="TableContents"/>
              <w:bidi w:val="0"/>
              <w:spacing w:before="0" w:after="0"/>
              <w:ind w:left="0" w:right="0" w:hanging="0"/>
              <w:jc w:val="left"/>
              <w:rPr/>
            </w:pPr>
            <w:hyperlink w:anchor="tS7PS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PS1">
              <w:r>
                <w:rPr>
                  <w:rStyle w:val="InternetLink"/>
                </w:rPr>
                <w:t xml:space="preserve">A-52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FC">
              <w:r>
                <w:rPr>
                  <w:rStyle w:val="InternetLink"/>
                </w:rPr>
                <w:t xml:space="preserve">Financing Cooperation </w:t>
              </w:r>
            </w:hyperlink>
            <w:r>
              <mc:AlternateContent>
                <mc:Choice Requires="wps">
                  <w:drawing>
                    <wp:anchor behindDoc="0" distT="0" distB="0" distL="457200" distR="0" simplePos="0" locked="0" layoutInCell="1" allowOverlap="1" relativeHeight="1125">
                      <wp:simplePos x="0" y="0"/>
                      <wp:positionH relativeFrom="column">
                        <wp:align>left</wp:align>
                      </wp:positionH>
                      <wp:positionV relativeFrom="line">
                        <wp:posOffset>635</wp:posOffset>
                      </wp:positionV>
                      <wp:extent cx="1066800" cy="350520"/>
                      <wp:effectExtent l="0" t="0" r="0" b="0"/>
                      <wp:wrapSquare wrapText="right"/>
                      <wp:docPr id="1122" name="Frame108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FC">
                                    <w:r>
                                      <w:rPr>
                                        <w:rStyle w:val="InternetLink"/>
                                      </w:rPr>
                                      <w:t>Section 7.13.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FC">
                              <w:r>
                                <w:rPr>
                                  <w:rStyle w:val="InternetLink"/>
                                </w:rPr>
                                <w:t>Section 7.13.</w:t>
                                <w:br/>
                              </w:r>
                            </w:hyperlink>
                          </w:p>
                        </w:txbxContent>
                      </v:textbox>
                      <w10:wrap type="square" side="right"/>
                    </v:rect>
                  </w:pict>
                </mc:Fallback>
              </mc:AlternateContent>
            </w:r>
          </w:p>
          <w:p>
            <w:pPr>
              <w:pStyle w:val="TableContents"/>
              <w:bidi w:val="0"/>
              <w:spacing w:before="0" w:after="0"/>
              <w:ind w:left="0" w:right="0" w:hanging="0"/>
              <w:jc w:val="left"/>
              <w:rPr/>
            </w:pPr>
            <w:hyperlink w:anchor="tS7F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FC">
              <w:r>
                <w:rPr>
                  <w:rStyle w:val="InternetLink"/>
                </w:rPr>
                <w:t xml:space="preserve">A-53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283"/>
              <w:jc w:val="left"/>
              <w:rPr/>
            </w:pPr>
            <w:hyperlink w:anchor="tARVI2">
              <w:r>
                <w:rPr>
                  <w:rStyle w:val="InternetLink"/>
                </w:rPr>
                <w:t xml:space="preserve">Article VIII CONDITIONS TO CONSUMMATION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2">
              <w:r>
                <w:rPr>
                  <w:rStyle w:val="InternetLink"/>
                </w:rPr>
                <w:t xml:space="preserve">A-54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8CT">
              <w:r>
                <w:rPr>
                  <w:rStyle w:val="InternetLink"/>
                </w:rPr>
                <w:t xml:space="preserve">Conditions to Each Party’s Obligations to Effect the Merger </w:t>
              </w:r>
            </w:hyperlink>
            <w:r>
              <mc:AlternateContent>
                <mc:Choice Requires="wps">
                  <w:drawing>
                    <wp:anchor behindDoc="0" distT="0" distB="0" distL="457200" distR="0" simplePos="0" locked="0" layoutInCell="1" allowOverlap="1" relativeHeight="1126">
                      <wp:simplePos x="0" y="0"/>
                      <wp:positionH relativeFrom="column">
                        <wp:align>left</wp:align>
                      </wp:positionH>
                      <wp:positionV relativeFrom="line">
                        <wp:posOffset>635</wp:posOffset>
                      </wp:positionV>
                      <wp:extent cx="1066800" cy="350520"/>
                      <wp:effectExtent l="0" t="0" r="0" b="0"/>
                      <wp:wrapSquare wrapText="right"/>
                      <wp:docPr id="1123" name="Frame108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
                                    <w:r>
                                      <w:rPr>
                                        <w:rStyle w:val="InternetLink"/>
                                      </w:rPr>
                                      <w:t>Section 8.1.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
                              <w:r>
                                <w:rPr>
                                  <w:rStyle w:val="InternetLink"/>
                                </w:rPr>
                                <w:t>Section 8.1.</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8CT">
              <w:r>
                <w:rPr>
                  <w:rStyle w:val="InternetLink"/>
                </w:rPr>
                <w:t xml:space="preserve">A-54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8CT1">
              <w:r>
                <w:rPr>
                  <w:rStyle w:val="InternetLink"/>
                </w:rPr>
                <w:t xml:space="preserve">Conditions to the Obligations of Parent and Merger Sub </w:t>
              </w:r>
            </w:hyperlink>
            <w:r>
              <mc:AlternateContent>
                <mc:Choice Requires="wps">
                  <w:drawing>
                    <wp:anchor behindDoc="0" distT="0" distB="0" distL="457200" distR="0" simplePos="0" locked="0" layoutInCell="1" allowOverlap="1" relativeHeight="1127">
                      <wp:simplePos x="0" y="0"/>
                      <wp:positionH relativeFrom="column">
                        <wp:align>left</wp:align>
                      </wp:positionH>
                      <wp:positionV relativeFrom="line">
                        <wp:posOffset>635</wp:posOffset>
                      </wp:positionV>
                      <wp:extent cx="1066800" cy="350520"/>
                      <wp:effectExtent l="0" t="0" r="0" b="0"/>
                      <wp:wrapSquare wrapText="right"/>
                      <wp:docPr id="1124" name="Frame108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1">
                                    <w:r>
                                      <w:rPr>
                                        <w:rStyle w:val="InternetLink"/>
                                      </w:rPr>
                                      <w:t>Section 8.2.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1">
                              <w:r>
                                <w:rPr>
                                  <w:rStyle w:val="InternetLink"/>
                                </w:rPr>
                                <w:t>Section 8.2.</w:t>
                                <w:br/>
                              </w:r>
                            </w:hyperlink>
                          </w:p>
                        </w:txbxContent>
                      </v:textbox>
                      <w10:wrap type="square" side="right"/>
                    </v:rect>
                  </w:pict>
                </mc:Fallback>
              </mc:AlternateContent>
            </w:r>
          </w:p>
          <w:p>
            <w:pPr>
              <w:pStyle w:val="TableContents"/>
              <w:bidi w:val="0"/>
              <w:spacing w:before="0" w:after="0"/>
              <w:ind w:left="0" w:right="0" w:hanging="0"/>
              <w:jc w:val="left"/>
              <w:rPr/>
            </w:pPr>
            <w:hyperlink w:anchor="tS8CT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8CT1">
              <w:r>
                <w:rPr>
                  <w:rStyle w:val="InternetLink"/>
                </w:rPr>
                <w:t xml:space="preserve">A-54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8CT2">
              <w:r>
                <w:rPr>
                  <w:rStyle w:val="InternetLink"/>
                </w:rPr>
                <w:t xml:space="preserve">Conditions to the Obligations of the Company </w:t>
              </w:r>
            </w:hyperlink>
            <w:r>
              <mc:AlternateContent>
                <mc:Choice Requires="wps">
                  <w:drawing>
                    <wp:anchor behindDoc="0" distT="0" distB="0" distL="457200" distR="0" simplePos="0" locked="0" layoutInCell="1" allowOverlap="1" relativeHeight="1128">
                      <wp:simplePos x="0" y="0"/>
                      <wp:positionH relativeFrom="column">
                        <wp:align>left</wp:align>
                      </wp:positionH>
                      <wp:positionV relativeFrom="line">
                        <wp:posOffset>635</wp:posOffset>
                      </wp:positionV>
                      <wp:extent cx="1066800" cy="350520"/>
                      <wp:effectExtent l="0" t="0" r="0" b="0"/>
                      <wp:wrapSquare wrapText="right"/>
                      <wp:docPr id="1125" name="Frame108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2">
                                    <w:r>
                                      <w:rPr>
                                        <w:rStyle w:val="InternetLink"/>
                                      </w:rPr>
                                      <w:t>Section 8.3.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2">
                              <w:r>
                                <w:rPr>
                                  <w:rStyle w:val="InternetLink"/>
                                </w:rPr>
                                <w:t>Section 8.3.</w:t>
                                <w:br/>
                              </w:r>
                            </w:hyperlink>
                          </w:p>
                        </w:txbxContent>
                      </v:textbox>
                      <w10:wrap type="square" side="right"/>
                    </v:rect>
                  </w:pict>
                </mc:Fallback>
              </mc:AlternateContent>
            </w:r>
          </w:p>
          <w:p>
            <w:pPr>
              <w:pStyle w:val="TableContents"/>
              <w:bidi w:val="0"/>
              <w:spacing w:before="0" w:after="0"/>
              <w:ind w:left="0" w:right="0" w:hanging="0"/>
              <w:jc w:val="left"/>
              <w:rPr/>
            </w:pPr>
            <w:hyperlink w:anchor="tS8CT2">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8CT2">
              <w:r>
                <w:rPr>
                  <w:rStyle w:val="InternetLink"/>
                </w:rPr>
                <w:t xml:space="preserve">A-55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OC11"/>
      <w:bookmarkEnd w:id="189"/>
      <w:r>
        <w:rPr>
          <w:rFonts w:ascii="calibri;arial;sans-serif" w:hAnsi="calibri;arial;sans-serif"/>
          <w:b w:val="false"/>
          <w:i w:val="false"/>
          <w:caps w:val="false"/>
          <w:smallCaps w:val="false"/>
          <w:color w:val="000000"/>
          <w:sz w:val="16"/>
        </w:rPr>
        <w:t xml:space="preserve">​ </w:t>
      </w:r>
    </w:p>
    <w:tbl>
      <w:tblPr>
        <w:tblW w:w="9176" w:type="dxa"/>
        <w:jc w:val="left"/>
        <w:tblInd w:w="680" w:type="dxa"/>
        <w:tblLayout w:type="fixed"/>
        <w:tblCellMar>
          <w:top w:w="0" w:type="dxa"/>
          <w:left w:w="0" w:type="dxa"/>
          <w:bottom w:w="0" w:type="dxa"/>
          <w:right w:w="0" w:type="dxa"/>
        </w:tblCellMar>
      </w:tblPr>
      <w:tblGrid>
        <w:gridCol w:w="7681"/>
        <w:gridCol w:w="109"/>
        <w:gridCol w:w="109"/>
        <w:gridCol w:w="109"/>
        <w:gridCol w:w="109"/>
        <w:gridCol w:w="796"/>
        <w:gridCol w:w="109"/>
        <w:gridCol w:w="154"/>
      </w:tblGrid>
      <w:tr>
        <w:trPr/>
        <w:tc>
          <w:tcPr>
            <w:tcW w:w="76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before="0" w:after="283"/>
              <w:jc w:val="left"/>
              <w:rPr/>
            </w:pPr>
            <w:hyperlink w:anchor="tARIX">
              <w:r>
                <w:rPr>
                  <w:rStyle w:val="InternetLink"/>
                </w:rPr>
                <w:t xml:space="preserve">Article IX TERMINATION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ARIX">
              <w:r>
                <w:rPr>
                  <w:rStyle w:val="InternetLink"/>
                </w:rPr>
                <w:t xml:space="preserve">A-55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9TT">
              <w:r>
                <w:rPr>
                  <w:rStyle w:val="InternetLink"/>
                </w:rPr>
                <w:t xml:space="preserve">Termination </w:t>
              </w:r>
            </w:hyperlink>
            <w:r>
              <mc:AlternateContent>
                <mc:Choice Requires="wps">
                  <w:drawing>
                    <wp:anchor behindDoc="0" distT="0" distB="0" distL="457200" distR="0" simplePos="0" locked="0" layoutInCell="1" allowOverlap="1" relativeHeight="1129">
                      <wp:simplePos x="0" y="0"/>
                      <wp:positionH relativeFrom="column">
                        <wp:align>left</wp:align>
                      </wp:positionH>
                      <wp:positionV relativeFrom="line">
                        <wp:posOffset>635</wp:posOffset>
                      </wp:positionV>
                      <wp:extent cx="1066800" cy="350520"/>
                      <wp:effectExtent l="0" t="0" r="0" b="0"/>
                      <wp:wrapSquare wrapText="right"/>
                      <wp:docPr id="1126" name="Frame108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9TT">
                                    <w:r>
                                      <w:rPr>
                                        <w:rStyle w:val="InternetLink"/>
                                      </w:rPr>
                                      <w:t>Section 9.1.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9TT">
                              <w:r>
                                <w:rPr>
                                  <w:rStyle w:val="InternetLink"/>
                                </w:rPr>
                                <w:t>Section 9.1.</w:t>
                                <w:br/>
                              </w:r>
                            </w:hyperlink>
                          </w:p>
                        </w:txbxContent>
                      </v:textbox>
                      <w10:wrap type="square" side="right"/>
                    </v:rect>
                  </w:pict>
                </mc:Fallback>
              </mc:AlternateContent>
            </w:r>
          </w:p>
          <w:p>
            <w:pPr>
              <w:pStyle w:val="TableContents"/>
              <w:bidi w:val="0"/>
              <w:spacing w:before="0" w:after="0"/>
              <w:ind w:left="0" w:right="0" w:hanging="0"/>
              <w:jc w:val="left"/>
              <w:rPr/>
            </w:pPr>
            <w:hyperlink w:anchor="tS9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9TT">
              <w:r>
                <w:rPr>
                  <w:rStyle w:val="InternetLink"/>
                </w:rPr>
                <w:t xml:space="preserve">A-55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9EO">
              <w:r>
                <w:rPr>
                  <w:rStyle w:val="InternetLink"/>
                </w:rPr>
                <w:t xml:space="preserve">Effect of Termination </w:t>
              </w:r>
            </w:hyperlink>
            <w:r>
              <mc:AlternateContent>
                <mc:Choice Requires="wps">
                  <w:drawing>
                    <wp:anchor behindDoc="0" distT="0" distB="0" distL="457200" distR="0" simplePos="0" locked="0" layoutInCell="1" allowOverlap="1" relativeHeight="1130">
                      <wp:simplePos x="0" y="0"/>
                      <wp:positionH relativeFrom="column">
                        <wp:align>left</wp:align>
                      </wp:positionH>
                      <wp:positionV relativeFrom="line">
                        <wp:posOffset>635</wp:posOffset>
                      </wp:positionV>
                      <wp:extent cx="1066800" cy="350520"/>
                      <wp:effectExtent l="0" t="0" r="0" b="0"/>
                      <wp:wrapSquare wrapText="right"/>
                      <wp:docPr id="1127" name="Frame108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9EO">
                                    <w:r>
                                      <w:rPr>
                                        <w:rStyle w:val="InternetLink"/>
                                      </w:rPr>
                                      <w:t>Section 9.2.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9EO">
                              <w:r>
                                <w:rPr>
                                  <w:rStyle w:val="InternetLink"/>
                                </w:rPr>
                                <w:t>Section 9.2.</w:t>
                                <w:br/>
                              </w:r>
                            </w:hyperlink>
                          </w:p>
                        </w:txbxContent>
                      </v:textbox>
                      <w10:wrap type="square" side="right"/>
                    </v:rect>
                  </w:pict>
                </mc:Fallback>
              </mc:AlternateContent>
            </w:r>
          </w:p>
          <w:p>
            <w:pPr>
              <w:pStyle w:val="TableContents"/>
              <w:bidi w:val="0"/>
              <w:spacing w:before="0" w:after="0"/>
              <w:ind w:left="0" w:right="0" w:hanging="0"/>
              <w:jc w:val="left"/>
              <w:rPr/>
            </w:pPr>
            <w:hyperlink w:anchor="tS9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9EO">
              <w:r>
                <w:rPr>
                  <w:rStyle w:val="InternetLink"/>
                </w:rPr>
                <w:t xml:space="preserve">A-56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before="0" w:after="283"/>
              <w:jc w:val="left"/>
              <w:rPr/>
            </w:pPr>
            <w:hyperlink w:anchor="tARX">
              <w:r>
                <w:rPr>
                  <w:rStyle w:val="InternetLink"/>
                </w:rPr>
                <w:t xml:space="preserve">Article X MISCELLANEOUS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ARX">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AA">
              <w:r>
                <w:rPr>
                  <w:rStyle w:val="InternetLink"/>
                </w:rPr>
                <w:t xml:space="preserve">Amendment and Modification; Waiver </w:t>
              </w:r>
            </w:hyperlink>
            <w:r>
              <mc:AlternateContent>
                <mc:Choice Requires="wps">
                  <w:drawing>
                    <wp:anchor behindDoc="0" distT="0" distB="0" distL="457200" distR="0" simplePos="0" locked="0" layoutInCell="1" allowOverlap="1" relativeHeight="1131">
                      <wp:simplePos x="0" y="0"/>
                      <wp:positionH relativeFrom="column">
                        <wp:align>left</wp:align>
                      </wp:positionH>
                      <wp:positionV relativeFrom="line">
                        <wp:posOffset>635</wp:posOffset>
                      </wp:positionV>
                      <wp:extent cx="1066800" cy="350520"/>
                      <wp:effectExtent l="0" t="0" r="0" b="0"/>
                      <wp:wrapSquare wrapText="right"/>
                      <wp:docPr id="1128" name="Frame108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AA">
                                    <w:r>
                                      <w:rPr>
                                        <w:rStyle w:val="InternetLink"/>
                                      </w:rPr>
                                      <w:t>Section 10.1.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AA">
                              <w:r>
                                <w:rPr>
                                  <w:rStyle w:val="InternetLink"/>
                                </w:rPr>
                                <w:t>Section 10.1.</w:t>
                                <w:br/>
                              </w:r>
                            </w:hyperlink>
                          </w:p>
                        </w:txbxContent>
                      </v:textbox>
                      <w10:wrap type="square" side="right"/>
                    </v:rect>
                  </w:pict>
                </mc:Fallback>
              </mc:AlternateContent>
            </w:r>
          </w:p>
          <w:p>
            <w:pPr>
              <w:pStyle w:val="TableContents"/>
              <w:bidi w:val="0"/>
              <w:spacing w:before="0" w:after="0"/>
              <w:ind w:left="0" w:right="0" w:hanging="0"/>
              <w:jc w:val="left"/>
              <w:rPr/>
            </w:pPr>
            <w:hyperlink w:anchor="tS1A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AA">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NO">
              <w:r>
                <w:rPr>
                  <w:rStyle w:val="InternetLink"/>
                </w:rPr>
                <w:t xml:space="preserve">Non-Survival of Representations and Warranties </w:t>
              </w:r>
            </w:hyperlink>
            <w:r>
              <mc:AlternateContent>
                <mc:Choice Requires="wps">
                  <w:drawing>
                    <wp:anchor behindDoc="0" distT="0" distB="0" distL="457200" distR="0" simplePos="0" locked="0" layoutInCell="1" allowOverlap="1" relativeHeight="1132">
                      <wp:simplePos x="0" y="0"/>
                      <wp:positionH relativeFrom="column">
                        <wp:align>left</wp:align>
                      </wp:positionH>
                      <wp:positionV relativeFrom="line">
                        <wp:posOffset>635</wp:posOffset>
                      </wp:positionV>
                      <wp:extent cx="1066800" cy="350520"/>
                      <wp:effectExtent l="0" t="0" r="0" b="0"/>
                      <wp:wrapSquare wrapText="right"/>
                      <wp:docPr id="1129" name="Frame108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NO">
                                    <w:r>
                                      <w:rPr>
                                        <w:rStyle w:val="InternetLink"/>
                                      </w:rPr>
                                      <w:t>Section 10.2.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NO">
                              <w:r>
                                <w:rPr>
                                  <w:rStyle w:val="InternetLink"/>
                                </w:rPr>
                                <w:t>Section 10.2.</w:t>
                                <w:br/>
                              </w:r>
                            </w:hyperlink>
                          </w:p>
                        </w:txbxContent>
                      </v:textbox>
                      <w10:wrap type="square" side="right"/>
                    </v:rect>
                  </w:pict>
                </mc:Fallback>
              </mc:AlternateContent>
            </w:r>
          </w:p>
          <w:p>
            <w:pPr>
              <w:pStyle w:val="TableContents"/>
              <w:bidi w:val="0"/>
              <w:spacing w:before="0" w:after="0"/>
              <w:ind w:left="0" w:right="0" w:hanging="0"/>
              <w:jc w:val="left"/>
              <w:rPr/>
            </w:pPr>
            <w:hyperlink w:anchor="tS1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NO">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EE">
              <w:r>
                <w:rPr>
                  <w:rStyle w:val="InternetLink"/>
                </w:rPr>
                <w:t xml:space="preserve">Expenses </w:t>
              </w:r>
            </w:hyperlink>
            <w:r>
              <mc:AlternateContent>
                <mc:Choice Requires="wps">
                  <w:drawing>
                    <wp:anchor behindDoc="0" distT="0" distB="0" distL="457200" distR="0" simplePos="0" locked="0" layoutInCell="1" allowOverlap="1" relativeHeight="1133">
                      <wp:simplePos x="0" y="0"/>
                      <wp:positionH relativeFrom="column">
                        <wp:align>left</wp:align>
                      </wp:positionH>
                      <wp:positionV relativeFrom="line">
                        <wp:posOffset>635</wp:posOffset>
                      </wp:positionV>
                      <wp:extent cx="1066800" cy="350520"/>
                      <wp:effectExtent l="0" t="0" r="0" b="0"/>
                      <wp:wrapSquare wrapText="right"/>
                      <wp:docPr id="1130" name="Frame109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E">
                                    <w:r>
                                      <w:rPr>
                                        <w:rStyle w:val="InternetLink"/>
                                      </w:rPr>
                                      <w:t>Section 10.3.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E">
                              <w:r>
                                <w:rPr>
                                  <w:rStyle w:val="InternetLink"/>
                                </w:rPr>
                                <w:t>Section 10.3.</w:t>
                                <w:br/>
                              </w:r>
                            </w:hyperlink>
                          </w:p>
                        </w:txbxContent>
                      </v:textbox>
                      <w10:wrap type="square" side="right"/>
                    </v:rect>
                  </w:pict>
                </mc:Fallback>
              </mc:AlternateContent>
            </w:r>
          </w:p>
          <w:p>
            <w:pPr>
              <w:pStyle w:val="TableContents"/>
              <w:bidi w:val="0"/>
              <w:spacing w:before="0" w:after="0"/>
              <w:ind w:left="0" w:right="0" w:hanging="0"/>
              <w:jc w:val="left"/>
              <w:rPr/>
            </w:pPr>
            <w:hyperlink w:anchor="tS1E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EE">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TT">
              <w:r>
                <w:rPr>
                  <w:rStyle w:val="InternetLink"/>
                </w:rPr>
                <w:t xml:space="preserve">Transfer Taxes and Non-Resident Capital Gain Taxes </w:t>
              </w:r>
            </w:hyperlink>
            <w:r>
              <mc:AlternateContent>
                <mc:Choice Requires="wps">
                  <w:drawing>
                    <wp:anchor behindDoc="0" distT="0" distB="0" distL="457200" distR="0" simplePos="0" locked="0" layoutInCell="1" allowOverlap="1" relativeHeight="1134">
                      <wp:simplePos x="0" y="0"/>
                      <wp:positionH relativeFrom="column">
                        <wp:align>left</wp:align>
                      </wp:positionH>
                      <wp:positionV relativeFrom="line">
                        <wp:posOffset>635</wp:posOffset>
                      </wp:positionV>
                      <wp:extent cx="1066800" cy="350520"/>
                      <wp:effectExtent l="0" t="0" r="0" b="0"/>
                      <wp:wrapSquare wrapText="right"/>
                      <wp:docPr id="1131" name="Frame109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TT">
                                    <w:r>
                                      <w:rPr>
                                        <w:rStyle w:val="InternetLink"/>
                                      </w:rPr>
                                      <w:t>Section 10.4.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TT">
                              <w:r>
                                <w:rPr>
                                  <w:rStyle w:val="InternetLink"/>
                                </w:rPr>
                                <w:t>Section 10.4.</w:t>
                                <w:br/>
                              </w:r>
                            </w:hyperlink>
                          </w:p>
                        </w:txbxContent>
                      </v:textbox>
                      <w10:wrap type="square" side="right"/>
                    </v:rect>
                  </w:pict>
                </mc:Fallback>
              </mc:AlternateContent>
            </w:r>
          </w:p>
          <w:p>
            <w:pPr>
              <w:pStyle w:val="TableContents"/>
              <w:bidi w:val="0"/>
              <w:spacing w:before="0" w:after="0"/>
              <w:ind w:left="0" w:right="0" w:hanging="0"/>
              <w:jc w:val="left"/>
              <w:rPr/>
            </w:pPr>
            <w:hyperlink w:anchor="tS1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TT">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NA">
              <w:r>
                <w:rPr>
                  <w:rStyle w:val="InternetLink"/>
                </w:rPr>
                <w:t xml:space="preserve">Notices </w:t>
              </w:r>
            </w:hyperlink>
            <w:r>
              <mc:AlternateContent>
                <mc:Choice Requires="wps">
                  <w:drawing>
                    <wp:anchor behindDoc="0" distT="0" distB="0" distL="457200" distR="0" simplePos="0" locked="0" layoutInCell="1" allowOverlap="1" relativeHeight="1135">
                      <wp:simplePos x="0" y="0"/>
                      <wp:positionH relativeFrom="column">
                        <wp:align>left</wp:align>
                      </wp:positionH>
                      <wp:positionV relativeFrom="line">
                        <wp:posOffset>635</wp:posOffset>
                      </wp:positionV>
                      <wp:extent cx="1066800" cy="350520"/>
                      <wp:effectExtent l="0" t="0" r="0" b="0"/>
                      <wp:wrapSquare wrapText="right"/>
                      <wp:docPr id="1132" name="Frame109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NA">
                                    <w:r>
                                      <w:rPr>
                                        <w:rStyle w:val="InternetLink"/>
                                      </w:rPr>
                                      <w:t>Section 10.5.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NA">
                              <w:r>
                                <w:rPr>
                                  <w:rStyle w:val="InternetLink"/>
                                </w:rPr>
                                <w:t>Section 10.5.</w:t>
                                <w:br/>
                              </w:r>
                            </w:hyperlink>
                          </w:p>
                        </w:txbxContent>
                      </v:textbox>
                      <w10:wrap type="square" side="right"/>
                    </v:rect>
                  </w:pict>
                </mc:Fallback>
              </mc:AlternateContent>
            </w:r>
          </w:p>
          <w:p>
            <w:pPr>
              <w:pStyle w:val="TableContents"/>
              <w:bidi w:val="0"/>
              <w:spacing w:before="0" w:after="0"/>
              <w:ind w:left="0" w:right="0" w:hanging="0"/>
              <w:jc w:val="left"/>
              <w:rPr/>
            </w:pPr>
            <w:hyperlink w:anchor="tS1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NA">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IW">
              <w:r>
                <w:rPr>
                  <w:rStyle w:val="InternetLink"/>
                </w:rPr>
                <w:t xml:space="preserve">Interpretation </w:t>
              </w:r>
            </w:hyperlink>
            <w:r>
              <mc:AlternateContent>
                <mc:Choice Requires="wps">
                  <w:drawing>
                    <wp:anchor behindDoc="0" distT="0" distB="0" distL="457200" distR="0" simplePos="0" locked="0" layoutInCell="1" allowOverlap="1" relativeHeight="1136">
                      <wp:simplePos x="0" y="0"/>
                      <wp:positionH relativeFrom="column">
                        <wp:align>left</wp:align>
                      </wp:positionH>
                      <wp:positionV relativeFrom="line">
                        <wp:posOffset>635</wp:posOffset>
                      </wp:positionV>
                      <wp:extent cx="1066800" cy="350520"/>
                      <wp:effectExtent l="0" t="0" r="0" b="0"/>
                      <wp:wrapSquare wrapText="right"/>
                      <wp:docPr id="1133" name="Frame109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IW">
                                    <w:r>
                                      <w:rPr>
                                        <w:rStyle w:val="InternetLink"/>
                                      </w:rPr>
                                      <w:t>Section 10.6.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IW">
                              <w:r>
                                <w:rPr>
                                  <w:rStyle w:val="InternetLink"/>
                                </w:rPr>
                                <w:t>Section 10.6.</w:t>
                                <w:br/>
                              </w:r>
                            </w:hyperlink>
                          </w:p>
                        </w:txbxContent>
                      </v:textbox>
                      <w10:wrap type="square" side="right"/>
                    </v:rect>
                  </w:pict>
                </mc:Fallback>
              </mc:AlternateContent>
            </w:r>
          </w:p>
          <w:p>
            <w:pPr>
              <w:pStyle w:val="TableContents"/>
              <w:bidi w:val="0"/>
              <w:spacing w:before="0" w:after="0"/>
              <w:ind w:left="0" w:right="0" w:hanging="0"/>
              <w:jc w:val="left"/>
              <w:rPr/>
            </w:pPr>
            <w:hyperlink w:anchor="tS1IW">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IW">
              <w:r>
                <w:rPr>
                  <w:rStyle w:val="InternetLink"/>
                </w:rPr>
                <w:t xml:space="preserve">A-60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CT">
              <w:r>
                <w:rPr>
                  <w:rStyle w:val="InternetLink"/>
                </w:rPr>
                <w:t xml:space="preserve">Counterparts </w:t>
              </w:r>
            </w:hyperlink>
            <w:r>
              <mc:AlternateContent>
                <mc:Choice Requires="wps">
                  <w:drawing>
                    <wp:anchor behindDoc="0" distT="0" distB="0" distL="457200" distR="0" simplePos="0" locked="0" layoutInCell="1" allowOverlap="1" relativeHeight="1137">
                      <wp:simplePos x="0" y="0"/>
                      <wp:positionH relativeFrom="column">
                        <wp:align>left</wp:align>
                      </wp:positionH>
                      <wp:positionV relativeFrom="line">
                        <wp:posOffset>635</wp:posOffset>
                      </wp:positionV>
                      <wp:extent cx="1066800" cy="350520"/>
                      <wp:effectExtent l="0" t="0" r="0" b="0"/>
                      <wp:wrapSquare wrapText="right"/>
                      <wp:docPr id="1134" name="Frame109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CT">
                                    <w:r>
                                      <w:rPr>
                                        <w:rStyle w:val="InternetLink"/>
                                      </w:rPr>
                                      <w:t>Section 10.7.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CT">
                              <w:r>
                                <w:rPr>
                                  <w:rStyle w:val="InternetLink"/>
                                </w:rPr>
                                <w:t>Section 10.7.</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CT">
              <w:r>
                <w:rPr>
                  <w:rStyle w:val="InternetLink"/>
                </w:rPr>
                <w:t xml:space="preserve">A-60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EA">
              <w:r>
                <w:rPr>
                  <w:rStyle w:val="InternetLink"/>
                </w:rPr>
                <w:t xml:space="preserve">Entire Agreement; Third-Party Beneficiaries </w:t>
              </w:r>
            </w:hyperlink>
            <w:r>
              <mc:AlternateContent>
                <mc:Choice Requires="wps">
                  <w:drawing>
                    <wp:anchor behindDoc="0" distT="0" distB="0" distL="457200" distR="0" simplePos="0" locked="0" layoutInCell="1" allowOverlap="1" relativeHeight="1138">
                      <wp:simplePos x="0" y="0"/>
                      <wp:positionH relativeFrom="column">
                        <wp:align>left</wp:align>
                      </wp:positionH>
                      <wp:positionV relativeFrom="line">
                        <wp:posOffset>635</wp:posOffset>
                      </wp:positionV>
                      <wp:extent cx="1066800" cy="350520"/>
                      <wp:effectExtent l="0" t="0" r="0" b="0"/>
                      <wp:wrapSquare wrapText="right"/>
                      <wp:docPr id="1135" name="Frame109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A">
                                    <w:r>
                                      <w:rPr>
                                        <w:rStyle w:val="InternetLink"/>
                                      </w:rPr>
                                      <w:t>Section 10.8.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A">
                              <w:r>
                                <w:rPr>
                                  <w:rStyle w:val="InternetLink"/>
                                </w:rPr>
                                <w:t>Section 10.8.</w:t>
                                <w:br/>
                              </w:r>
                            </w:hyperlink>
                          </w:p>
                        </w:txbxContent>
                      </v:textbox>
                      <w10:wrap type="square" side="right"/>
                    </v:rect>
                  </w:pict>
                </mc:Fallback>
              </mc:AlternateContent>
            </w:r>
          </w:p>
          <w:p>
            <w:pPr>
              <w:pStyle w:val="TableContents"/>
              <w:bidi w:val="0"/>
              <w:spacing w:before="0" w:after="0"/>
              <w:ind w:left="0" w:right="0" w:hanging="0"/>
              <w:jc w:val="left"/>
              <w:rPr/>
            </w:pPr>
            <w:hyperlink w:anchor="tS1E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EA">
              <w:r>
                <w:rPr>
                  <w:rStyle w:val="InternetLink"/>
                </w:rPr>
                <w:t xml:space="preserve">A-61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SI">
              <w:r>
                <w:rPr>
                  <w:rStyle w:val="InternetLink"/>
                </w:rPr>
                <w:t xml:space="preserve">Severability </w:t>
              </w:r>
            </w:hyperlink>
            <w:r>
              <mc:AlternateContent>
                <mc:Choice Requires="wps">
                  <w:drawing>
                    <wp:anchor behindDoc="0" distT="0" distB="0" distL="457200" distR="0" simplePos="0" locked="0" layoutInCell="1" allowOverlap="1" relativeHeight="1139">
                      <wp:simplePos x="0" y="0"/>
                      <wp:positionH relativeFrom="column">
                        <wp:align>left</wp:align>
                      </wp:positionH>
                      <wp:positionV relativeFrom="line">
                        <wp:posOffset>635</wp:posOffset>
                      </wp:positionV>
                      <wp:extent cx="1066800" cy="350520"/>
                      <wp:effectExtent l="0" t="0" r="0" b="0"/>
                      <wp:wrapSquare wrapText="right"/>
                      <wp:docPr id="1136" name="Frame109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SI">
                                    <w:r>
                                      <w:rPr>
                                        <w:rStyle w:val="InternetLink"/>
                                      </w:rPr>
                                      <w:t>Section 10.9.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SI">
                              <w:r>
                                <w:rPr>
                                  <w:rStyle w:val="InternetLink"/>
                                </w:rPr>
                                <w:t>Section 10.9.</w:t>
                                <w:br/>
                              </w:r>
                            </w:hyperlink>
                          </w:p>
                        </w:txbxContent>
                      </v:textbox>
                      <w10:wrap type="square" side="right"/>
                    </v:rect>
                  </w:pict>
                </mc:Fallback>
              </mc:AlternateContent>
            </w:r>
          </w:p>
          <w:p>
            <w:pPr>
              <w:pStyle w:val="TableContents"/>
              <w:bidi w:val="0"/>
              <w:spacing w:before="0" w:after="0"/>
              <w:ind w:left="0" w:right="0" w:hanging="0"/>
              <w:jc w:val="left"/>
              <w:rPr/>
            </w:pPr>
            <w:hyperlink w:anchor="tS1S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SI">
              <w:r>
                <w:rPr>
                  <w:rStyle w:val="InternetLink"/>
                </w:rPr>
                <w:t xml:space="preserve">A-61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GL">
              <w:r>
                <w:rPr>
                  <w:rStyle w:val="InternetLink"/>
                </w:rPr>
                <w:t xml:space="preserve">Governing Law; Jurisdiction </w:t>
              </w:r>
            </w:hyperlink>
            <w:r>
              <mc:AlternateContent>
                <mc:Choice Requires="wps">
                  <w:drawing>
                    <wp:anchor behindDoc="0" distT="0" distB="0" distL="457200" distR="0" simplePos="0" locked="0" layoutInCell="1" allowOverlap="1" relativeHeight="1140">
                      <wp:simplePos x="0" y="0"/>
                      <wp:positionH relativeFrom="column">
                        <wp:align>left</wp:align>
                      </wp:positionH>
                      <wp:positionV relativeFrom="line">
                        <wp:posOffset>635</wp:posOffset>
                      </wp:positionV>
                      <wp:extent cx="1066800" cy="350520"/>
                      <wp:effectExtent l="0" t="0" r="0" b="0"/>
                      <wp:wrapSquare wrapText="right"/>
                      <wp:docPr id="1137" name="Frame109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GL">
                                    <w:r>
                                      <w:rPr>
                                        <w:rStyle w:val="InternetLink"/>
                                      </w:rPr>
                                      <w:t>Section 10.10.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GL">
                              <w:r>
                                <w:rPr>
                                  <w:rStyle w:val="InternetLink"/>
                                </w:rPr>
                                <w:t>Section 10.10.</w:t>
                                <w:br/>
                              </w:r>
                            </w:hyperlink>
                          </w:p>
                        </w:txbxContent>
                      </v:textbox>
                      <w10:wrap type="square" side="right"/>
                    </v:rect>
                  </w:pict>
                </mc:Fallback>
              </mc:AlternateContent>
            </w:r>
          </w:p>
          <w:p>
            <w:pPr>
              <w:pStyle w:val="TableContents"/>
              <w:bidi w:val="0"/>
              <w:spacing w:before="0" w:after="0"/>
              <w:ind w:left="0" w:right="0" w:hanging="0"/>
              <w:jc w:val="left"/>
              <w:rPr/>
            </w:pPr>
            <w:hyperlink w:anchor="tS1GL">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GL">
              <w:r>
                <w:rPr>
                  <w:rStyle w:val="InternetLink"/>
                </w:rPr>
                <w:t xml:space="preserve">A-61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WO">
              <w:r>
                <w:rPr>
                  <w:rStyle w:val="InternetLink"/>
                </w:rPr>
                <w:t xml:space="preserve">Waiver of Jury Trial </w:t>
              </w:r>
            </w:hyperlink>
            <w:r>
              <mc:AlternateContent>
                <mc:Choice Requires="wps">
                  <w:drawing>
                    <wp:anchor behindDoc="0" distT="0" distB="0" distL="457200" distR="0" simplePos="0" locked="0" layoutInCell="1" allowOverlap="1" relativeHeight="1141">
                      <wp:simplePos x="0" y="0"/>
                      <wp:positionH relativeFrom="column">
                        <wp:align>left</wp:align>
                      </wp:positionH>
                      <wp:positionV relativeFrom="line">
                        <wp:posOffset>635</wp:posOffset>
                      </wp:positionV>
                      <wp:extent cx="1066800" cy="350520"/>
                      <wp:effectExtent l="0" t="0" r="0" b="0"/>
                      <wp:wrapSquare wrapText="right"/>
                      <wp:docPr id="1138" name="Frame109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WO">
                                    <w:r>
                                      <w:rPr>
                                        <w:rStyle w:val="InternetLink"/>
                                      </w:rPr>
                                      <w:t>Section 10.11.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WO">
                              <w:r>
                                <w:rPr>
                                  <w:rStyle w:val="InternetLink"/>
                                </w:rPr>
                                <w:t>Section 10.11.</w:t>
                                <w:br/>
                              </w:r>
                            </w:hyperlink>
                          </w:p>
                        </w:txbxContent>
                      </v:textbox>
                      <w10:wrap type="square" side="right"/>
                    </v:rect>
                  </w:pict>
                </mc:Fallback>
              </mc:AlternateContent>
            </w:r>
          </w:p>
          <w:p>
            <w:pPr>
              <w:pStyle w:val="TableContents"/>
              <w:bidi w:val="0"/>
              <w:spacing w:before="0" w:after="0"/>
              <w:ind w:left="0" w:right="0" w:hanging="0"/>
              <w:jc w:val="left"/>
              <w:rPr/>
            </w:pPr>
            <w:hyperlink w:anchor="tS1W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WO">
              <w:r>
                <w:rPr>
                  <w:rStyle w:val="InternetLink"/>
                </w:rPr>
                <w:t xml:space="preserve">A-62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AN">
              <w:r>
                <w:rPr>
                  <w:rStyle w:val="InternetLink"/>
                </w:rPr>
                <w:t xml:space="preserve">Assignment </w:t>
              </w:r>
            </w:hyperlink>
            <w:r>
              <mc:AlternateContent>
                <mc:Choice Requires="wps">
                  <w:drawing>
                    <wp:anchor behindDoc="0" distT="0" distB="0" distL="457200" distR="0" simplePos="0" locked="0" layoutInCell="1" allowOverlap="1" relativeHeight="1142">
                      <wp:simplePos x="0" y="0"/>
                      <wp:positionH relativeFrom="column">
                        <wp:align>left</wp:align>
                      </wp:positionH>
                      <wp:positionV relativeFrom="line">
                        <wp:posOffset>635</wp:posOffset>
                      </wp:positionV>
                      <wp:extent cx="1066800" cy="350520"/>
                      <wp:effectExtent l="0" t="0" r="0" b="0"/>
                      <wp:wrapSquare wrapText="right"/>
                      <wp:docPr id="1139" name="Frame109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AN">
                                    <w:r>
                                      <w:rPr>
                                        <w:rStyle w:val="InternetLink"/>
                                      </w:rPr>
                                      <w:t>Section 10.12.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AN">
                              <w:r>
                                <w:rPr>
                                  <w:rStyle w:val="InternetLink"/>
                                </w:rPr>
                                <w:t>Section 10.12.</w:t>
                                <w:br/>
                              </w:r>
                            </w:hyperlink>
                          </w:p>
                        </w:txbxContent>
                      </v:textbox>
                      <w10:wrap type="square" side="right"/>
                    </v:rect>
                  </w:pict>
                </mc:Fallback>
              </mc:AlternateContent>
            </w:r>
          </w:p>
          <w:p>
            <w:pPr>
              <w:pStyle w:val="TableContents"/>
              <w:bidi w:val="0"/>
              <w:spacing w:before="0" w:after="0"/>
              <w:ind w:left="0" w:right="0" w:hanging="0"/>
              <w:jc w:val="left"/>
              <w:rPr/>
            </w:pPr>
            <w:hyperlink w:anchor="tS1AN">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AN">
              <w:r>
                <w:rPr>
                  <w:rStyle w:val="InternetLink"/>
                </w:rPr>
                <w:t xml:space="preserve">A-62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ER">
              <w:r>
                <w:rPr>
                  <w:rStyle w:val="InternetLink"/>
                </w:rPr>
                <w:t xml:space="preserve">Enforcement; Remedies </w:t>
              </w:r>
            </w:hyperlink>
            <w:r>
              <mc:AlternateContent>
                <mc:Choice Requires="wps">
                  <w:drawing>
                    <wp:anchor behindDoc="0" distT="0" distB="0" distL="457200" distR="0" simplePos="0" locked="0" layoutInCell="1" allowOverlap="1" relativeHeight="1143">
                      <wp:simplePos x="0" y="0"/>
                      <wp:positionH relativeFrom="column">
                        <wp:align>left</wp:align>
                      </wp:positionH>
                      <wp:positionV relativeFrom="line">
                        <wp:posOffset>635</wp:posOffset>
                      </wp:positionV>
                      <wp:extent cx="1066800" cy="350520"/>
                      <wp:effectExtent l="0" t="0" r="0" b="0"/>
                      <wp:wrapSquare wrapText="right"/>
                      <wp:docPr id="1140" name="Frame110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R">
                                    <w:r>
                                      <w:rPr>
                                        <w:rStyle w:val="InternetLink"/>
                                      </w:rPr>
                                      <w:t>Section 10.13.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R">
                              <w:r>
                                <w:rPr>
                                  <w:rStyle w:val="InternetLink"/>
                                </w:rPr>
                                <w:t>Section 10.13.</w:t>
                                <w:br/>
                              </w:r>
                            </w:hyperlink>
                          </w:p>
                        </w:txbxContent>
                      </v:textbox>
                      <w10:wrap type="square" side="right"/>
                    </v:rect>
                  </w:pict>
                </mc:Fallback>
              </mc:AlternateContent>
            </w:r>
          </w:p>
          <w:p>
            <w:pPr>
              <w:pStyle w:val="TableContents"/>
              <w:bidi w:val="0"/>
              <w:spacing w:before="0" w:after="0"/>
              <w:ind w:left="0" w:right="0" w:hanging="0"/>
              <w:jc w:val="left"/>
              <w:rPr/>
            </w:pPr>
            <w:hyperlink w:anchor="tS1ER">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ER">
              <w:r>
                <w:rPr>
                  <w:rStyle w:val="InternetLink"/>
                </w:rPr>
                <w:t xml:space="preserve">A-62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PT">
              <w:r>
                <w:rPr>
                  <w:rStyle w:val="InternetLink"/>
                </w:rPr>
                <w:t xml:space="preserve">Parent Topco Guarantee </w:t>
              </w:r>
            </w:hyperlink>
            <w:r>
              <mc:AlternateContent>
                <mc:Choice Requires="wps">
                  <w:drawing>
                    <wp:anchor behindDoc="0" distT="0" distB="0" distL="457200" distR="0" simplePos="0" locked="0" layoutInCell="1" allowOverlap="1" relativeHeight="1144">
                      <wp:simplePos x="0" y="0"/>
                      <wp:positionH relativeFrom="column">
                        <wp:align>left</wp:align>
                      </wp:positionH>
                      <wp:positionV relativeFrom="line">
                        <wp:posOffset>635</wp:posOffset>
                      </wp:positionV>
                      <wp:extent cx="1066800" cy="350520"/>
                      <wp:effectExtent l="0" t="0" r="0" b="0"/>
                      <wp:wrapSquare wrapText="right"/>
                      <wp:docPr id="1141" name="Frame110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PT">
                                    <w:r>
                                      <w:rPr>
                                        <w:rStyle w:val="InternetLink"/>
                                      </w:rPr>
                                      <w:t>Section 10.14.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PT">
                              <w:r>
                                <w:rPr>
                                  <w:rStyle w:val="InternetLink"/>
                                </w:rPr>
                                <w:t>Section 10.14.</w:t>
                                <w:br/>
                              </w:r>
                            </w:hyperlink>
                          </w:p>
                        </w:txbxContent>
                      </v:textbox>
                      <w10:wrap type="square" side="right"/>
                    </v:rect>
                  </w:pict>
                </mc:Fallback>
              </mc:AlternateContent>
            </w:r>
          </w:p>
          <w:p>
            <w:pPr>
              <w:pStyle w:val="TableContents"/>
              <w:bidi w:val="0"/>
              <w:spacing w:before="0" w:after="0"/>
              <w:ind w:left="0" w:right="0" w:hanging="0"/>
              <w:jc w:val="left"/>
              <w:rPr/>
            </w:pPr>
            <w:hyperlink w:anchor="tS1P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PT">
              <w:r>
                <w:rPr>
                  <w:rStyle w:val="InternetLink"/>
                </w:rPr>
                <w:t xml:space="preserve">A-63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1200" w:right="0" w:hanging="0"/>
              <w:jc w:val="left"/>
              <w:rPr/>
            </w:pPr>
            <w:hyperlink w:anchor="tANA">
              <w:r>
                <w:rPr>
                  <w:rStyle w:val="InternetLink"/>
                </w:rPr>
                <w:t xml:space="preserve">Surviving Company Certificate of Incorporation </w:t>
              </w:r>
            </w:hyperlink>
            <w:r>
              <mc:AlternateContent>
                <mc:Choice Requires="wps">
                  <w:drawing>
                    <wp:anchor behindDoc="0" distT="0" distB="0" distL="0" distR="0" simplePos="0" locked="0" layoutInCell="1" allowOverlap="1" relativeHeight="1145">
                      <wp:simplePos x="0" y="0"/>
                      <wp:positionH relativeFrom="column">
                        <wp:align>left</wp:align>
                      </wp:positionH>
                      <wp:positionV relativeFrom="line">
                        <wp:posOffset>635</wp:posOffset>
                      </wp:positionV>
                      <wp:extent cx="762000" cy="350520"/>
                      <wp:effectExtent l="0" t="0" r="0" b="0"/>
                      <wp:wrapSquare wrapText="right"/>
                      <wp:docPr id="1142" name="Frame110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hyperlink w:anchor="tANA">
                                    <w:r>
                                      <w:rPr>
                                        <w:rStyle w:val="InternetLink"/>
                                        <w:u w:val="single"/>
                                      </w:rPr>
                                      <w:t>Annex A</w:t>
                                    </w:r>
                                  </w:hyperlink>
                                  <w:hyperlink w:anchor="tA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A">
                              <w:r>
                                <w:rPr>
                                  <w:rStyle w:val="InternetLink"/>
                                  <w:u w:val="single"/>
                                </w:rPr>
                                <w:t>Annex A</w:t>
                              </w:r>
                            </w:hyperlink>
                            <w:hyperlink w:anchor="tA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ANA">
              <w:r>
                <w:rPr>
                  <w:rStyle w:val="InternetLink"/>
                </w:rPr>
                <w:t>A-A-1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1200" w:right="0" w:hanging="0"/>
              <w:jc w:val="left"/>
              <w:rPr/>
            </w:pPr>
            <w:hyperlink w:anchor="tANB">
              <w:r>
                <w:rPr>
                  <w:rStyle w:val="InternetLink"/>
                </w:rPr>
                <w:t>Surviving Company Bylaws</w:t>
              </w:r>
            </w:hyperlink>
            <w:r>
              <w:rPr/>
              <w:t xml:space="preserve"> </w:t>
            </w:r>
            <w:r>
              <mc:AlternateContent>
                <mc:Choice Requires="wps">
                  <w:drawing>
                    <wp:anchor behindDoc="0" distT="0" distB="0" distL="0" distR="0" simplePos="0" locked="0" layoutInCell="1" allowOverlap="1" relativeHeight="1146">
                      <wp:simplePos x="0" y="0"/>
                      <wp:positionH relativeFrom="column">
                        <wp:align>left</wp:align>
                      </wp:positionH>
                      <wp:positionV relativeFrom="line">
                        <wp:posOffset>635</wp:posOffset>
                      </wp:positionV>
                      <wp:extent cx="762000" cy="350520"/>
                      <wp:effectExtent l="0" t="0" r="0" b="0"/>
                      <wp:wrapSquare wrapText="right"/>
                      <wp:docPr id="1143" name="Frame110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hyperlink w:anchor="tANB">
                                    <w:r>
                                      <w:rPr>
                                        <w:rStyle w:val="InternetLink"/>
                                        <w:u w:val="single"/>
                                      </w:rPr>
                                      <w:t>Annex B</w:t>
                                    </w:r>
                                  </w:hyperlink>
                                  <w:hyperlink w:anchor="tAN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B">
                              <w:r>
                                <w:rPr>
                                  <w:rStyle w:val="InternetLink"/>
                                  <w:u w:val="single"/>
                                </w:rPr>
                                <w:t>Annex B</w:t>
                              </w:r>
                            </w:hyperlink>
                            <w:hyperlink w:anchor="tAN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ANB">
              <w:r>
                <w:rPr>
                  <w:rStyle w:val="InternetLink"/>
                </w:rPr>
                <w:t>A-B-1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ARI"/>
      <w:bookmarkEnd w:id="190"/>
      <w:r>
        <w:rPr>
          <w:rFonts w:ascii="calibri;arial;sans-serif" w:hAnsi="calibri;arial;sans-serif"/>
          <w:b w:val="false"/>
          <w:i w:val="false"/>
          <w:caps w:val="false"/>
          <w:smallCaps w:val="false"/>
          <w:color w:val="000000"/>
          <w:sz w:val="16"/>
        </w:rPr>
        <w:t>​</w:t>
      </w:r>
      <w:bookmarkStart w:id="191" w:name="tS1DF"/>
      <w:bookmarkEnd w:id="19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AGREEMENT AND PLAN OF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This AGREEMENT AND PLAN OF MERGER (this “</w:t>
      </w:r>
      <w:r>
        <w:rPr>
          <w:rFonts w:ascii="Arial;Helvetica;sans-serif" w:hAnsi="Arial;Helvetica;sans-serif"/>
          <w:b w:val="false"/>
          <w:i w:val="false"/>
          <w:caps w:val="false"/>
          <w:smallCaps w:val="false"/>
          <w:color w:val="000000"/>
          <w:sz w:val="20"/>
          <w:u w:val="single"/>
        </w:rPr>
        <w:t>Agreement</w:t>
      </w:r>
      <w:r>
        <w:rPr>
          <w:rFonts w:ascii="Arial;Helvetica;sans-serif" w:hAnsi="Arial;Helvetica;sans-serif"/>
          <w:b w:val="false"/>
          <w:i w:val="false"/>
          <w:caps w:val="false"/>
          <w:smallCaps w:val="false"/>
          <w:color w:val="000000"/>
          <w:sz w:val="20"/>
        </w:rPr>
        <w:t>”), dated as of May 16, 2026, is by and among MMS USA Holdings, Inc., , a Delaware corporation (“</w:t>
      </w:r>
      <w:r>
        <w:rPr>
          <w:rFonts w:ascii="Arial;Helvetica;sans-serif" w:hAnsi="Arial;Helvetica;sans-serif"/>
          <w:b w:val="false"/>
          <w:i w:val="false"/>
          <w:caps w:val="false"/>
          <w:smallCaps w:val="false"/>
          <w:color w:val="000000"/>
          <w:sz w:val="20"/>
          <w:u w:val="single"/>
        </w:rPr>
        <w:t>Parent</w:t>
      </w:r>
      <w:r>
        <w:rPr>
          <w:rFonts w:ascii="Arial;Helvetica;sans-serif" w:hAnsi="Arial;Helvetica;sans-serif"/>
          <w:b w:val="false"/>
          <w:i w:val="false"/>
          <w:caps w:val="false"/>
          <w:smallCaps w:val="false"/>
          <w:color w:val="000000"/>
          <w:sz w:val="20"/>
        </w:rPr>
        <w:t>”), Covey Merger Sub, Inc., a Delaware corporation and a wholly owned direct Subsidiary of Parent (“</w:t>
      </w:r>
      <w:r>
        <w:rPr>
          <w:rFonts w:ascii="Arial;Helvetica;sans-serif" w:hAnsi="Arial;Helvetica;sans-serif"/>
          <w:b w:val="false"/>
          <w:i w:val="false"/>
          <w:caps w:val="false"/>
          <w:smallCaps w:val="false"/>
          <w:color w:val="000000"/>
          <w:sz w:val="20"/>
          <w:u w:val="single"/>
        </w:rPr>
        <w:t>Merger Sub</w:t>
      </w:r>
      <w:r>
        <w:rPr>
          <w:rFonts w:ascii="Arial;Helvetica;sans-serif" w:hAnsi="Arial;Helvetica;sans-serif"/>
          <w:b w:val="false"/>
          <w:i w:val="false"/>
          <w:caps w:val="false"/>
          <w:smallCaps w:val="false"/>
          <w:color w:val="000000"/>
          <w:sz w:val="20"/>
        </w:rPr>
        <w:t>”), LiveRamp Holdings, Inc, a Delaware corporation (the “</w:t>
      </w:r>
      <w:r>
        <w:rPr>
          <w:rFonts w:ascii="Arial;Helvetica;sans-serif" w:hAnsi="Arial;Helvetica;sans-serif"/>
          <w:b w:val="false"/>
          <w:i w:val="false"/>
          <w:caps w:val="false"/>
          <w:smallCaps w:val="false"/>
          <w:color w:val="000000"/>
          <w:sz w:val="20"/>
          <w:u w:val="single"/>
        </w:rPr>
        <w:t>Company</w:t>
      </w:r>
      <w:r>
        <w:rPr>
          <w:rFonts w:ascii="Arial;Helvetica;sans-serif" w:hAnsi="Arial;Helvetica;sans-serif"/>
          <w:b w:val="false"/>
          <w:i w:val="false"/>
          <w:caps w:val="false"/>
          <w:smallCaps w:val="false"/>
          <w:color w:val="000000"/>
          <w:sz w:val="20"/>
        </w:rPr>
        <w:t xml:space="preserve">”), and solely for the purposes of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hereof, Publicis Groupe S.A., a French société anonyme (“</w:t>
      </w:r>
      <w:r>
        <w:rPr>
          <w:rFonts w:ascii="Arial;Helvetica;sans-serif" w:hAnsi="Arial;Helvetica;sans-serif"/>
          <w:b w:val="false"/>
          <w:i w:val="false"/>
          <w:caps w:val="false"/>
          <w:smallCaps w:val="false"/>
          <w:color w:val="000000"/>
          <w:sz w:val="20"/>
          <w:u w:val="single"/>
        </w:rPr>
        <w:t>Parent Topco</w:t>
      </w:r>
      <w:r>
        <w:rPr>
          <w:rFonts w:ascii="Arial;Helvetica;sans-serif" w:hAnsi="Arial;Helvetica;sans-serif"/>
          <w:b w:val="false"/>
          <w:i w:val="false"/>
          <w:caps w:val="false"/>
          <w:smallCaps w:val="false"/>
          <w:color w:val="000000"/>
          <w:sz w:val="20"/>
        </w:rPr>
        <w:t>”). Parent, Merger Sub and the Company are each sometimes referred to herein as a “</w:t>
      </w:r>
      <w:r>
        <w:rPr>
          <w:rFonts w:ascii="Arial;Helvetica;sans-serif" w:hAnsi="Arial;Helvetica;sans-serif"/>
          <w:b w:val="false"/>
          <w:i w:val="false"/>
          <w:caps w:val="false"/>
          <w:smallCaps w:val="false"/>
          <w:color w:val="000000"/>
          <w:sz w:val="20"/>
          <w:u w:val="single"/>
        </w:rPr>
        <w:t>Party</w:t>
      </w:r>
      <w:r>
        <w:rPr>
          <w:rFonts w:ascii="Arial;Helvetica;sans-serif" w:hAnsi="Arial;Helvetica;sans-serif"/>
          <w:b w:val="false"/>
          <w:i w:val="false"/>
          <w:caps w:val="false"/>
          <w:smallCaps w:val="false"/>
          <w:color w:val="000000"/>
          <w:sz w:val="20"/>
        </w:rPr>
        <w:t>” and collectively, as the “</w:t>
      </w:r>
      <w:r>
        <w:rPr>
          <w:rFonts w:ascii="Arial;Helvetica;sans-serif" w:hAnsi="Arial;Helvetica;sans-serif"/>
          <w:b w:val="false"/>
          <w:i w:val="false"/>
          <w:caps w:val="false"/>
          <w:smallCaps w:val="false"/>
          <w:color w:val="000000"/>
          <w:sz w:val="20"/>
          <w:u w:val="single"/>
        </w:rPr>
        <w:t>Parties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RECITALS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it is proposed that the Parties effect the acquisition of the Company by Parent through the merger of Merger Sub with and into the Company, with the Company being the surviving entity (the “</w:t>
      </w:r>
      <w:r>
        <w:rPr>
          <w:rFonts w:ascii="Arial;Helvetica;sans-serif" w:hAnsi="Arial;Helvetica;sans-serif"/>
          <w:b w:val="false"/>
          <w:i w:val="false"/>
          <w:caps w:val="false"/>
          <w:smallCaps w:val="false"/>
          <w:color w:val="000000"/>
          <w:sz w:val="20"/>
          <w:u w:val="single"/>
        </w:rPr>
        <w:t>Merger</w:t>
      </w:r>
      <w:r>
        <w:rPr>
          <w:rFonts w:ascii="Arial;Helvetica;sans-serif" w:hAnsi="Arial;Helvetica;sans-serif"/>
          <w:b w:val="false"/>
          <w:i w:val="false"/>
          <w:caps w:val="false"/>
          <w:smallCaps w:val="false"/>
          <w:color w:val="000000"/>
          <w:sz w:val="20"/>
        </w:rPr>
        <w:t>”), upon the terms and subject to the conditions of this Agreement and in accordance with the applicable provisions of the General Corporation Law of the State of Delaware (the “</w:t>
      </w:r>
      <w:r>
        <w:rPr>
          <w:rFonts w:ascii="Arial;Helvetica;sans-serif" w:hAnsi="Arial;Helvetica;sans-serif"/>
          <w:b w:val="false"/>
          <w:i w:val="false"/>
          <w:caps w:val="false"/>
          <w:smallCaps w:val="false"/>
          <w:color w:val="000000"/>
          <w:sz w:val="20"/>
          <w:u w:val="single"/>
        </w:rPr>
        <w:t>DGCL</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in connection with the Merger, each share of common stock, $0.10 par value per share, of the Company (“</w:t>
      </w:r>
      <w:r>
        <w:rPr>
          <w:rFonts w:ascii="Arial;Helvetica;sans-serif" w:hAnsi="Arial;Helvetica;sans-serif"/>
          <w:b w:val="false"/>
          <w:i w:val="false"/>
          <w:caps w:val="false"/>
          <w:smallCaps w:val="false"/>
          <w:color w:val="000000"/>
          <w:sz w:val="20"/>
          <w:u w:val="single"/>
        </w:rPr>
        <w:t>Company Common Stock</w:t>
      </w:r>
      <w:r>
        <w:rPr>
          <w:rFonts w:ascii="Arial;Helvetica;sans-serif" w:hAnsi="Arial;Helvetica;sans-serif"/>
          <w:b w:val="false"/>
          <w:i w:val="false"/>
          <w:caps w:val="false"/>
          <w:smallCaps w:val="false"/>
          <w:color w:val="000000"/>
          <w:sz w:val="20"/>
        </w:rPr>
        <w:t>”) issued and outstanding immediately prior to the Effective Time (other than any Dissenting Shares, Cancelled Shares or Converted Shares) shall be automatically converted into the right to receive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board of directors of the Company (the “</w:t>
      </w:r>
      <w:r>
        <w:rPr>
          <w:rFonts w:ascii="Arial;Helvetica;sans-serif" w:hAnsi="Arial;Helvetica;sans-serif"/>
          <w:b w:val="false"/>
          <w:i w:val="false"/>
          <w:caps w:val="false"/>
          <w:smallCaps w:val="false"/>
          <w:color w:val="000000"/>
          <w:sz w:val="20"/>
          <w:u w:val="single"/>
        </w:rPr>
        <w:t>Company Board of Directors</w:t>
      </w:r>
      <w:r>
        <w:rPr>
          <w:rFonts w:ascii="Arial;Helvetica;sans-serif" w:hAnsi="Arial;Helvetica;sans-serif"/>
          <w:b w:val="false"/>
          <w:i w:val="false"/>
          <w:caps w:val="false"/>
          <w:smallCaps w:val="false"/>
          <w:color w:val="000000"/>
          <w:sz w:val="20"/>
        </w:rPr>
        <w:t>”) unanimously (i) determined that the terms of this Agreement and the transactions contemplated hereby, including the Merger (the “</w:t>
      </w:r>
      <w:r>
        <w:rPr>
          <w:rFonts w:ascii="Arial;Helvetica;sans-serif" w:hAnsi="Arial;Helvetica;sans-serif"/>
          <w:b w:val="false"/>
          <w:i w:val="false"/>
          <w:caps w:val="false"/>
          <w:smallCaps w:val="false"/>
          <w:color w:val="000000"/>
          <w:sz w:val="20"/>
          <w:u w:val="single"/>
        </w:rPr>
        <w:t>Transactions</w:t>
      </w:r>
      <w:r>
        <w:rPr>
          <w:rFonts w:ascii="Arial;Helvetica;sans-serif" w:hAnsi="Arial;Helvetica;sans-serif"/>
          <w:b w:val="false"/>
          <w:i w:val="false"/>
          <w:caps w:val="false"/>
          <w:smallCaps w:val="false"/>
          <w:color w:val="000000"/>
          <w:sz w:val="20"/>
        </w:rPr>
        <w:t>”), are fair to, and in the best interests of, the Company and its stockholders (the “</w:t>
      </w:r>
      <w:r>
        <w:rPr>
          <w:rFonts w:ascii="Arial;Helvetica;sans-serif" w:hAnsi="Arial;Helvetica;sans-serif"/>
          <w:b w:val="false"/>
          <w:i w:val="false"/>
          <w:caps w:val="false"/>
          <w:smallCaps w:val="false"/>
          <w:color w:val="000000"/>
          <w:sz w:val="20"/>
          <w:u w:val="single"/>
        </w:rPr>
        <w:t>Company Stockholders</w:t>
      </w:r>
      <w:r>
        <w:rPr>
          <w:rFonts w:ascii="Arial;Helvetica;sans-serif" w:hAnsi="Arial;Helvetica;sans-serif"/>
          <w:b w:val="false"/>
          <w:i w:val="false"/>
          <w:caps w:val="false"/>
          <w:smallCaps w:val="false"/>
          <w:color w:val="000000"/>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(the “</w:t>
      </w:r>
      <w:r>
        <w:rPr>
          <w:rFonts w:ascii="Arial;Helvetica;sans-serif" w:hAnsi="Arial;Helvetica;sans-serif"/>
          <w:b w:val="false"/>
          <w:i w:val="false"/>
          <w:caps w:val="false"/>
          <w:smallCaps w:val="false"/>
          <w:color w:val="000000"/>
          <w:sz w:val="20"/>
          <w:u w:val="single"/>
        </w:rPr>
        <w:t>Company Board Recommendation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board of directors of Parent, the board of directors of Merger Sub, and the sole stockholder of Merger Sub, have unanimously approved this Agreement and determined that this Agreement and the Transactions, including the Merger, are advisable and fair to, and in the best interests of, Parent and Merger Sub and their respective stockholder(s);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Parties desire to make certain representations, warranties, covenants and agreements in connection with the Merger and also prescribe various terms of, and conditions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NOW, THEREFORE, in consideration of the mutual covenants and agreements contained in this Agreement and for other good and valuable consideration, the receipt and adequacy of which are hereby acknowledged, the Parties agree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CERTAIN DEFINITIONS</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1.1. </w:t>
      </w:r>
      <w:r>
        <w:rPr>
          <w:rFonts w:ascii="Arial;Helvetica;sans-serif" w:hAnsi="Arial;Helvetica;sans-serif"/>
          <w:b w:val="false"/>
          <w:i w:val="false"/>
          <w:caps w:val="false"/>
          <w:smallCaps w:val="false"/>
          <w:color w:val="000000"/>
          <w:sz w:val="20"/>
          <w:u w:val="single"/>
        </w:rPr>
        <w:t>Definitions</w:t>
      </w:r>
      <w:r>
        <w:rPr>
          <w:rFonts w:ascii="Arial;Helvetica;sans-serif" w:hAnsi="Arial;Helvetica;sans-serif"/>
          <w:b w:val="false"/>
          <w:i w:val="false"/>
          <w:caps w:val="false"/>
          <w:smallCaps w:val="false"/>
          <w:color w:val="000000"/>
          <w:sz w:val="20"/>
        </w:rPr>
        <w:t>.  For purposes of this Agreement, the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Acceptable Confidentiality Agreement</w:t>
      </w:r>
      <w:r>
        <w:rPr>
          <w:rFonts w:ascii="Arial;Helvetica;sans-serif" w:hAnsi="Arial;Helvetica;sans-serif"/>
          <w:b w:val="false"/>
          <w:i w:val="false"/>
          <w:caps w:val="false"/>
          <w:smallCaps w:val="false"/>
          <w:color w:val="000000"/>
          <w:sz w:val="20"/>
        </w:rPr>
        <w:t>” means a confidentiality agreement entered into after the date hereof that contains terms that (a) are no less favorable in the aggregate to the Company than those contained in the Confidentiality Agreement (it being understood that such confidentiality agreement need not contain a “standstill” provision or any other provision that would have a similar effect) and (b) do not in any way restrict the Company or its Representatives from complying with its obligations under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Acquisition Proposal</w:t>
      </w:r>
      <w:r>
        <w:rPr>
          <w:rFonts w:ascii="Arial;Helvetica;sans-serif" w:hAnsi="Arial;Helvetica;sans-serif"/>
          <w:b w:val="false"/>
          <w:i w:val="false"/>
          <w:caps w:val="false"/>
          <w:smallCaps w:val="false"/>
          <w:color w:val="000000"/>
          <w:sz w:val="20"/>
        </w:rPr>
        <w:t xml:space="preserve">” means any offer, proposal or indication of interest from a Person (as such term is used in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(other than a proposal or offer by Parent or any Parent Subsidiary) at any time relating to any transaction or series of related transactions (other than the Transactions) involving: (a) any acquisition or purchase by any Person, directly or indirectly, of more than fifteen percent (15%) of any class of outstanding voting or equity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Company Stockholders immediately preceding such transaction hold less than eighty-five percent (85%) of the equity interests in the surviving or resulting entity of such transaction immediately following the consummation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AI Systems</w:t>
      </w:r>
      <w:r>
        <w:rPr>
          <w:rFonts w:ascii="Arial;Helvetica;sans-serif" w:hAnsi="Arial;Helvetica;sans-serif"/>
          <w:b w:val="false"/>
          <w:i w:val="false"/>
          <w:caps w:val="false"/>
          <w:smallCaps w:val="false"/>
          <w:color w:val="000000"/>
          <w:sz w:val="20"/>
        </w:rPr>
        <w:t>” means a machine- or Software-based system that operates with varying levels of autonomy and that may exhibit adaptiveness after development, that, for explicit or implicit objectives, infers, from the input it receives, how to generate outputs such as predictions, content, recommendations or decisions.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Anti-Corruption Law</w:t>
      </w:r>
      <w:r>
        <w:rPr>
          <w:rFonts w:ascii="Arial;Helvetica;sans-serif" w:hAnsi="Arial;Helvetica;sans-serif"/>
          <w:b w:val="false"/>
          <w:i w:val="false"/>
          <w:caps w:val="false"/>
          <w:smallCaps w:val="false"/>
          <w:color w:val="000000"/>
          <w:sz w:val="20"/>
        </w:rPr>
        <w:t>” means any Law related to combating bribery and corruption, including the OECD Convention on Combating Bribery of Foreign Public Officials in International Business Transactions, the UN Convention Against Corruption and any implementing legislation promulgated pursuant to such Conventions, the Foreign Corrupt Practices Act of 1977 and the UK Bribery Act 2010.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Antitrust Laws</w:t>
      </w:r>
      <w:r>
        <w:rPr>
          <w:rFonts w:ascii="Arial;Helvetica;sans-serif" w:hAnsi="Arial;Helvetica;sans-serif"/>
          <w:b w:val="false"/>
          <w:i w:val="false"/>
          <w:caps w:val="false"/>
          <w:smallCaps w:val="false"/>
          <w:color w:val="000000"/>
          <w:sz w:val="20"/>
        </w:rPr>
        <w:t>” means any applicable supranational, national, federal, state, county, local or foreign antitrust or competition Laws that are designed or intended to prohibit, restrict or regulate actions that may have the purpose or effect of creating a monopoly or restraining trade or lessening competition through merger or acquisition or otherwise, including the HSR Act, the Sherman Act, the Clayton Act and the Federal Trade Commission Act, in each case, as amended, and other similar antitrust or competition Laws of any jurisdiction other than the United States.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Business Day</w:t>
      </w:r>
      <w:r>
        <w:rPr>
          <w:rFonts w:ascii="Arial;Helvetica;sans-serif" w:hAnsi="Arial;Helvetica;sans-serif"/>
          <w:b w:val="false"/>
          <w:i w:val="false"/>
          <w:caps w:val="false"/>
          <w:smallCaps w:val="false"/>
          <w:color w:val="000000"/>
          <w:sz w:val="20"/>
        </w:rPr>
        <w:t>” means any day, other than a Saturday, Sunday or another day on which commercial banking institutions in New York, New York or San Francisco, California are authorized or required by Law to be closed.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w:t>
      </w:r>
      <w:r>
        <w:rPr>
          <w:rFonts w:ascii="Arial;Helvetica;sans-serif" w:hAnsi="Arial;Helvetica;sans-serif"/>
          <w:b w:val="false"/>
          <w:i w:val="false"/>
          <w:caps w:val="false"/>
          <w:smallCaps w:val="false"/>
          <w:color w:val="000000"/>
          <w:sz w:val="20"/>
        </w:rPr>
        <w:t>” means the Committee on Foreign Investment in the United States, or (as the context may require) any member agency thereof acting in such capacity.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Approval</w:t>
      </w:r>
      <w:r>
        <w:rPr>
          <w:rFonts w:ascii="Arial;Helvetica;sans-serif" w:hAnsi="Arial;Helvetica;sans-serif"/>
          <w:b w:val="false"/>
          <w:i w:val="false"/>
          <w:caps w:val="false"/>
          <w:smallCaps w:val="false"/>
          <w:color w:val="000000"/>
          <w:sz w:val="20"/>
        </w:rPr>
        <w:t>” means (a) the Company and Parent have received written notice from CFIUS that CFIUS has determined that the transactions contemplated by this Agreement and notified to CFIUS are not “covered transactions” and are not subject to review under Section 721; (b) the Company and Parent have received written notice from CFIUS that it has concluded all action under Section 721 with respect to the transactions contemplated by this Agreement and notified to CFIUS and has determined that there are no unresolved national security concerns; or (c) if CFIUS has sent a report (the “</w:t>
      </w:r>
      <w:r>
        <w:rPr>
          <w:rFonts w:ascii="Arial;Helvetica;sans-serif" w:hAnsi="Arial;Helvetica;sans-serif"/>
          <w:b w:val="false"/>
          <w:i w:val="false"/>
          <w:caps w:val="false"/>
          <w:smallCaps w:val="false"/>
          <w:color w:val="000000"/>
          <w:sz w:val="20"/>
          <w:u w:val="single"/>
        </w:rPr>
        <w:t>CFIUS Report</w:t>
      </w:r>
      <w:r>
        <w:rPr>
          <w:rFonts w:ascii="Arial;Helvetica;sans-serif" w:hAnsi="Arial;Helvetica;sans-serif"/>
          <w:b w:val="false"/>
          <w:i w:val="false"/>
          <w:caps w:val="false"/>
          <w:smallCaps w:val="false"/>
          <w:color w:val="000000"/>
          <w:sz w:val="20"/>
        </w:rPr>
        <w:t>”) to the President of the United States (the “</w:t>
      </w:r>
      <w:r>
        <w:rPr>
          <w:rFonts w:ascii="Arial;Helvetica;sans-serif" w:hAnsi="Arial;Helvetica;sans-serif"/>
          <w:b w:val="false"/>
          <w:i w:val="false"/>
          <w:caps w:val="false"/>
          <w:smallCaps w:val="false"/>
          <w:color w:val="000000"/>
          <w:sz w:val="20"/>
          <w:u w:val="single"/>
        </w:rPr>
        <w:t>President</w:t>
      </w:r>
      <w:r>
        <w:rPr>
          <w:rFonts w:ascii="Arial;Helvetica;sans-serif" w:hAnsi="Arial;Helvetica;sans-serif"/>
          <w:b w:val="false"/>
          <w:i w:val="false"/>
          <w:caps w:val="false"/>
          <w:smallCaps w:val="false"/>
          <w:color w:val="000000"/>
          <w:sz w:val="20"/>
        </w:rPr>
        <w:t>”) requesting the President’s decision on the CFIUS Notice, then the President has (i) announced a decision not to take any action to suspend or prohibit the transactions contemplated by this Agreement or (ii) not taken any action to suspend or prohibit the transactions contemplated by this Agreement after fifteen (15) days from the date of receipt of the CFIUS Report.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Notice</w:t>
      </w:r>
      <w:r>
        <w:rPr>
          <w:rFonts w:ascii="Arial;Helvetica;sans-serif" w:hAnsi="Arial;Helvetica;sans-serif"/>
          <w:b w:val="false"/>
          <w:i w:val="false"/>
          <w:caps w:val="false"/>
          <w:smallCaps w:val="false"/>
          <w:color w:val="000000"/>
          <w:sz w:val="20"/>
        </w:rPr>
        <w:t xml:space="preserve">” means a joint voluntary notice with respect to the transactions contemplated by this Agreement submitted to CFIUS by the Company and Parent pursuant to 31 C.F.R. Part 800 Subpart E and, for purposes of </w:t>
      </w:r>
      <w:r>
        <w:rPr>
          <w:rFonts w:ascii="Arial;Helvetica;sans-serif" w:hAnsi="Arial;Helvetica;sans-serif"/>
          <w:b w:val="false"/>
          <w:i w:val="false"/>
          <w:caps w:val="false"/>
          <w:smallCaps w:val="false"/>
          <w:color w:val="000000"/>
          <w:sz w:val="20"/>
          <w:u w:val="single"/>
        </w:rPr>
        <w:t>Section 5.11</w:t>
      </w:r>
      <w:r>
        <w:rPr>
          <w:rFonts w:ascii="Arial;Helvetica;sans-serif" w:hAnsi="Arial;Helvetica;sans-serif"/>
          <w:b w:val="false"/>
          <w:i w:val="false"/>
          <w:caps w:val="false"/>
          <w:smallCaps w:val="false"/>
          <w:color w:val="000000"/>
          <w:sz w:val="20"/>
        </w:rPr>
        <w:t xml:space="preserve"> only, shall mean any mandatory declaration submitted to CFIUS pursuant to 31 C.F.R. Section 800.401, any voluntary declaration submitted to CFIUS pursuant to 31 C.F.R. Section 800.402 and any joint notice submitted to CFIUS pursuant to 31 C.F.R. Part 800 Subpart 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Turndown</w:t>
      </w:r>
      <w:r>
        <w:rPr>
          <w:rFonts w:ascii="Arial;Helvetica;sans-serif" w:hAnsi="Arial;Helvetica;sans-serif"/>
          <w:b w:val="false"/>
          <w:i w:val="false"/>
          <w:caps w:val="false"/>
          <w:smallCaps w:val="false"/>
          <w:color w:val="000000"/>
          <w:sz w:val="20"/>
        </w:rPr>
        <w:t>” means either that (a) CFIUS notifies Parent and the Company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Code</w:t>
      </w:r>
      <w:r>
        <w:rPr>
          <w:rFonts w:ascii="Arial;Helvetica;sans-serif" w:hAnsi="Arial;Helvetica;sans-serif"/>
          <w:b w:val="false"/>
          <w:i w:val="false"/>
          <w:caps w:val="false"/>
          <w:smallCaps w:val="false"/>
          <w:color w:val="000000"/>
          <w:sz w:val="20"/>
        </w:rPr>
        <w:t>” means the Internal Revenue Code of 1986,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Benefit Plan</w:t>
      </w:r>
      <w:r>
        <w:rPr>
          <w:rFonts w:ascii="Arial;Helvetica;sans-serif" w:hAnsi="Arial;Helvetica;sans-serif"/>
          <w:b w:val="false"/>
          <w:i w:val="false"/>
          <w:caps w:val="false"/>
          <w:smallCaps w:val="false"/>
          <w:color w:val="000000"/>
          <w:sz w:val="20"/>
        </w:rPr>
        <w:t xml:space="preserve">” means each “employee benefit plan” ​(as defined in Section 3(3) of ERISA), whether or not subject to ERISA, and each bonus, stock, stock purchase, stock option or other equity or equity-based compensation arrangement or plan, incentive compensation, deferred compensation, retirement or supplemental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retirement, severance, termination pay, employment, consulting, change-in-control, retention, collective bargaining, profit sharing, pension, retirement, vacation, cafeteria, dependent care, medical care, death and disability benefit, flexible benefits, supplemental unemployment benefit, employee assistance program, education or tuition assistance program, and each insurance and other fringe or employee benefit plan, program or arrangement, in each case, (a) that is sponsored, maintained, entered into, contributed to or required to be contributed to by the Company or any Company Subsidiary, (b) for the benefit of current or former employees, directors, individual consultants or other individual service providers (or any dependent or beneficiary thereof) of the Company or any Company Subsidiary or (c) with respect to which the Company or any Company Subsidiary has or may have any obligation or liability (whether actual or contingent), other than any plan to which the Company or any Company Subsidiary contributes (or has an obligation to contribute) pursuant to applicable Law and that is sponsored or maintained by a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Bylaws</w:t>
      </w:r>
      <w:r>
        <w:rPr>
          <w:rFonts w:ascii="Arial;Helvetica;sans-serif" w:hAnsi="Arial;Helvetica;sans-serif"/>
          <w:b w:val="false"/>
          <w:i w:val="false"/>
          <w:caps w:val="false"/>
          <w:smallCaps w:val="false"/>
          <w:color w:val="000000"/>
          <w:sz w:val="20"/>
        </w:rPr>
        <w:t>” means the bylaws of the Company as in effect on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Certificate</w:t>
      </w:r>
      <w:r>
        <w:rPr>
          <w:rFonts w:ascii="Arial;Helvetica;sans-serif" w:hAnsi="Arial;Helvetica;sans-serif"/>
          <w:b w:val="false"/>
          <w:i w:val="false"/>
          <w:caps w:val="false"/>
          <w:smallCaps w:val="false"/>
          <w:color w:val="000000"/>
          <w:sz w:val="20"/>
        </w:rPr>
        <w:t>” means the Certificate of Incorporation of the Company, as amended and as in effect on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Equity Awards</w:t>
      </w:r>
      <w:r>
        <w:rPr>
          <w:rFonts w:ascii="Arial;Helvetica;sans-serif" w:hAnsi="Arial;Helvetica;sans-serif"/>
          <w:b w:val="false"/>
          <w:i w:val="false"/>
          <w:caps w:val="false"/>
          <w:smallCaps w:val="false"/>
          <w:color w:val="000000"/>
          <w:sz w:val="20"/>
        </w:rPr>
        <w:t>” means the Company Options, Company PSU Awards, Company RSU Awards and Company Restricted Stock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Equity Plans</w:t>
      </w:r>
      <w:r>
        <w:rPr>
          <w:rFonts w:ascii="Arial;Helvetica;sans-serif" w:hAnsi="Arial;Helvetica;sans-serif"/>
          <w:b w:val="false"/>
          <w:i w:val="false"/>
          <w:caps w:val="false"/>
          <w:smallCaps w:val="false"/>
          <w:color w:val="000000"/>
          <w:sz w:val="20"/>
        </w:rPr>
        <w:t>” means the Company’s Amended and Restated 2005 Equity Compensation Plan and the Habu, Inc. 2018 Stock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ESPP</w:t>
      </w:r>
      <w:r>
        <w:rPr>
          <w:rFonts w:ascii="Arial;Helvetica;sans-serif" w:hAnsi="Arial;Helvetica;sans-serif"/>
          <w:b w:val="false"/>
          <w:i w:val="false"/>
          <w:caps w:val="false"/>
          <w:smallCaps w:val="false"/>
          <w:color w:val="000000"/>
          <w:sz w:val="20"/>
        </w:rPr>
        <w:t>” means the Company’s Employee Stock Purchase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Governing Documents</w:t>
      </w:r>
      <w:r>
        <w:rPr>
          <w:rFonts w:ascii="Arial;Helvetica;sans-serif" w:hAnsi="Arial;Helvetica;sans-serif"/>
          <w:b w:val="false"/>
          <w:i w:val="false"/>
          <w:caps w:val="false"/>
          <w:smallCaps w:val="false"/>
          <w:color w:val="000000"/>
          <w:sz w:val="20"/>
        </w:rPr>
        <w:t>” means the Company Bylaws and the Company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IP</w:t>
      </w:r>
      <w:r>
        <w:rPr>
          <w:rFonts w:ascii="Arial;Helvetica;sans-serif" w:hAnsi="Arial;Helvetica;sans-serif"/>
          <w:b w:val="false"/>
          <w:i w:val="false"/>
          <w:caps w:val="false"/>
          <w:smallCaps w:val="false"/>
          <w:color w:val="000000"/>
          <w:sz w:val="20"/>
        </w:rPr>
        <w:t>” means all Intellectual Property owned or purported to be owned by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IT</w:t>
      </w:r>
      <w:r>
        <w:rPr>
          <w:rFonts w:ascii="Arial;Helvetica;sans-serif" w:hAnsi="Arial;Helvetica;sans-serif"/>
          <w:b w:val="false"/>
          <w:i w:val="false"/>
          <w:caps w:val="false"/>
          <w:smallCaps w:val="false"/>
          <w:color w:val="000000"/>
          <w:sz w:val="20"/>
        </w:rPr>
        <w:t>” means all technology devices, computer systems (including computers, screens, servers, workstations, routers, hubs, switches, networks, data communication lines and hardware), Software, telecommunications systems and all other information technology assets, infrastructure, and systems owned, used or held for use by the Company or any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Material Adverse Effect</w:t>
      </w:r>
      <w:r>
        <w:rPr>
          <w:rFonts w:ascii="Arial;Helvetica;sans-serif" w:hAnsi="Arial;Helvetica;sans-serif"/>
          <w:b w:val="false"/>
          <w:i w:val="false"/>
          <w:caps w:val="false"/>
          <w:smallCaps w:val="false"/>
          <w:color w:val="000000"/>
          <w:sz w:val="20"/>
        </w:rPr>
        <w:t xml:space="preserve">” means any Effect that, individually or in the aggregate, has had or would reasonably be expected to have a material adverse effect on (1) the financial condition, business, assets, liabilities or operations of the Company and the Company Subsidiaries, taken as a whole or (2) the ability of the Company to consummate the Transactions, including the Merger, prior to the Outside Date;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solely for purposes of clause (1),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 (a) any changes after the date hereof in general United States or global economic conditions, including any changes affecting financial, credit, foreign exchange or capital market conditions, (b) any changes after the date hereof in general conditions in any industry or industries or markets in which the Company and the Company Subsidiaries operate, (c) any changes after the date hereof in general political or financial conditions or markets (including changes in interest rates, exchange rates, stock, bond and/or debt prices, or newly introduced tariffs or changes to existing tariffs), (d) any changes after the date hereof in GAAP or other applicable national or international accounting standards, or in the accounting rules and regulations of the SEC, or in any official interpretation of the foregoing, (e) any changes after the date hereof in applicable Law or the official interpretation thereof by Governmental Entities, (f) any decrease or decline in the market price or trading volume of the Company Common Stock or any failure by the Company to meet any internal or published projections, estimates or expectations of the Company’s revenue, earnings or other financial performance or results of operations for any period (it being understood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(g) changes in the Company’s credit rating (it being understood that the facts or occurrences giving rise or contributing to such changes that are not otherwise excluded from this definition of a “Company Material Adverse Effect” may be taken into account for the purpose of determining whether a Company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Material Adverse Effect exists or has occurred or is reasonably expected to exist or occur), (h) any changes after the date hereof in geopolitical conditions, acts of terrorism (including cyberterrorism) or sabotage, war (whether or not declared), the commencement, continuation or escalation of a war, acts of armed hostility, weather conditions, natural disasters or epidemics, pandemics or other outbreak of illness or public health event (whether human or animal), or other similar force majeure events, including any material worsening of such conditions threatened or existing as of the date hereof, (i) the execution and public announcement of this Agreement or the Transactions, including the identity of Parent or its affiliates, the pendency or consummation of the Transactions, and the impact thereof on the relationships of the Company with its officers and other employees, customers, suppliers, distributors or other business partners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this clause (i) shall not apply to any representation or warranty to the extent the purpose of such representation or warranty is to address the pendency of or consequences resulting from the execution and delivery of this Agreement or the consummation of the Transactions), (j) any action or inaction which is expressly required by the terms of this Agreement or which is taken or not taken at the express written request of Parent, (k) any proceeding brought or threatened by stockholders of the Company (including on behalf of the Company) asserting allegations of breach of fiduciary duty relating to this Agreement or violations of securities Laws in connection with the Proxy Statement or any other document required to be filed by the Company with the SEC or required to be distributed or otherwise disseminated to the Company Stockholders in connection with the Transactions, and (l) the failure of Parent to consent to any of the actions proscribed in </w:t>
      </w:r>
      <w:r>
        <w:rPr>
          <w:rFonts w:ascii="Arial;Helvetica;sans-serif" w:hAnsi="Arial;Helvetica;sans-serif"/>
          <w:b w:val="false"/>
          <w:i w:val="false"/>
          <w:caps w:val="false"/>
          <w:smallCaps w:val="false"/>
          <w:color w:val="000000"/>
          <w:sz w:val="20"/>
          <w:u w:val="single"/>
        </w:rPr>
        <w:t>Section 6.1</w:t>
      </w:r>
      <w:r>
        <w:rPr>
          <w:rFonts w:ascii="Arial;Helvetica;sans-serif" w:hAnsi="Arial;Helvetica;sans-serif"/>
          <w:b w:val="false"/>
          <w:i w:val="false"/>
          <w:caps w:val="false"/>
          <w:smallCaps w:val="false"/>
          <w:color w:val="000000"/>
          <w:sz w:val="20"/>
        </w:rPr>
        <w:t xml:space="preserve"> where such failure to consent was unreasonable;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with respect to the exceptions set forth in clauses (a), (b), (c), (d), (e) and (h), if such Effect has had a disproportionate adverse effect on the Company or any Company Subsidiary relative to other companies operating in the industry in which the Company and the Company Subsidiaries operate, then the incremental disproportionate adverse effect of such Effect shall be taken into account for the purpose of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Option</w:t>
      </w:r>
      <w:r>
        <w:rPr>
          <w:rFonts w:ascii="Arial;Helvetica;sans-serif" w:hAnsi="Arial;Helvetica;sans-serif"/>
          <w:b w:val="false"/>
          <w:i w:val="false"/>
          <w:caps w:val="false"/>
          <w:smallCaps w:val="false"/>
          <w:color w:val="000000"/>
          <w:sz w:val="20"/>
        </w:rPr>
        <w:t>” means each option to purchase shares of Company Common Stock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PSU Award</w:t>
      </w:r>
      <w:r>
        <w:rPr>
          <w:rFonts w:ascii="Arial;Helvetica;sans-serif" w:hAnsi="Arial;Helvetica;sans-serif"/>
          <w:b w:val="false"/>
          <w:i w:val="false"/>
          <w:caps w:val="false"/>
          <w:smallCaps w:val="false"/>
          <w:color w:val="000000"/>
          <w:sz w:val="20"/>
        </w:rPr>
        <w:t>” means each performance-vesting restricted stock unit award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Registered IP</w:t>
      </w:r>
      <w:r>
        <w:rPr>
          <w:rFonts w:ascii="Arial;Helvetica;sans-serif" w:hAnsi="Arial;Helvetica;sans-serif"/>
          <w:b w:val="false"/>
          <w:i w:val="false"/>
          <w:caps w:val="false"/>
          <w:smallCaps w:val="false"/>
          <w:color w:val="000000"/>
          <w:sz w:val="20"/>
        </w:rPr>
        <w:t>” means all applications, registrations, issuances and filings for Intellectual Property that are registered, filed or recorded with, pending before, or issued by a Governmental Entity, intellectual property registrar or Internet domain name registrar, in each case, that are owned or purported to be owned by the Company or any Company Subsidiary, whether wholly or jointly owned.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Restricted Stock Award</w:t>
      </w:r>
      <w:r>
        <w:rPr>
          <w:rFonts w:ascii="Arial;Helvetica;sans-serif" w:hAnsi="Arial;Helvetica;sans-serif"/>
          <w:b w:val="false"/>
          <w:i w:val="false"/>
          <w:caps w:val="false"/>
          <w:smallCaps w:val="false"/>
          <w:color w:val="000000"/>
          <w:sz w:val="20"/>
        </w:rPr>
        <w:t>” means each award of restricted shares of Company Common Stock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RSU Award</w:t>
      </w:r>
      <w:r>
        <w:rPr>
          <w:rFonts w:ascii="Arial;Helvetica;sans-serif" w:hAnsi="Arial;Helvetica;sans-serif"/>
          <w:b w:val="false"/>
          <w:i w:val="false"/>
          <w:caps w:val="false"/>
          <w:smallCaps w:val="false"/>
          <w:color w:val="000000"/>
          <w:sz w:val="20"/>
        </w:rPr>
        <w:t>” means each time-vesting restricted stock unit award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Subsidiaries</w:t>
      </w:r>
      <w:r>
        <w:rPr>
          <w:rFonts w:ascii="Arial;Helvetica;sans-serif" w:hAnsi="Arial;Helvetica;sans-serif"/>
          <w:b w:val="false"/>
          <w:i w:val="false"/>
          <w:caps w:val="false"/>
          <w:smallCaps w:val="false"/>
          <w:color w:val="000000"/>
          <w:sz w:val="20"/>
        </w:rPr>
        <w:t>” means the Subsidiaries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Confidentiality Agreement</w:t>
      </w:r>
      <w:r>
        <w:rPr>
          <w:rFonts w:ascii="Arial;Helvetica;sans-serif" w:hAnsi="Arial;Helvetica;sans-serif"/>
          <w:b w:val="false"/>
          <w:i w:val="false"/>
          <w:caps w:val="false"/>
          <w:smallCaps w:val="false"/>
          <w:color w:val="000000"/>
          <w:sz w:val="20"/>
        </w:rPr>
        <w:t>” means the Confidentiality Agreement, dated July 11, 2025, between an affiliate of Parent and the Company, as may be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Contract</w:t>
      </w:r>
      <w:r>
        <w:rPr>
          <w:rFonts w:ascii="Arial;Helvetica;sans-serif" w:hAnsi="Arial;Helvetica;sans-serif"/>
          <w:b w:val="false"/>
          <w:i w:val="false"/>
          <w:caps w:val="false"/>
          <w:smallCaps w:val="false"/>
          <w:color w:val="000000"/>
          <w:sz w:val="20"/>
        </w:rPr>
        <w:t>” means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Controlled Group Liability</w:t>
      </w:r>
      <w:r>
        <w:rPr>
          <w:rFonts w:ascii="Arial;Helvetica;sans-serif" w:hAnsi="Arial;Helvetica;sans-serif"/>
          <w:b w:val="false"/>
          <w:i w:val="false"/>
          <w:caps w:val="false"/>
          <w:smallCaps w:val="false"/>
          <w:color w:val="000000"/>
          <w:sz w:val="20"/>
        </w:rPr>
        <w:t xml:space="preserve">” means any and all liabilities (a) under Title IV of ERISA, (b) under Section 302 of ERISA, (c) under Sections 412 and 4971 of the Code, (d) as a result of a failure to comply with the continuation coverage requirements of Section 601 </w:t>
      </w:r>
      <w:r>
        <w:rPr>
          <w:rFonts w:ascii="Arial;Helvetica;sans-serif" w:hAnsi="Arial;Helvetica;sans-serif"/>
          <w:b w:val="false"/>
          <w:i/>
          <w:caps w:val="false"/>
          <w:smallCaps w:val="false"/>
          <w:color w:val="000000"/>
          <w:sz w:val="20"/>
        </w:rPr>
        <w:t>et seq</w:t>
      </w:r>
      <w:r>
        <w:rPr>
          <w:rFonts w:ascii="Arial;Helvetica;sans-serif" w:hAnsi="Arial;Helvetica;sans-serif"/>
          <w:b w:val="false"/>
          <w:i w:val="false"/>
          <w:caps w:val="false"/>
          <w:smallCaps w:val="false"/>
          <w:color w:val="000000"/>
          <w:sz w:val="20"/>
        </w:rPr>
        <w:t>. of ERISA and Section 4980B of the Code, and (e) under corresponding or similar provisions of applicable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Data Supplier</w:t>
      </w:r>
      <w:r>
        <w:rPr>
          <w:rFonts w:ascii="Arial;Helvetica;sans-serif" w:hAnsi="Arial;Helvetica;sans-serif"/>
          <w:b w:val="false"/>
          <w:i w:val="false"/>
          <w:caps w:val="false"/>
          <w:smallCaps w:val="false"/>
          <w:color w:val="000000"/>
          <w:sz w:val="20"/>
        </w:rPr>
        <w:t>” means the suppliers and vendors of data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Effect</w:t>
      </w:r>
      <w:r>
        <w:rPr>
          <w:rFonts w:ascii="Arial;Helvetica;sans-serif" w:hAnsi="Arial;Helvetica;sans-serif"/>
          <w:b w:val="false"/>
          <w:i w:val="false"/>
          <w:caps w:val="false"/>
          <w:smallCaps w:val="false"/>
          <w:color w:val="000000"/>
          <w:sz w:val="20"/>
        </w:rPr>
        <w:t>” means any change, effect, development, circumstance, condition, fact, state of facts, event or occurrence.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Environmental Law</w:t>
      </w:r>
      <w:r>
        <w:rPr>
          <w:rFonts w:ascii="Arial;Helvetica;sans-serif" w:hAnsi="Arial;Helvetica;sans-serif"/>
          <w:b w:val="false"/>
          <w:i w:val="false"/>
          <w:caps w:val="false"/>
          <w:smallCaps w:val="false"/>
          <w:color w:val="000000"/>
          <w:sz w:val="20"/>
        </w:rPr>
        <w:t xml:space="preserve">”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protection of public or occupational health and safety of Persons or property or (b) impose liability or responsibility with respect to any of the foregoing, including the Comprehensive Environmental Response, Compensation and Liability Act (42 U.S.C. § 9601 </w:t>
      </w:r>
      <w:r>
        <w:rPr>
          <w:rFonts w:ascii="Arial;Helvetica;sans-serif" w:hAnsi="Arial;Helvetica;sans-serif"/>
          <w:b w:val="false"/>
          <w:i/>
          <w:caps w:val="false"/>
          <w:smallCaps w:val="false"/>
          <w:color w:val="000000"/>
          <w:sz w:val="20"/>
        </w:rPr>
        <w:t>et seq</w:t>
      </w:r>
      <w:r>
        <w:rPr>
          <w:rFonts w:ascii="Arial;Helvetica;sans-serif" w:hAnsi="Arial;Helvetica;sans-serif"/>
          <w:b w:val="false"/>
          <w:i w:val="false"/>
          <w:caps w:val="false"/>
          <w:smallCaps w:val="false"/>
          <w:color w:val="000000"/>
          <w:sz w:val="20"/>
        </w:rPr>
        <w:t>.), or any other Law of similar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ERISA</w:t>
      </w:r>
      <w:r>
        <w:rPr>
          <w:rFonts w:ascii="Arial;Helvetica;sans-serif" w:hAnsi="Arial;Helvetica;sans-serif"/>
          <w:b w:val="false"/>
          <w:i w:val="false"/>
          <w:caps w:val="false"/>
          <w:smallCaps w:val="false"/>
          <w:color w:val="000000"/>
          <w:sz w:val="20"/>
        </w:rPr>
        <w:t>” means the Employee Retirement Income Security Act of 1974, as amended, and the regulations promulgated and rulings issued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ERISA Affiliates</w:t>
      </w:r>
      <w:r>
        <w:rPr>
          <w:rFonts w:ascii="Arial;Helvetica;sans-serif" w:hAnsi="Arial;Helvetica;sans-serif"/>
          <w:b w:val="false"/>
          <w:i w:val="false"/>
          <w:caps w:val="false"/>
          <w:smallCaps w:val="false"/>
          <w:color w:val="000000"/>
          <w:sz w:val="20"/>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Exchange Act</w:t>
      </w:r>
      <w:r>
        <w:rPr>
          <w:rFonts w:ascii="Arial;Helvetica;sans-serif" w:hAnsi="Arial;Helvetica;sans-serif"/>
          <w:b w:val="false"/>
          <w:i w:val="false"/>
          <w:caps w:val="false"/>
          <w:smallCaps w:val="false"/>
          <w:color w:val="000000"/>
          <w:sz w:val="20"/>
        </w:rPr>
        <w:t>” means the United States Securities Exchange Act of 1934,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Export Controls</w:t>
      </w:r>
      <w:r>
        <w:rPr>
          <w:rFonts w:ascii="Arial;Helvetica;sans-serif" w:hAnsi="Arial;Helvetica;sans-serif"/>
          <w:b w:val="false"/>
          <w:i w:val="false"/>
          <w:caps w:val="false"/>
          <w:smallCaps w:val="false"/>
          <w:color w:val="000000"/>
          <w:sz w:val="20"/>
        </w:rPr>
        <w:t>” means all applicable export and re-export control Laws and regulations, including the Export Administration Regulations maintained by the U.S. Department of Commerce and the International Traffic in Arms Regulations maintained by the U.S. Department of State and any applicable anti-boycott compliance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FDI Laws</w:t>
      </w:r>
      <w:r>
        <w:rPr>
          <w:rFonts w:ascii="Arial;Helvetica;sans-serif" w:hAnsi="Arial;Helvetica;sans-serif"/>
          <w:b w:val="false"/>
          <w:i w:val="false"/>
          <w:caps w:val="false"/>
          <w:smallCaps w:val="false"/>
          <w:color w:val="000000"/>
          <w:sz w:val="20"/>
        </w:rPr>
        <w:t>” means any applicable supranational, national, federal, state, county or local foreign investment Laws that are designed or intended to prohibit, restrict or regulate foreign investment in any jurisdiction other than the United States.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Fraud</w:t>
      </w:r>
      <w:r>
        <w:rPr>
          <w:rFonts w:ascii="Arial;Helvetica;sans-serif" w:hAnsi="Arial;Helvetica;sans-serif"/>
          <w:b w:val="false"/>
          <w:i w:val="false"/>
          <w:caps w:val="false"/>
          <w:smallCaps w:val="false"/>
          <w:color w:val="000000"/>
          <w:sz w:val="20"/>
        </w:rPr>
        <w:t>” means Delaware common law fraud. “Fraud” does not include any claim for equitable fraud, promissory fraud, unfair dealings fraud, or any torts based on negligence or recklessness.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Governmental Entity</w:t>
      </w:r>
      <w:r>
        <w:rPr>
          <w:rFonts w:ascii="Arial;Helvetica;sans-serif" w:hAnsi="Arial;Helvetica;sans-serif"/>
          <w:b w:val="false"/>
          <w:i w:val="false"/>
          <w:caps w:val="false"/>
          <w:smallCaps w:val="false"/>
          <w:color w:val="000000"/>
          <w:sz w:val="20"/>
        </w:rPr>
        <w:t>”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board (including zoning), department, or other political subdivision of any government, entity or organization described in the foregoing clauses (a) or (b) of this definition (including patent and trademark offices and self-regulatory organizations).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Hazardous Substances</w:t>
      </w:r>
      <w:r>
        <w:rPr>
          <w:rFonts w:ascii="Arial;Helvetica;sans-serif" w:hAnsi="Arial;Helvetica;sans-serif"/>
          <w:b w:val="false"/>
          <w:i w:val="false"/>
          <w:caps w:val="false"/>
          <w:smallCaps w:val="false"/>
          <w:color w:val="000000"/>
          <w:sz w:val="20"/>
        </w:rPr>
        <w:t>” means any pollutant, chemical, substance and any toxic, infectious, carcinogenic, reactive, corrosive, ignitable or flammable chemical, chemical compound, hazardous substance, material or waste, whether solid, liquid or gas, that is subject to regulation, control or remediation due to its hazardous or deleterious characteristics under any Environmental Laws, including any quantity of petroleum product or byproduct, solvent, flammable or explosive material, radioactive material, pesticides, asbestos, lead paint, polychlorinated biphenyls (or PCBs), dioxins, dibenzofurans, heavy metals, radon, mold, mold spores and mycotoxins.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HSR Act</w:t>
      </w:r>
      <w:r>
        <w:rPr>
          <w:rFonts w:ascii="Arial;Helvetica;sans-serif" w:hAnsi="Arial;Helvetica;sans-serif"/>
          <w:b w:val="false"/>
          <w:i w:val="false"/>
          <w:caps w:val="false"/>
          <w:smallCaps w:val="false"/>
          <w:color w:val="000000"/>
          <w:sz w:val="20"/>
        </w:rPr>
        <w:t>” means the United States Hart-Scott-Rodino Antitrust Improvements Act of 1976, as amended, and the rules promulgated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Import Restrictions</w:t>
      </w:r>
      <w:r>
        <w:rPr>
          <w:rFonts w:ascii="Arial;Helvetica;sans-serif" w:hAnsi="Arial;Helvetica;sans-serif"/>
          <w:b w:val="false"/>
          <w:i w:val="false"/>
          <w:caps w:val="false"/>
          <w:smallCaps w:val="false"/>
          <w:color w:val="000000"/>
          <w:sz w:val="20"/>
        </w:rPr>
        <w:t>” means all applicable U.S. and foreign import Laws, including Title 19 of the U.S. Code and Title 19 of the Code of Federal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Indebtedness</w:t>
      </w:r>
      <w:r>
        <w:rPr>
          <w:rFonts w:ascii="Arial;Helvetica;sans-serif" w:hAnsi="Arial;Helvetica;sans-serif"/>
          <w:b w:val="false"/>
          <w:i w:val="false"/>
          <w:caps w:val="false"/>
          <w:smallCaps w:val="false"/>
          <w:color w:val="000000"/>
          <w:sz w:val="20"/>
        </w:rPr>
        <w:t xml:space="preserve">” means, with respect to any Person, without duplication, as of the date of determination, (i) all obligations of such Person (A) for borrowed money or (B) evidenced by bonds, debentures, notes or similar instruments, (ii) all obligations of such Person under finance leases in accordance with GAAP (other than, for the avoidance of doubt, operating leases), (iii) to the extent drawn, reimbursement obligations under letters of credit or similar credit, performance, or surety transactions, (iv) all obligations of such Person under interest rate, currency or commodity derivatives or hedging transactions or similar arrangements that would be payable to terminate such arrangements, calculated, as of the date of determination, as the amount of any payments that would be required to be paid by such Person to the counterparty in the event of an early unwind or early termination of such instruments on such date, (v) all obligations for the deferred purchase price of property, services, equity, or other assets (including all seller notes, “earn-out” or similar contingent payment obligations), (vi) all obligations of the type referred to in the foregoing clauses (i) through (v) of another Person secured by any Lien on any property or asset of such first Person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valued, in the case of any such Indebtedness as to which recourse for the payment thereof is expressly limited to the property or assets on which such Lien is granted, at the lesser of  (1) the stated or determinable amount of the Indebtedness that is so secured or, if not stated or determinable, the maximum reasonably anticipated liability in respect thereof  (assuming such Person is required to perform thereunder) and (2) the fair market value of such property or assets, and (vii) all guarantees or similar arrangements by such Person, as applicable, of obligations of the type referred to in the foregoing clauses (i) through (vi) in respect of any other Person, it being understood that the amount of any of the foregoing Indebtedness described in clauses (i) through (vii) shall include any and all accrued interest, prepayment, breakage, and make-whole fees, expenses, premiums or penalties, related thereto, and any other fees and expenses required to be paid by such Person upon repayment thereof, in each case, including as a result of or in connection with the Closing;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“Indebtedness” shall not include accounts payable to trade creditors, or accrued expenses arising in the ordinary course of business, in each case, that are not yet due and payable.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Intellectual Property</w:t>
      </w:r>
      <w:r>
        <w:rPr>
          <w:rFonts w:ascii="Arial;Helvetica;sans-serif" w:hAnsi="Arial;Helvetica;sans-serif"/>
          <w:b w:val="false"/>
          <w:i w:val="false"/>
          <w:caps w:val="false"/>
          <w:smallCaps w:val="false"/>
          <w:color w:val="000000"/>
          <w:sz w:val="20"/>
        </w:rPr>
        <w:t>” means any and all intellectual property rights, whether statutory, common law or otherwise, including all rights throughout the world in or to, or arising out of: (i) patents, patent applications, statutory invention registrations, registered designs, industrial designs, utility models and similar or equivalent rights in inventions and designs, and all rights therein provided by international treaties and conventions; (ii) trademarks, service marks, logos, trade dress, trade names, corporate names, and other indicia of source or origin, including the goodwill associated with any of the foregoing (“</w:t>
      </w:r>
      <w:r>
        <w:rPr>
          <w:rFonts w:ascii="Arial;Helvetica;sans-serif" w:hAnsi="Arial;Helvetica;sans-serif"/>
          <w:b w:val="false"/>
          <w:i w:val="false"/>
          <w:caps w:val="false"/>
          <w:smallCaps w:val="false"/>
          <w:color w:val="000000"/>
          <w:sz w:val="20"/>
          <w:u w:val="single"/>
        </w:rPr>
        <w:t>Trademarks</w:t>
      </w:r>
      <w:r>
        <w:rPr>
          <w:rFonts w:ascii="Arial;Helvetica;sans-serif" w:hAnsi="Arial;Helvetica;sans-serif"/>
          <w:b w:val="false"/>
          <w:i w:val="false"/>
          <w:caps w:val="false"/>
          <w:smallCaps w:val="false"/>
          <w:color w:val="000000"/>
          <w:sz w:val="20"/>
        </w:rPr>
        <w:t>”); (iii) copyrights and other equivalent rights in works of authorship and all works of authorship (including rights in any Software, databases or designs as a work of authorship), moral rights and other related rights of authors; (iv) Internet domain names, URLs, internet protocol addresses, social media accounts, and rights in websites and all the content provided on the foregoing; (v) trade secrets, industrial secret rights, and other rights in know-how, data and confidential and proprietary information, including in technologies, processes, techniques, protocols, methodologies, methods, formulae, algorithms, layouts, designs, specifications, confidential information, in each case, that derive independent economic value, whether actual or potential, from not being known to other Persons (together, “</w:t>
      </w:r>
      <w:r>
        <w:rPr>
          <w:rFonts w:ascii="Arial;Helvetica;sans-serif" w:hAnsi="Arial;Helvetica;sans-serif"/>
          <w:b w:val="false"/>
          <w:i w:val="false"/>
          <w:caps w:val="false"/>
          <w:smallCaps w:val="false"/>
          <w:color w:val="000000"/>
          <w:sz w:val="20"/>
          <w:u w:val="single"/>
        </w:rPr>
        <w:t>Trade Secrets</w:t>
      </w:r>
      <w:r>
        <w:rPr>
          <w:rFonts w:ascii="Arial;Helvetica;sans-serif" w:hAnsi="Arial;Helvetica;sans-serif"/>
          <w:b w:val="false"/>
          <w:i w:val="false"/>
          <w:caps w:val="false"/>
          <w:smallCaps w:val="false"/>
          <w:color w:val="000000"/>
          <w:sz w:val="20"/>
        </w:rPr>
        <w:t>”); and (vi) other similar or equivalent intellectual property rights anywhere in the world.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Knowledge</w:t>
      </w:r>
      <w:r>
        <w:rPr>
          <w:rFonts w:ascii="Arial;Helvetica;sans-serif" w:hAnsi="Arial;Helvetica;sans-serif"/>
          <w:b w:val="false"/>
          <w:i w:val="false"/>
          <w:caps w:val="false"/>
          <w:smallCaps w:val="false"/>
          <w:color w:val="000000"/>
          <w:sz w:val="20"/>
        </w:rPr>
        <w:t>” means (i) with respect to Parent or Merger Sub, the actual knowledge, after reasonable inquiry of their direct reports, of the individuals listed on Section 1.1 of the Parent Disclosure Letter and (ii) with respect to the Company, the actual knowledge, after reasonable inquiry of their direct reports, of the individuals listed on Section 1.1(a)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Law</w:t>
      </w:r>
      <w:r>
        <w:rPr>
          <w:rFonts w:ascii="Arial;Helvetica;sans-serif" w:hAnsi="Arial;Helvetica;sans-serif"/>
          <w:b w:val="false"/>
          <w:i w:val="false"/>
          <w:caps w:val="false"/>
          <w:smallCaps w:val="false"/>
          <w:color w:val="000000"/>
          <w:sz w:val="20"/>
        </w:rPr>
        <w:t>” means any law (including common law), statute, requirement, code, rule, regulation, order, ordinance (including zoning), judgment or decree, administrative or judicial doctrine, or other pronouncement of any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Lien</w:t>
      </w:r>
      <w:r>
        <w:rPr>
          <w:rFonts w:ascii="Arial;Helvetica;sans-serif" w:hAnsi="Arial;Helvetica;sans-serif"/>
          <w:b w:val="false"/>
          <w:i w:val="false"/>
          <w:caps w:val="false"/>
          <w:smallCaps w:val="false"/>
          <w:color w:val="000000"/>
          <w:sz w:val="20"/>
        </w:rPr>
        <w:t>” means any lien, pledge, hypothecation, mortgage, deed of trust, security interest, encumbrance, covenant, charge, condition, title defect, claim, option, right of first offer or first refusal, easement, right of way, encroachment, occupancy right, preemptive right, community property interest or other third-party right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but excluding (i) restrictions on transfer arising under applicable securities laws and (ii) licenses, covenants not to assert and similar rights granted with respect to Intellectual Property that are not granted in connection with a security interest or other lien.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Material Data Supplier</w:t>
      </w:r>
      <w:r>
        <w:rPr>
          <w:rFonts w:ascii="Arial;Helvetica;sans-serif" w:hAnsi="Arial;Helvetica;sans-serif"/>
          <w:b w:val="false"/>
          <w:i w:val="false"/>
          <w:caps w:val="false"/>
          <w:smallCaps w:val="false"/>
          <w:color w:val="000000"/>
          <w:sz w:val="20"/>
        </w:rPr>
        <w:t>” means the ten (10) largest Data Suppliers (based on payments made for the twelve (12) month period ended March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Non-Resident Capital Gain Tax</w:t>
      </w:r>
      <w:r>
        <w:rPr>
          <w:rFonts w:ascii="Arial;Helvetica;sans-serif" w:hAnsi="Arial;Helvetica;sans-serif"/>
          <w:b w:val="false"/>
          <w:i w:val="false"/>
          <w:caps w:val="false"/>
          <w:smallCaps w:val="false"/>
          <w:color w:val="000000"/>
          <w:sz w:val="20"/>
        </w:rPr>
        <w:t>” means any Tax imposed on non-residents of the Taxing jurisdiction with respect to a direct or indirect transfer by non-residents of shares or other securities of an entity organized or resident in the Taxing jurisdiction (whether imposed by withholding or otherwise and whether calculated by reference to transfer price, net gain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OFAC</w:t>
      </w:r>
      <w:r>
        <w:rPr>
          <w:rFonts w:ascii="Arial;Helvetica;sans-serif" w:hAnsi="Arial;Helvetica;sans-serif"/>
          <w:b w:val="false"/>
          <w:i w:val="false"/>
          <w:caps w:val="false"/>
          <w:smallCaps w:val="false"/>
          <w:color w:val="000000"/>
          <w:sz w:val="20"/>
        </w:rPr>
        <w:t>” means the U.S. Department of the Treasury’s Office of Foreign Assets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Open Source License</w:t>
      </w:r>
      <w:r>
        <w:rPr>
          <w:rFonts w:ascii="Arial;Helvetica;sans-serif" w:hAnsi="Arial;Helvetica;sans-serif"/>
          <w:b w:val="false"/>
          <w:i w:val="false"/>
          <w:caps w:val="false"/>
          <w:smallCaps w:val="false"/>
          <w:color w:val="000000"/>
          <w:sz w:val="20"/>
        </w:rPr>
        <w:t xml:space="preserve">” means any license that is, or is substantially similar to, a license now or in the future approved by the Open Source Initiative and listed at http://www.opensource.org/licenses (which licenses shall include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versions of GNU GPL, GNU LGPL, GNU Affero GPL, Eclipse Public License, Common Public License, CDDL, and Mozilla Public License) and any “copyleft” license or any other license under which such software or other materials are distributed or licensed as “free software”, “open source software” or under similar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Parent Subsidiaries</w:t>
      </w:r>
      <w:r>
        <w:rPr>
          <w:rFonts w:ascii="Arial;Helvetica;sans-serif" w:hAnsi="Arial;Helvetica;sans-serif"/>
          <w:b w:val="false"/>
          <w:i w:val="false"/>
          <w:caps w:val="false"/>
          <w:smallCaps w:val="false"/>
          <w:color w:val="000000"/>
          <w:sz w:val="20"/>
        </w:rPr>
        <w:t>” means the Subsidiaries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Permitted Liens</w:t>
      </w:r>
      <w:r>
        <w:rPr>
          <w:rFonts w:ascii="Arial;Helvetica;sans-serif" w:hAnsi="Arial;Helvetica;sans-serif"/>
          <w:b w:val="false"/>
          <w:i w:val="false"/>
          <w:caps w:val="false"/>
          <w:smallCaps w:val="false"/>
          <w:color w:val="000000"/>
          <w:sz w:val="20"/>
        </w:rPr>
        <w:t>” means any (i) Lien for Taxes or governmental assessments, charges or claims of payment (x) not yet delinquent or (y) that are being contested in good faith by appropriate proceedings and, in the case of clause (y), for which adequate reserves have been established by the Company in accordance with GAAP, (ii) Lien which is a vendors’, carriers’, warehousemen’s, mechanics’, materialmen’s, repairmen’s or other similar Lien arising in the ordinary course of business consistent with past practice, (iii) Lien securing Indebtedness that is specifically disclosed on Section 1.1(b) of the Company Disclosure Letter (and identified thereon as being secured by such Liens) so long as the terms of such Indebtedness, as in effect on the date of this Agreement, require the incurrence of such Liens to secure such Indebtedness, (iv) Lien which is a statutory or common law Lien to secure landlords, lessors or renters under leases or rental agreements, (v) any Lien solely related to the fee interest (and which would not impact the leasehold interest) of a Company Lease, (vi) Lien arising from a UCC financing statement that was filed solely as a precautionary measure in connection with leases or consignment of goods, (vii) with respect to real property, any title defects or irregularities, zoning and land use covenants and conditions, easements, rights-of-way, restrictions, and non-monetary encumbrances, in each case, that would not, individually or in the aggregate, reasonably be expected to materially impair the operation of the Company’s business at such real property, as presently conducted, or materially detract from the value of the real property, or (viii) Liens that do not secure Indebtedness and have arisen in the ordinary course of business consistent with past practice, and do not adversely affect the value, ownership use or operation of the property subject thereto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Person</w:t>
      </w:r>
      <w:r>
        <w:rPr>
          <w:rFonts w:ascii="Arial;Helvetica;sans-serif" w:hAnsi="Arial;Helvetica;sans-serif"/>
          <w:b w:val="false"/>
          <w:i w:val="false"/>
          <w:caps w:val="false"/>
          <w:smallCaps w:val="false"/>
          <w:color w:val="000000"/>
          <w:sz w:val="20"/>
        </w:rPr>
        <w:t>” means a natural person, partnership, corporation, limited liability company, business trust, joint stock company, trust, unincorporated association, joint venture, Governmental Entity or other entity or organization.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Personal Data</w:t>
      </w:r>
      <w:r>
        <w:rPr>
          <w:rFonts w:ascii="Arial;Helvetica;sans-serif" w:hAnsi="Arial;Helvetica;sans-serif"/>
          <w:b w:val="false"/>
          <w:i w:val="false"/>
          <w:caps w:val="false"/>
          <w:smallCaps w:val="false"/>
          <w:color w:val="000000"/>
          <w:sz w:val="20"/>
        </w:rPr>
        <w:t>” means any and all information that can reasonably be used to identify an individual natural person, or that relates to an identified person,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together with any other information protected as “personal data”, “personally identifiable information”, “PII”, “individually identifiable health information”, “protected health information”, “PHI”, “personal information”, “PI” or similar term of any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Privacy Requirements</w:t>
      </w:r>
      <w:r>
        <w:rPr>
          <w:rFonts w:ascii="Arial;Helvetica;sans-serif" w:hAnsi="Arial;Helvetica;sans-serif"/>
          <w:b w:val="false"/>
          <w:i w:val="false"/>
          <w:caps w:val="false"/>
          <w:smallCaps w:val="false"/>
          <w:color w:val="000000"/>
          <w:sz w:val="20"/>
        </w:rPr>
        <w:t>” means all applicable Laws, contractual obligations, and Privacy Statements to which the Company or any Company Subsidiary is bound or subject, in each case, relating to privacy, data protection, data security, cybersecurity or the Processing of Protected Information, or to sales and marketing with the use of Protected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Privacy Statements</w:t>
      </w:r>
      <w:r>
        <w:rPr>
          <w:rFonts w:ascii="Arial;Helvetica;sans-serif" w:hAnsi="Arial;Helvetica;sans-serif"/>
          <w:b w:val="false"/>
          <w:i w:val="false"/>
          <w:caps w:val="false"/>
          <w:smallCaps w:val="false"/>
          <w:color w:val="000000"/>
          <w:sz w:val="20"/>
        </w:rPr>
        <w:t>” means, collectively, all of the Company’s and the Company Subsidiaries’ publicly posted or otherwise binding privacy policies or statements (including if posted on the Company’s or the Company Subsidiaries’ products and services, or if made as a representation or statement in connection with the collection of Personal Data) regarding any Processing of Protected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Proceedings</w:t>
      </w:r>
      <w:r>
        <w:rPr>
          <w:rFonts w:ascii="Arial;Helvetica;sans-serif" w:hAnsi="Arial;Helvetica;sans-serif"/>
          <w:b w:val="false"/>
          <w:i w:val="false"/>
          <w:caps w:val="false"/>
          <w:smallCaps w:val="false"/>
          <w:color w:val="000000"/>
          <w:sz w:val="20"/>
        </w:rPr>
        <w:t>” means all actions, suits, claims, hearings, arbitrations, litigations, mediations, grievances, audits, investigations, examinations or other proceedings, in each case, by or before any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Process</w:t>
      </w:r>
      <w:r>
        <w:rPr>
          <w:rFonts w:ascii="Arial;Helvetica;sans-serif" w:hAnsi="Arial;Helvetica;sans-serif"/>
          <w:b w:val="false"/>
          <w:i w:val="false"/>
          <w:caps w:val="false"/>
          <w:smallCaps w:val="false"/>
          <w:color w:val="000000"/>
          <w:sz w:val="20"/>
        </w:rPr>
        <w:t>” means any operation or set of operations that is performed upon, by or on behalf of the Company or any Company Subsidiary with respect to information, whether or not by automatic means, including access, collection, recording, storage, organization, adaptation, alteration, retrieval, use, transmission, dissemination, making available or other processing.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Protected Information</w:t>
      </w:r>
      <w:r>
        <w:rPr>
          <w:rFonts w:ascii="Arial;Helvetica;sans-serif" w:hAnsi="Arial;Helvetica;sans-serif"/>
          <w:b w:val="false"/>
          <w:i w:val="false"/>
          <w:caps w:val="false"/>
          <w:smallCaps w:val="false"/>
          <w:color w:val="000000"/>
          <w:sz w:val="20"/>
        </w:rPr>
        <w:t xml:space="preserve">” means any (a) Personal Data, (b) information that is governed, regulated or protected by one or more Privacy Statements or applicable Laws concerning privacy, cybersecurity or data security,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information that is covered by industry standards and frameworks (such as Payment Card Industry Data Security Standard), (d) confidential information of the Company or any Company Subsidiary that it receives, creates, transmits or maintains in electronic form, and (e) sensitive information covered by any confidentiality requirements or use restrictions under any Contract.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Qualifying Termination</w:t>
      </w:r>
      <w:r>
        <w:rPr>
          <w:rFonts w:ascii="Arial;Helvetica;sans-serif" w:hAnsi="Arial;Helvetica;sans-serif"/>
          <w:b w:val="false"/>
          <w:i w:val="false"/>
          <w:caps w:val="false"/>
          <w:smallCaps w:val="false"/>
          <w:color w:val="000000"/>
          <w:sz w:val="20"/>
        </w:rPr>
        <w:t>” means the termination of employment (i) by the Company or one of its Subsidiaries without Cause (as defined in Section 1.2 of the Company Disclosure Letter), (ii) due to death or Disability (as defined in Section 1.2 of the Company Disclosure Letter) or (iii) solely with respect to individuals entitled to severance upon a termination for Good Reason (as defined in Section 1.2 of the Company Disclosure Letter) under a Company Benefit Plan as in effect on the date hereof, by such individual for Good Reason (as defined in Section 1.2 of the Company Disclosure Letter) in each case, during the twenty-four (24) month period following the Closing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Representatives</w:t>
      </w:r>
      <w:r>
        <w:rPr>
          <w:rFonts w:ascii="Arial;Helvetica;sans-serif" w:hAnsi="Arial;Helvetica;sans-serif"/>
          <w:b w:val="false"/>
          <w:i w:val="false"/>
          <w:caps w:val="false"/>
          <w:smallCaps w:val="false"/>
          <w:color w:val="000000"/>
          <w:sz w:val="20"/>
        </w:rPr>
        <w:t>” means, when used with respect to any Person, the directors, officers, employees, consultants, financial advisors, accountants, legal counsel, investment bankers and other agents, advisors and representatives of such Person and its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Rule of 40 Company PSU Award</w:t>
      </w:r>
      <w:r>
        <w:rPr>
          <w:rFonts w:ascii="Arial;Helvetica;sans-serif" w:hAnsi="Arial;Helvetica;sans-serif"/>
          <w:b w:val="false"/>
          <w:i w:val="false"/>
          <w:caps w:val="false"/>
          <w:smallCaps w:val="false"/>
          <w:color w:val="000000"/>
          <w:sz w:val="20"/>
        </w:rPr>
        <w:t>” means each Company PSU Award that is subject to performance goals based on annual revenue growth and EBITDA margin percentages.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Sanctions</w:t>
      </w:r>
      <w:r>
        <w:rPr>
          <w:rFonts w:ascii="Arial;Helvetica;sans-serif" w:hAnsi="Arial;Helvetica;sans-serif"/>
          <w:b w:val="false"/>
          <w:i w:val="false"/>
          <w:caps w:val="false"/>
          <w:smallCaps w:val="false"/>
          <w:color w:val="000000"/>
          <w:sz w:val="20"/>
        </w:rPr>
        <w:t>” means economic or financial sanctions or trade embargoes imposed, administered, or enforced from time to time by OFAC.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w:t>
      </w:r>
      <w:r>
        <w:rPr>
          <w:rFonts w:ascii="Arial;Helvetica;sans-serif" w:hAnsi="Arial;Helvetica;sans-serif"/>
          <w:b w:val="false"/>
          <w:i w:val="false"/>
          <w:caps w:val="false"/>
          <w:smallCaps w:val="false"/>
          <w:color w:val="000000"/>
          <w:sz w:val="20"/>
        </w:rPr>
        <w:t>” means the United States Securities and Exchange Commission.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Section 721</w:t>
      </w:r>
      <w:r>
        <w:rPr>
          <w:rFonts w:ascii="Arial;Helvetica;sans-serif" w:hAnsi="Arial;Helvetica;sans-serif"/>
          <w:b w:val="false"/>
          <w:i w:val="false"/>
          <w:caps w:val="false"/>
          <w:smallCaps w:val="false"/>
          <w:color w:val="000000"/>
          <w:sz w:val="20"/>
        </w:rPr>
        <w:t>” means Section 721 of title VII of the Defense Production Act of 1950, as amended and codified at 50 U.S.C. Section 4565, and all implementing regulations thereof  (the “</w:t>
      </w:r>
      <w:r>
        <w:rPr>
          <w:rFonts w:ascii="Arial;Helvetica;sans-serif" w:hAnsi="Arial;Helvetica;sans-serif"/>
          <w:b w:val="false"/>
          <w:i w:val="false"/>
          <w:caps w:val="false"/>
          <w:smallCaps w:val="false"/>
          <w:color w:val="000000"/>
          <w:sz w:val="20"/>
          <w:u w:val="single"/>
        </w:rPr>
        <w:t>DPA</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Securities Act</w:t>
      </w:r>
      <w:r>
        <w:rPr>
          <w:rFonts w:ascii="Arial;Helvetica;sans-serif" w:hAnsi="Arial;Helvetica;sans-serif"/>
          <w:b w:val="false"/>
          <w:i w:val="false"/>
          <w:caps w:val="false"/>
          <w:smallCaps w:val="false"/>
          <w:color w:val="000000"/>
          <w:sz w:val="20"/>
        </w:rPr>
        <w:t>” means the United States Securities Act of 1933,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Software</w:t>
      </w:r>
      <w:r>
        <w:rPr>
          <w:rFonts w:ascii="Arial;Helvetica;sans-serif" w:hAnsi="Arial;Helvetica;sans-serif"/>
          <w:b w:val="false"/>
          <w:i w:val="false"/>
          <w:caps w:val="false"/>
          <w:smallCaps w:val="false"/>
          <w:color w:val="000000"/>
          <w:sz w:val="20"/>
        </w:rPr>
        <w:t>” means any and all software, firmware, applications, programs, models (including artificial intelligence models and/or model weights), algorithms, operating systems, middleware, application programming interfaces (APIs), software development kits (SDKs) and any other computer software or code in any form (including source code and object code) or medium.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Subsidiary</w:t>
      </w:r>
      <w:r>
        <w:rPr>
          <w:rFonts w:ascii="Arial;Helvetica;sans-serif" w:hAnsi="Arial;Helvetica;sans-serif"/>
          <w:b w:val="false"/>
          <w:i w:val="false"/>
          <w:caps w:val="false"/>
          <w:smallCaps w:val="false"/>
          <w:color w:val="000000"/>
          <w:sz w:val="20"/>
        </w:rPr>
        <w:t>” means with respect to any Person, any corporation, limited liability company, partnership or other organization, whether incorporated or unincorporated, of which (a) at least a majority of the outstanding shares of capital stock,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Superior Proposal</w:t>
      </w:r>
      <w:r>
        <w:rPr>
          <w:rFonts w:ascii="Arial;Helvetica;sans-serif" w:hAnsi="Arial;Helvetica;sans-serif"/>
          <w:b w:val="false"/>
          <w:i w:val="false"/>
          <w:caps w:val="false"/>
          <w:smallCaps w:val="false"/>
          <w:color w:val="000000"/>
          <w:sz w:val="20"/>
        </w:rPr>
        <w:t xml:space="preserve">” means a bona fide, written Acquisition Proposal (with references in the definition thereof to fifteen percent (15%) and eighty-five percent (85%) being deemed to be replaced with references to fifty percent (50%) and fifty percent (50%), respectively) by a third party, which the Company Board of Directors determines in good faith after consultation with the Company’s outside legal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and/or regulatory approvals and likelihood of consummation) and this Agreement (and any changes to the terms of this Agreement proposed by Parent pursuant to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Takeover Statute</w:t>
      </w:r>
      <w:r>
        <w:rPr>
          <w:rFonts w:ascii="Arial;Helvetica;sans-serif" w:hAnsi="Arial;Helvetica;sans-serif"/>
          <w:b w:val="false"/>
          <w:i w:val="false"/>
          <w:caps w:val="false"/>
          <w:smallCaps w:val="false"/>
          <w:color w:val="000000"/>
          <w:sz w:val="20"/>
        </w:rPr>
        <w:t>” means any “business combination”, “control share acquisition”, “fair price”, “moratorium” or other takeover or anti-takeover statute or similar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Tax</w:t>
      </w:r>
      <w:r>
        <w:rPr>
          <w:rFonts w:ascii="Arial;Helvetica;sans-serif" w:hAnsi="Arial;Helvetica;sans-serif"/>
          <w:b w:val="false"/>
          <w:i w:val="false"/>
          <w:caps w:val="false"/>
          <w:smallCaps w:val="false"/>
          <w:color w:val="000000"/>
          <w:sz w:val="20"/>
        </w:rPr>
        <w:t>” or “</w:t>
      </w:r>
      <w:r>
        <w:rPr>
          <w:rFonts w:ascii="Arial;Helvetica;sans-serif" w:hAnsi="Arial;Helvetica;sans-serif"/>
          <w:b w:val="false"/>
          <w:i w:val="false"/>
          <w:caps w:val="false"/>
          <w:smallCaps w:val="false"/>
          <w:color w:val="000000"/>
          <w:sz w:val="20"/>
          <w:u w:val="single"/>
        </w:rPr>
        <w:t>Taxes</w:t>
      </w:r>
      <w:r>
        <w:rPr>
          <w:rFonts w:ascii="Arial;Helvetica;sans-serif" w:hAnsi="Arial;Helvetica;sans-serif"/>
          <w:b w:val="false"/>
          <w:i w:val="false"/>
          <w:caps w:val="false"/>
          <w:smallCaps w:val="false"/>
          <w:color w:val="000000"/>
          <w:sz w:val="20"/>
        </w:rPr>
        <w:t xml:space="preserve">” means any and all U.S. federal, state, local and non-U.S. taxes, customs, assessments, levies, duties, tariffs, imposts and other similar charges and fees, in each case, in the nature of a tax, imposed by any Governmental Entity, including any income, franchise, excess, windfall or other profits, inventory, gross receipts, capital gains, net proceeds, property, sales, use, business, net worth, goods and services, value-added, capital stock, wealth, welfare, license, fuel, natural resources, production, payroll, employment, social security, workers’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S1TD"/>
      <w:bookmarkEnd w:id="19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compensation, unemployment, excise, occupancy, severance, gift, estate, recording, non-resident or other withholding, ad valorem, turnover, lease, user, stamp, transfer, occupation, premium, environmental, disability, registration, alternative or add-on minimum, base erosion minimum, or estimated tax, and any interest, penalty, additions to tax and any additional amounts imposed with respect thereto, whether disputed or not.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Tax Return</w:t>
      </w:r>
      <w:r>
        <w:rPr>
          <w:rFonts w:ascii="Arial;Helvetica;sans-serif" w:hAnsi="Arial;Helvetica;sans-serif"/>
          <w:b w:val="false"/>
          <w:i w:val="false"/>
          <w:caps w:val="false"/>
          <w:smallCaps w:val="false"/>
          <w:color w:val="000000"/>
          <w:sz w:val="20"/>
        </w:rPr>
        <w:t>” means any report, return, certificate, form, claim for refund, election, estimated Tax filing or declaration filed or required to be filed with any Governmental Entity with respect to Taxes, including any schedule or attachment thereto, and any amendments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Transfer Taxes</w:t>
      </w:r>
      <w:r>
        <w:rPr>
          <w:rFonts w:ascii="Arial;Helvetica;sans-serif" w:hAnsi="Arial;Helvetica;sans-serif"/>
          <w:b w:val="false"/>
          <w:i w:val="false"/>
          <w:caps w:val="false"/>
          <w:smallCaps w:val="false"/>
          <w:color w:val="000000"/>
          <w:sz w:val="20"/>
        </w:rPr>
        <w:t>” means any documentary, transfer, excise, sales, use, real property, stamp, registration, filing, recording and other similar Taxes (excluding, for the absence of doubt, any Taxes imposed with respect to income or gain).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Treasury Regulations</w:t>
      </w:r>
      <w:r>
        <w:rPr>
          <w:rFonts w:ascii="Arial;Helvetica;sans-serif" w:hAnsi="Arial;Helvetica;sans-serif"/>
          <w:b w:val="false"/>
          <w:i w:val="false"/>
          <w:caps w:val="false"/>
          <w:smallCaps w:val="false"/>
          <w:color w:val="000000"/>
          <w:sz w:val="20"/>
        </w:rPr>
        <w:t>” means the U.S. Treasury regulations promulgated under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1.2. </w:t>
      </w:r>
      <w:r>
        <w:rPr>
          <w:rFonts w:ascii="Arial;Helvetica;sans-serif" w:hAnsi="Arial;Helvetica;sans-serif"/>
          <w:b w:val="false"/>
          <w:i w:val="false"/>
          <w:caps w:val="false"/>
          <w:smallCaps w:val="false"/>
          <w:color w:val="000000"/>
          <w:sz w:val="20"/>
          <w:u w:val="single"/>
        </w:rPr>
        <w:t>Terms Defined Elsewhere</w:t>
      </w:r>
      <w:r>
        <w:rPr>
          <w:rFonts w:ascii="Arial;Helvetica;sans-serif" w:hAnsi="Arial;Helvetica;sans-serif"/>
          <w:b w:val="false"/>
          <w:i w:val="false"/>
          <w:caps w:val="false"/>
          <w:smallCaps w:val="false"/>
          <w:color w:val="000000"/>
          <w:sz w:val="20"/>
        </w:rPr>
        <w:t>.  The following terms are defined elsewhere in this Agreement:</w:t>
      </w:r>
      <w:r>
        <w:rPr>
          <w:rFonts w:ascii="Arial;Helvetica;sans-serif" w:hAnsi="Arial;Helvetica;sans-serif"/>
          <w:b w:val="false"/>
          <w:i w:val="false"/>
          <w:caps w:val="false"/>
          <w:smallCaps w:val="false"/>
          <w:color w:val="000000"/>
          <w:spacing w:val="4"/>
          <w:sz w:val="20"/>
        </w:rPr>
        <w:t xml:space="preserve"> </w:t>
      </w:r>
    </w:p>
    <w:tbl>
      <w:tblPr>
        <w:tblW w:w="5673" w:type="dxa"/>
        <w:jc w:val="left"/>
        <w:tblInd w:w="680" w:type="dxa"/>
        <w:tblLayout w:type="fixed"/>
        <w:tblCellMar>
          <w:top w:w="0" w:type="dxa"/>
          <w:left w:w="0" w:type="dxa"/>
          <w:bottom w:w="0" w:type="dxa"/>
          <w:right w:w="0" w:type="dxa"/>
        </w:tblCellMar>
      </w:tblPr>
      <w:tblGrid>
        <w:gridCol w:w="124"/>
        <w:gridCol w:w="3466"/>
        <w:gridCol w:w="109"/>
        <w:gridCol w:w="109"/>
        <w:gridCol w:w="1711"/>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401(k) Termination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Base Amount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7.4(c)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Book-Entry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3.2(b)(ii)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Cancelled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Capitalization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Certificate of Merger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Certificates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Change of 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6.3(a)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Closing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Closing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401(k)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Acquisition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6.3(a)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Board 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Business Software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4.15(f)</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Common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Disclosure Letter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Article IV</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Lease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4.17(b)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Permits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4.9(b)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SEC Documents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4.5(a)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 Approval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Stockholders’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7.12(b)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Consent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4.4(a)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Continuing Employee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Converted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Current ESPP Offering Period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3.3(d)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DGCL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Dissenting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Divestiture Actions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7.2(c)</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038" w:type="dxa"/>
        <w:jc w:val="left"/>
        <w:tblInd w:w="680" w:type="dxa"/>
        <w:tblLayout w:type="fixed"/>
        <w:tblCellMar>
          <w:top w:w="0" w:type="dxa"/>
          <w:left w:w="0" w:type="dxa"/>
          <w:bottom w:w="0" w:type="dxa"/>
          <w:right w:w="0" w:type="dxa"/>
        </w:tblCellMar>
      </w:tblPr>
      <w:tblGrid>
        <w:gridCol w:w="124"/>
        <w:gridCol w:w="4711"/>
        <w:gridCol w:w="109"/>
        <w:gridCol w:w="109"/>
        <w:gridCol w:w="1831"/>
        <w:gridCol w:w="154"/>
      </w:tblGrid>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DOJ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7.2(d)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Effective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Enforceability Limitations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4.3(b)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Evercore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FTC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7.2(d)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GAAP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4.5(b)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Guaranteed Obligations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10.14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Indemnified Parties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7.4(a)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Integration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7.1(c)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Intervening Event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6.3(d)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4.13(p)</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Leased Real Property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Letter of Transmittal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Contracts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4.18(a)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Customer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4.20(a)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Supplier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4.20(b)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Consideration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3.1(a)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Sub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New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Non-U.S.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4.11(h)</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Old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Outside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9.1(d)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Disclosure Letter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Article V</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Governing Documents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5.1</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Topco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Paying Agent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Payment Fund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Proxy Statement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Regulatory Termination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9.2(c)(i)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Relevant Matters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10.10(a)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Ruling Request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6.1(b)(xx)</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Sanctioned Country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4.9(g)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Sanctioned Person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4.9(g)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Sarbanes-Oxley Act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4.5(a)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2.1</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Bylaws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Certificate of Incorporation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Termination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Transactions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WARN Act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4.12(b)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Willful Breach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9.2(a)</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ARII"/>
      <w:bookmarkEnd w:id="193"/>
      <w:r>
        <w:rPr>
          <w:rFonts w:ascii="calibri;arial;sans-serif" w:hAnsi="calibri;arial;sans-serif"/>
          <w:b w:val="false"/>
          <w:i w:val="false"/>
          <w:caps w:val="false"/>
          <w:smallCaps w:val="false"/>
          <w:color w:val="000000"/>
          <w:sz w:val="16"/>
        </w:rPr>
        <w:t>​</w:t>
      </w:r>
      <w:bookmarkStart w:id="194" w:name="tS2TM"/>
      <w:bookmarkEnd w:id="194"/>
      <w:r>
        <w:rPr>
          <w:rFonts w:ascii="calibri;arial;sans-serif" w:hAnsi="calibri;arial;sans-serif"/>
          <w:b w:val="false"/>
          <w:i w:val="false"/>
          <w:caps w:val="false"/>
          <w:smallCaps w:val="false"/>
          <w:color w:val="000000"/>
          <w:sz w:val="16"/>
        </w:rPr>
        <w:t>​</w:t>
      </w:r>
      <w:bookmarkStart w:id="195" w:name="tS2TC"/>
      <w:bookmarkEnd w:id="195"/>
      <w:r>
        <w:rPr>
          <w:rFonts w:ascii="calibri;arial;sans-serif" w:hAnsi="calibri;arial;sans-serif"/>
          <w:b w:val="false"/>
          <w:i w:val="false"/>
          <w:caps w:val="false"/>
          <w:smallCaps w:val="false"/>
          <w:color w:val="000000"/>
          <w:sz w:val="16"/>
        </w:rPr>
        <w:t>​</w:t>
      </w:r>
      <w:bookmarkStart w:id="196" w:name="tS2ET"/>
      <w:bookmarkEnd w:id="196"/>
      <w:r>
        <w:rPr>
          <w:rFonts w:ascii="calibri;arial;sans-serif" w:hAnsi="calibri;arial;sans-serif"/>
          <w:b w:val="false"/>
          <w:i w:val="false"/>
          <w:caps w:val="false"/>
          <w:smallCaps w:val="false"/>
          <w:color w:val="000000"/>
          <w:sz w:val="16"/>
        </w:rPr>
        <w:t>​</w:t>
      </w:r>
      <w:bookmarkStart w:id="197" w:name="tS2GD"/>
      <w:bookmarkEnd w:id="197"/>
      <w:r>
        <w:rPr>
          <w:rFonts w:ascii="calibri;arial;sans-serif" w:hAnsi="calibri;arial;sans-serif"/>
          <w:b w:val="false"/>
          <w:i w:val="false"/>
          <w:caps w:val="false"/>
          <w:smallCaps w:val="false"/>
          <w:color w:val="000000"/>
          <w:sz w:val="16"/>
        </w:rPr>
        <w:t>​</w:t>
      </w:r>
      <w:bookmarkStart w:id="198" w:name="tS2OA"/>
      <w:bookmarkEnd w:id="198"/>
      <w:r>
        <w:rPr>
          <w:rFonts w:ascii="calibri;arial;sans-serif" w:hAnsi="calibri;arial;sans-serif"/>
          <w:b w:val="false"/>
          <w:i w:val="false"/>
          <w:caps w:val="false"/>
          <w:smallCaps w:val="false"/>
          <w:color w:val="000000"/>
          <w:sz w:val="16"/>
        </w:rPr>
        <w:t>​</w:t>
      </w:r>
      <w:bookmarkStart w:id="199" w:name="tARII1"/>
      <w:bookmarkEnd w:id="199"/>
      <w:r>
        <w:rPr>
          <w:rFonts w:ascii="calibri;arial;sans-serif" w:hAnsi="calibri;arial;sans-serif"/>
          <w:b w:val="false"/>
          <w:i w:val="false"/>
          <w:caps w:val="false"/>
          <w:smallCaps w:val="false"/>
          <w:color w:val="000000"/>
          <w:sz w:val="16"/>
        </w:rPr>
        <w:t>​</w:t>
      </w:r>
      <w:bookmarkStart w:id="200" w:name="tS3TO"/>
      <w:bookmarkEnd w:id="200"/>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2.1. </w:t>
      </w:r>
      <w:r>
        <w:rPr>
          <w:rFonts w:ascii="Arial;Helvetica;sans-serif" w:hAnsi="Arial;Helvetica;sans-serif"/>
          <w:b w:val="false"/>
          <w:i w:val="false"/>
          <w:caps w:val="false"/>
          <w:smallCaps w:val="false"/>
          <w:color w:val="000000"/>
          <w:sz w:val="20"/>
          <w:u w:val="single"/>
        </w:rPr>
        <w:t>The Merger</w:t>
      </w:r>
      <w:r>
        <w:rPr>
          <w:rFonts w:ascii="Arial;Helvetica;sans-serif" w:hAnsi="Arial;Helvetica;sans-serif"/>
          <w:b w:val="false"/>
          <w:i w:val="false"/>
          <w:caps w:val="false"/>
          <w:smallCaps w:val="false"/>
          <w:color w:val="000000"/>
          <w:sz w:val="20"/>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Helvetica;sans-serif" w:hAnsi="Arial;Helvetica;sans-serif"/>
          <w:b w:val="false"/>
          <w:i w:val="false"/>
          <w:caps w:val="false"/>
          <w:smallCaps w:val="false"/>
          <w:color w:val="000000"/>
          <w:sz w:val="20"/>
          <w:u w:val="single"/>
        </w:rPr>
        <w:t>Surviving Company</w:t>
      </w:r>
      <w:r>
        <w:rPr>
          <w:rFonts w:ascii="Arial;Helvetica;sans-serif" w:hAnsi="Arial;Helvetica;sans-serif"/>
          <w:b w:val="false"/>
          <w:i w:val="false"/>
          <w:caps w:val="false"/>
          <w:smallCaps w:val="false"/>
          <w:color w:val="000000"/>
          <w:sz w:val="20"/>
        </w:rPr>
        <w:t>”), such that following the Merger, the Surviving Company will be a direct wholly owned Subsidiary of Parent. The Merger shall have the effects provided in this Agreement, the Certificate of Merger and the applicable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2.2. </w:t>
      </w:r>
      <w:r>
        <w:rPr>
          <w:rFonts w:ascii="Arial;Helvetica;sans-serif" w:hAnsi="Arial;Helvetica;sans-serif"/>
          <w:b w:val="false"/>
          <w:i w:val="false"/>
          <w:caps w:val="false"/>
          <w:smallCaps w:val="false"/>
          <w:color w:val="000000"/>
          <w:sz w:val="20"/>
          <w:u w:val="single"/>
        </w:rPr>
        <w:t>The Closing</w:t>
      </w:r>
      <w:r>
        <w:rPr>
          <w:rFonts w:ascii="Arial;Helvetica;sans-serif" w:hAnsi="Arial;Helvetica;sans-serif"/>
          <w:b w:val="false"/>
          <w:i w:val="false"/>
          <w:caps w:val="false"/>
          <w:smallCaps w:val="false"/>
          <w:color w:val="000000"/>
          <w:sz w:val="20"/>
        </w:rPr>
        <w:t>. The closing of the Merger (the “</w:t>
      </w:r>
      <w:r>
        <w:rPr>
          <w:rFonts w:ascii="Arial;Helvetica;sans-serif" w:hAnsi="Arial;Helvetica;sans-serif"/>
          <w:b w:val="false"/>
          <w:i w:val="false"/>
          <w:caps w:val="false"/>
          <w:smallCaps w:val="false"/>
          <w:color w:val="000000"/>
          <w:sz w:val="20"/>
          <w:u w:val="single"/>
        </w:rPr>
        <w:t>Closing</w:t>
      </w:r>
      <w:r>
        <w:rPr>
          <w:rFonts w:ascii="Arial;Helvetica;sans-serif" w:hAnsi="Arial;Helvetica;sans-serif"/>
          <w:b w:val="false"/>
          <w:i w:val="false"/>
          <w:caps w:val="false"/>
          <w:smallCaps w:val="false"/>
          <w:color w:val="000000"/>
          <w:sz w:val="20"/>
        </w:rPr>
        <w:t xml:space="preserve">”) shall take place remotely at 8:00 a.m., New York City time, on the third (3rd) Business Day after the satisfaction or, to the extent permitted by applicable Law, waiver of the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(other than any such conditions that by their nature are to be satisfied at the Closing, but subject to the satisfaction or, to the extent permitted by applicable Law, waiver of such conditions at the Closing), unless another date, time or place is agreed to in writing by the Company and Parent. The date on which the Closing takes place is referred to as the “</w:t>
      </w:r>
      <w:r>
        <w:rPr>
          <w:rFonts w:ascii="Arial;Helvetica;sans-serif" w:hAnsi="Arial;Helvetica;sans-serif"/>
          <w:b w:val="false"/>
          <w:i w:val="false"/>
          <w:caps w:val="false"/>
          <w:smallCaps w:val="false"/>
          <w:color w:val="000000"/>
          <w:sz w:val="20"/>
          <w:u w:val="single"/>
        </w:rPr>
        <w:t>Closing Date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2.3. </w:t>
      </w:r>
      <w:r>
        <w:rPr>
          <w:rFonts w:ascii="Arial;Helvetica;sans-serif" w:hAnsi="Arial;Helvetica;sans-serif"/>
          <w:b w:val="false"/>
          <w:i w:val="false"/>
          <w:caps w:val="false"/>
          <w:smallCaps w:val="false"/>
          <w:color w:val="000000"/>
          <w:sz w:val="20"/>
          <w:u w:val="single"/>
        </w:rPr>
        <w:t>Effective Time</w:t>
      </w:r>
      <w:r>
        <w:rPr>
          <w:rFonts w:ascii="Arial;Helvetica;sans-serif" w:hAnsi="Arial;Helvetica;sans-serif"/>
          <w:b w:val="false"/>
          <w:i w:val="false"/>
          <w:caps w:val="false"/>
          <w:smallCaps w:val="false"/>
          <w:color w:val="000000"/>
          <w:sz w:val="20"/>
        </w:rPr>
        <w:t>. On the Closing Date, the Parties shall cause a certificate of merger with respect to the Merger (the “</w:t>
      </w:r>
      <w:r>
        <w:rPr>
          <w:rFonts w:ascii="Arial;Helvetica;sans-serif" w:hAnsi="Arial;Helvetica;sans-serif"/>
          <w:b w:val="false"/>
          <w:i w:val="false"/>
          <w:caps w:val="false"/>
          <w:smallCaps w:val="false"/>
          <w:color w:val="000000"/>
          <w:sz w:val="20"/>
          <w:u w:val="single"/>
        </w:rPr>
        <w:t>Certificate of Merger</w:t>
      </w:r>
      <w:r>
        <w:rPr>
          <w:rFonts w:ascii="Arial;Helvetica;sans-serif" w:hAnsi="Arial;Helvetica;sans-serif"/>
          <w:b w:val="false"/>
          <w:i w:val="false"/>
          <w:caps w:val="false"/>
          <w:smallCaps w:val="false"/>
          <w:color w:val="000000"/>
          <w:sz w:val="20"/>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Helvetica;sans-serif" w:hAnsi="Arial;Helvetica;sans-serif"/>
          <w:b w:val="false"/>
          <w:i w:val="false"/>
          <w:caps w:val="false"/>
          <w:smallCaps w:val="false"/>
          <w:color w:val="000000"/>
          <w:sz w:val="20"/>
          <w:u w:val="single"/>
        </w:rPr>
        <w:t>Effective Time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2.4. </w:t>
      </w:r>
      <w:r>
        <w:rPr>
          <w:rFonts w:ascii="Arial;Helvetica;sans-serif" w:hAnsi="Arial;Helvetica;sans-serif"/>
          <w:b w:val="false"/>
          <w:i w:val="false"/>
          <w:caps w:val="false"/>
          <w:smallCaps w:val="false"/>
          <w:color w:val="000000"/>
          <w:sz w:val="20"/>
          <w:u w:val="single"/>
        </w:rPr>
        <w:t>Governing Documents</w:t>
      </w:r>
      <w:r>
        <w:rPr>
          <w:rFonts w:ascii="Arial;Helvetica;sans-serif" w:hAnsi="Arial;Helvetica;sans-serif"/>
          <w:b w:val="false"/>
          <w:i w:val="false"/>
          <w:caps w:val="false"/>
          <w:smallCaps w:val="false"/>
          <w:color w:val="000000"/>
          <w:sz w:val="20"/>
        </w:rPr>
        <w:t xml:space="preserve">.  Unless otherwise determined by Parent prior to the Effective Time, and by virtue of the Merger and pursuant to the Certificate of Merger, at and as of the Effective Time, subject to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certificate of incorporation of the Surviving Company will be amended to read substantially as set forth on </w:t>
      </w:r>
      <w:r>
        <w:rPr>
          <w:rFonts w:ascii="Arial;Helvetica;sans-serif" w:hAnsi="Arial;Helvetica;sans-serif"/>
          <w:b w:val="false"/>
          <w:i w:val="false"/>
          <w:caps w:val="false"/>
          <w:smallCaps w:val="false"/>
          <w:color w:val="000000"/>
          <w:sz w:val="20"/>
          <w:u w:val="single"/>
        </w:rPr>
        <w:t>Annex A</w:t>
      </w:r>
      <w:r>
        <w:rPr>
          <w:rFonts w:ascii="Arial;Helvetica;sans-serif" w:hAnsi="Arial;Helvetica;sans-serif"/>
          <w:b w:val="false"/>
          <w:i w:val="false"/>
          <w:caps w:val="false"/>
          <w:smallCaps w:val="false"/>
          <w:color w:val="000000"/>
          <w:sz w:val="20"/>
        </w:rPr>
        <w:t xml:space="preserve"> hereto (the “</w:t>
      </w:r>
      <w:r>
        <w:rPr>
          <w:rFonts w:ascii="Arial;Helvetica;sans-serif" w:hAnsi="Arial;Helvetica;sans-serif"/>
          <w:b w:val="false"/>
          <w:i w:val="false"/>
          <w:caps w:val="false"/>
          <w:smallCaps w:val="false"/>
          <w:color w:val="000000"/>
          <w:sz w:val="20"/>
          <w:u w:val="single"/>
        </w:rPr>
        <w:t>Surviving Company Certificate of Incorporation</w:t>
      </w:r>
      <w:r>
        <w:rPr>
          <w:rFonts w:ascii="Arial;Helvetica;sans-serif" w:hAnsi="Arial;Helvetica;sans-serif"/>
          <w:b w:val="false"/>
          <w:i w:val="false"/>
          <w:caps w:val="false"/>
          <w:smallCaps w:val="false"/>
          <w:color w:val="000000"/>
          <w:sz w:val="20"/>
        </w:rPr>
        <w:t xml:space="preserve">”) and the bylaws of the Surviving Company will be amended to read substantially as set forth on </w:t>
      </w:r>
      <w:r>
        <w:rPr>
          <w:rFonts w:ascii="Arial;Helvetica;sans-serif" w:hAnsi="Arial;Helvetica;sans-serif"/>
          <w:b w:val="false"/>
          <w:i w:val="false"/>
          <w:caps w:val="false"/>
          <w:smallCaps w:val="false"/>
          <w:color w:val="000000"/>
          <w:sz w:val="20"/>
          <w:u w:val="single"/>
        </w:rPr>
        <w:t>Annex B</w:t>
      </w:r>
      <w:r>
        <w:rPr>
          <w:rFonts w:ascii="Arial;Helvetica;sans-serif" w:hAnsi="Arial;Helvetica;sans-serif"/>
          <w:b w:val="false"/>
          <w:i w:val="false"/>
          <w:caps w:val="false"/>
          <w:smallCaps w:val="false"/>
          <w:color w:val="000000"/>
          <w:sz w:val="20"/>
        </w:rPr>
        <w:t xml:space="preserve"> hereto (the “</w:t>
      </w:r>
      <w:r>
        <w:rPr>
          <w:rFonts w:ascii="Arial;Helvetica;sans-serif" w:hAnsi="Arial;Helvetica;sans-serif"/>
          <w:b w:val="false"/>
          <w:i w:val="false"/>
          <w:caps w:val="false"/>
          <w:smallCaps w:val="false"/>
          <w:color w:val="000000"/>
          <w:sz w:val="20"/>
          <w:u w:val="single"/>
        </w:rPr>
        <w:t>Surviving Company Bylaws</w:t>
      </w:r>
      <w:r>
        <w:rPr>
          <w:rFonts w:ascii="Arial;Helvetica;sans-serif" w:hAnsi="Arial;Helvetica;sans-serif"/>
          <w:b w:val="false"/>
          <w:i w:val="false"/>
          <w:caps w:val="false"/>
          <w:smallCaps w:val="false"/>
          <w:color w:val="000000"/>
          <w:sz w:val="20"/>
        </w:rPr>
        <w:t xml:space="preserve">”), in each case, until thereafter changed or amended as provided therein or by applicable Law (and subject to the provisions of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name of the Surviving Company shall be “LiveRamp Holdings,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2.5. </w:t>
      </w:r>
      <w:r>
        <w:rPr>
          <w:rFonts w:ascii="Arial;Helvetica;sans-serif" w:hAnsi="Arial;Helvetica;sans-serif"/>
          <w:b w:val="false"/>
          <w:i w:val="false"/>
          <w:caps w:val="false"/>
          <w:smallCaps w:val="false"/>
          <w:color w:val="000000"/>
          <w:sz w:val="20"/>
          <w:u w:val="single"/>
        </w:rPr>
        <w:t>Officers and Directors of the Surviving Company</w:t>
      </w:r>
      <w:r>
        <w:rPr>
          <w:rFonts w:ascii="Arial;Helvetica;sans-serif" w:hAnsi="Arial;Helvetica;sans-serif"/>
          <w:b w:val="false"/>
          <w:i w:val="false"/>
          <w:caps w:val="false"/>
          <w:smallCaps w:val="false"/>
          <w:color w:val="000000"/>
          <w:sz w:val="20"/>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TREATMENT OF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3.1. </w:t>
      </w:r>
      <w:r>
        <w:rPr>
          <w:rFonts w:ascii="Arial;Helvetica;sans-serif" w:hAnsi="Arial;Helvetica;sans-serif"/>
          <w:b w:val="false"/>
          <w:i w:val="false"/>
          <w:caps w:val="false"/>
          <w:smallCaps w:val="false"/>
          <w:color w:val="000000"/>
          <w:sz w:val="20"/>
          <w:u w:val="single"/>
        </w:rPr>
        <w:t>Treatment of Capital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Treatment of Company Common Stock</w:t>
      </w:r>
      <w:r>
        <w:rPr>
          <w:rFonts w:ascii="Arial;Helvetica;sans-serif" w:hAnsi="Arial;Helvetica;sans-serif"/>
          <w:b w:val="false"/>
          <w:i w:val="false"/>
          <w:caps w:val="false"/>
          <w:smallCaps w:val="false"/>
          <w:color w:val="000000"/>
          <w:sz w:val="20"/>
        </w:rPr>
        <w:t>.  At the Effective Time, by virtue of the Merger and without any action on the part of the Parties or holders of any securities of the Company or of Merger Sub, each share of Company Common Stock issued and outstanding immediately prior to the Effective Time (other than any Dissenting Shares, Cancelled Shares or any Converted Shares) shall be converted, in accordance with the procedures set forth in this Agreement, into the right to receive $38.50 in cash, without interest (the “</w:t>
      </w:r>
      <w:r>
        <w:rPr>
          <w:rFonts w:ascii="Arial;Helvetica;sans-serif" w:hAnsi="Arial;Helvetica;sans-serif"/>
          <w:b w:val="false"/>
          <w:i w:val="false"/>
          <w:caps w:val="false"/>
          <w:smallCaps w:val="false"/>
          <w:color w:val="000000"/>
          <w:sz w:val="20"/>
          <w:u w:val="single"/>
        </w:rPr>
        <w:t>Merger Consideration</w:t>
      </w:r>
      <w:r>
        <w:rPr>
          <w:rFonts w:ascii="Arial;Helvetica;sans-serif" w:hAnsi="Arial;Helvetica;sans-serif"/>
          <w:b w:val="false"/>
          <w:i w:val="false"/>
          <w:caps w:val="false"/>
          <w:smallCaps w:val="false"/>
          <w:color w:val="000000"/>
          <w:sz w:val="20"/>
        </w:rPr>
        <w:t xml:space="preserve">”). From and after the Effective Time, all such shares of Company Common Stock (other than any Dissenting Shares, Cancelled Shares or Converted Shares) shall no longer be outstanding and shall automatically be cancelled and shall cease to exist, and each applicable holder of such Company Common Stock shall cease to have any rights with respect thereto, except the right to receive the Merger Consideration therefor upon the surrender of such shares of Company Common Stock in accordance with </w:t>
      </w:r>
      <w:r>
        <w:rPr>
          <w:rFonts w:ascii="Arial;Helvetica;sans-serif" w:hAnsi="Arial;Helvetica;sans-serif"/>
          <w:b w:val="false"/>
          <w:i w:val="false"/>
          <w:caps w:val="false"/>
          <w:smallCaps w:val="false"/>
          <w:color w:val="000000"/>
          <w:sz w:val="20"/>
          <w:u w:val="single"/>
        </w:rPr>
        <w:t>Section 3.2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Certain Company Common Stock</w:t>
      </w:r>
      <w:r>
        <w:rPr>
          <w:rFonts w:ascii="Arial;Helvetica;sans-serif" w:hAnsi="Arial;Helvetica;sans-serif"/>
          <w:b w:val="false"/>
          <w:i w:val="false"/>
          <w:caps w:val="false"/>
          <w:smallCaps w:val="false"/>
          <w:color w:val="000000"/>
          <w:sz w:val="20"/>
        </w:rPr>
        <w:t>.  At the Effective Time, each share of Company Common Stock that is, immediately prior to the Effective Time, owned or held in treasury by the Company or is owned by Parent or Merger Sub (collectively, the “</w:t>
      </w:r>
      <w:r>
        <w:rPr>
          <w:rFonts w:ascii="Arial;Helvetica;sans-serif" w:hAnsi="Arial;Helvetica;sans-serif"/>
          <w:b w:val="false"/>
          <w:i w:val="false"/>
          <w:caps w:val="false"/>
          <w:smallCaps w:val="false"/>
          <w:color w:val="000000"/>
          <w:sz w:val="20"/>
          <w:u w:val="single"/>
        </w:rPr>
        <w:t>Cancelled Shares</w:t>
      </w:r>
      <w:r>
        <w:rPr>
          <w:rFonts w:ascii="Arial;Helvetica;sans-serif" w:hAnsi="Arial;Helvetica;sans-serif"/>
          <w:b w:val="false"/>
          <w:i w:val="false"/>
          <w:caps w:val="false"/>
          <w:smallCaps w:val="false"/>
          <w:color w:val="000000"/>
          <w:sz w:val="20"/>
        </w:rPr>
        <w:t xml:space="preserve">”) shall automatically be cancelled and retired and shall cease to exist,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S3PF"/>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and no consideration shall be delivered in connection with the Merger with respect to such Cancelled Shares. At the Effective Time, any shares of Company Common Stock issued and outstanding immediately prior to the Effective Time that are owned by any direct or indirect wholly owned Subsidiary of Parent (other than Merger Sub) or of the Company (the “</w:t>
      </w:r>
      <w:r>
        <w:rPr>
          <w:rFonts w:ascii="Arial;Helvetica;sans-serif" w:hAnsi="Arial;Helvetica;sans-serif"/>
          <w:b w:val="false"/>
          <w:i w:val="false"/>
          <w:caps w:val="false"/>
          <w:smallCaps w:val="false"/>
          <w:color w:val="000000"/>
          <w:sz w:val="20"/>
          <w:u w:val="single"/>
        </w:rPr>
        <w:t>Converted Shares</w:t>
      </w:r>
      <w:r>
        <w:rPr>
          <w:rFonts w:ascii="Arial;Helvetica;sans-serif" w:hAnsi="Arial;Helvetica;sans-serif"/>
          <w:b w:val="false"/>
          <w:i w:val="false"/>
          <w:caps w:val="false"/>
          <w:smallCaps w:val="false"/>
          <w:color w:val="000000"/>
          <w:sz w:val="20"/>
        </w:rPr>
        <w:t>”) shall be converted into such number of shares of common stock of the Surviving Company (“</w:t>
      </w:r>
      <w:r>
        <w:rPr>
          <w:rFonts w:ascii="Arial;Helvetica;sans-serif" w:hAnsi="Arial;Helvetica;sans-serif"/>
          <w:b w:val="false"/>
          <w:i w:val="false"/>
          <w:caps w:val="false"/>
          <w:smallCaps w:val="false"/>
          <w:color w:val="000000"/>
          <w:sz w:val="20"/>
          <w:u w:val="single"/>
        </w:rPr>
        <w:t>Surviving Company Stock</w:t>
      </w:r>
      <w:r>
        <w:rPr>
          <w:rFonts w:ascii="Arial;Helvetica;sans-serif" w:hAnsi="Arial;Helvetica;sans-serif"/>
          <w:b w:val="false"/>
          <w:i w:val="false"/>
          <w:caps w:val="false"/>
          <w:smallCaps w:val="false"/>
          <w:color w:val="000000"/>
          <w:sz w:val="20"/>
        </w:rPr>
        <w:t>”) such that the ownership percentage of any such Subsidiary in the Surviving Company shall equal the ownership percentage of such Subsidiary in the Company immediately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Treatment of Merger Sub Shares</w:t>
      </w:r>
      <w:r>
        <w:rPr>
          <w:rFonts w:ascii="Arial;Helvetica;sans-serif" w:hAnsi="Arial;Helvetica;sans-serif"/>
          <w:b w:val="false"/>
          <w:i w:val="false"/>
          <w:caps w:val="false"/>
          <w:smallCaps w:val="false"/>
          <w:color w:val="000000"/>
          <w:sz w:val="20"/>
        </w:rPr>
        <w:t>.  At the Effective Time, each outstanding share of common stock of Merger Sub shall be automatically converted into and become one (1) fully paid and nonassessable share of Surviving Company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Adjustment to Merger Consideration</w:t>
      </w:r>
      <w:r>
        <w:rPr>
          <w:rFonts w:ascii="Arial;Helvetica;sans-serif" w:hAnsi="Arial;Helvetica;sans-serif"/>
          <w:b w:val="false"/>
          <w:i w:val="false"/>
          <w:caps w:val="false"/>
          <w:smallCaps w:val="false"/>
          <w:color w:val="000000"/>
          <w:sz w:val="20"/>
        </w:rPr>
        <w:t xml:space="preserve">.  If, between the date of this Agreement and the Effective Time, the outstanding shares of Company Common Stock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without duplication, to proportionately reflect any such change. Nothing in this </w:t>
      </w:r>
      <w:r>
        <w:rPr>
          <w:rFonts w:ascii="Arial;Helvetica;sans-serif" w:hAnsi="Arial;Helvetica;sans-serif"/>
          <w:b w:val="false"/>
          <w:i w:val="false"/>
          <w:caps w:val="false"/>
          <w:smallCaps w:val="false"/>
          <w:color w:val="000000"/>
          <w:sz w:val="20"/>
          <w:u w:val="single"/>
        </w:rPr>
        <w:t>Section 3.1(d)</w:t>
      </w:r>
      <w:r>
        <w:rPr>
          <w:rFonts w:ascii="Arial;Helvetica;sans-serif" w:hAnsi="Arial;Helvetica;sans-serif"/>
          <w:b w:val="false"/>
          <w:i w:val="false"/>
          <w:caps w:val="false"/>
          <w:smallCaps w:val="false"/>
          <w:color w:val="000000"/>
          <w:sz w:val="20"/>
        </w:rPr>
        <w:t xml:space="preserve"> shall be construed to permit the Company to take any action with respect to its securities that is prohibited by the terms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Dissenting Shares</w:t>
      </w:r>
      <w:r>
        <w:rPr>
          <w:rFonts w:ascii="Arial;Helvetica;sans-serif" w:hAnsi="Arial;Helvetica;sans-serif"/>
          <w:b w:val="false"/>
          <w:i w:val="false"/>
          <w:caps w:val="false"/>
          <w:smallCaps w:val="false"/>
          <w:color w:val="000000"/>
          <w:sz w:val="20"/>
        </w:rPr>
        <w:t>.  Notwithstanding anything in this Agreement to the contrary, shares of Company Common Stock that are issued and outstanding immediately prior to the Effective Time and that are owned by stockholders that have properly perfected their rights of appraisal within the meaning of Section 262 of the DGCL (the “</w:t>
      </w:r>
      <w:r>
        <w:rPr>
          <w:rFonts w:ascii="Arial;Helvetica;sans-serif" w:hAnsi="Arial;Helvetica;sans-serif"/>
          <w:b w:val="false"/>
          <w:i w:val="false"/>
          <w:caps w:val="false"/>
          <w:smallCaps w:val="false"/>
          <w:color w:val="000000"/>
          <w:sz w:val="20"/>
          <w:u w:val="single"/>
        </w:rPr>
        <w:t>Dissenting Shares</w:t>
      </w:r>
      <w:r>
        <w:rPr>
          <w:rFonts w:ascii="Arial;Helvetica;sans-serif" w:hAnsi="Arial;Helvetica;sans-serif"/>
          <w:b w:val="false"/>
          <w:i w:val="false"/>
          <w:caps w:val="false"/>
          <w:smallCaps w:val="false"/>
          <w:color w:val="000000"/>
          <w:sz w:val="20"/>
        </w:rPr>
        <w:t xml:space="preserve">”) shall not be converted into the right to receive the Merger Consideration, unless and until such stockholders shall have failed to perfect any available right of appraisal under applicable Law, but, instead, the holders thereof shall be entitled to payment of the appraised value of such Dissenting Shares in accordance with Section 262 of the DGCL. Notwithstanding the foregoing, if any such holder shall have failed to perfect or shall have effectively withdrawn or lost such right of appraisal, the shares of Company Common Stock held by such stockholder shall not be deemed Dissenting Shares for purposes of this Agreement and shall thereupon be deemed to have been converted into the Merger Consideration at the Effective Time in accordance with </w:t>
      </w:r>
      <w:r>
        <w:rPr>
          <w:rFonts w:ascii="Arial;Helvetica;sans-serif" w:hAnsi="Arial;Helvetica;sans-serif"/>
          <w:b w:val="false"/>
          <w:i w:val="false"/>
          <w:caps w:val="false"/>
          <w:smallCaps w:val="false"/>
          <w:color w:val="000000"/>
          <w:sz w:val="20"/>
          <w:u w:val="single"/>
        </w:rPr>
        <w:t>Section 3.1(a)</w:t>
      </w:r>
      <w:r>
        <w:rPr>
          <w:rFonts w:ascii="Arial;Helvetica;sans-serif" w:hAnsi="Arial;Helvetica;sans-serif"/>
          <w:b w:val="false"/>
          <w:i w:val="false"/>
          <w:caps w:val="false"/>
          <w:smallCaps w:val="false"/>
          <w:color w:val="000000"/>
          <w:sz w:val="20"/>
        </w:rPr>
        <w:t>. The Company shall give Parent (i) prompt notice of any demands for appraisal filed pursuant to Section 262 of the DGCL received by the Company, withdrawals of such demands and any other instruments served or delivered in connection with such demands pursuant to the DGCL and received by the Company and (ii) to the extent permitted by applicable Law, the opportunity and right to participate with the Company in all negotiations and proceedings with respect to demands made pursuant to Section 262 of the DGCL. Neither the Company nor Parent shall, except with the prior written consent of the other Party, (A) voluntarily make any payment with respect to any such demand, (B) offer to settle or settle any such demand or (C) waive any failure to timely deliver a written demand for appraisal or timely take any other action to perfect appraisal rights in accordance with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3.2. </w:t>
      </w:r>
      <w:r>
        <w:rPr>
          <w:rFonts w:ascii="Arial;Helvetica;sans-serif" w:hAnsi="Arial;Helvetica;sans-serif"/>
          <w:b w:val="false"/>
          <w:i w:val="false"/>
          <w:caps w:val="false"/>
          <w:smallCaps w:val="false"/>
          <w:color w:val="000000"/>
          <w:sz w:val="20"/>
          <w:u w:val="single"/>
        </w:rPr>
        <w:t>Payment for Securities; Surrender of Certificates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Payment Fund</w:t>
      </w:r>
      <w:r>
        <w:rPr>
          <w:rFonts w:ascii="Arial;Helvetica;sans-serif" w:hAnsi="Arial;Helvetica;sans-serif"/>
          <w:b w:val="false"/>
          <w:i w:val="false"/>
          <w:caps w:val="false"/>
          <w:smallCaps w:val="false"/>
          <w:color w:val="000000"/>
          <w:sz w:val="20"/>
        </w:rPr>
        <w:t>.  Prior to the Effective Time, Parent shall designate a United States bank or trust company or other independent financial institution in the United States that is reasonably acceptable to the Company to act as the paying agent in connection with the Merger (the “</w:t>
      </w:r>
      <w:r>
        <w:rPr>
          <w:rFonts w:ascii="Arial;Helvetica;sans-serif" w:hAnsi="Arial;Helvetica;sans-serif"/>
          <w:b w:val="false"/>
          <w:i w:val="false"/>
          <w:caps w:val="false"/>
          <w:smallCaps w:val="false"/>
          <w:color w:val="000000"/>
          <w:sz w:val="20"/>
          <w:u w:val="single"/>
        </w:rPr>
        <w:t>Paying Agent</w:t>
      </w:r>
      <w:r>
        <w:rPr>
          <w:rFonts w:ascii="Arial;Helvetica;sans-serif" w:hAnsi="Arial;Helvetica;sans-serif"/>
          <w:b w:val="false"/>
          <w:i w:val="false"/>
          <w:caps w:val="false"/>
          <w:smallCaps w:val="false"/>
          <w:color w:val="000000"/>
          <w:sz w:val="20"/>
        </w:rPr>
        <w:t>”). The Paying Agent shall also act as the agent for the Company Stockholders for the purpose of receiving and holding their Certificates and Book-Entry Shares and shall obtain no rights or interests in the shares represented thereby. Prior to the Effective Time, Parent shall deposit, or cause to be deposited, with the Paying Agent cash in immediately available funds in an amount sufficient to pay the aggregate Merger Consideration (the “</w:t>
      </w:r>
      <w:r>
        <w:rPr>
          <w:rFonts w:ascii="Arial;Helvetica;sans-serif" w:hAnsi="Arial;Helvetica;sans-serif"/>
          <w:b w:val="false"/>
          <w:i w:val="false"/>
          <w:caps w:val="false"/>
          <w:smallCaps w:val="false"/>
          <w:color w:val="000000"/>
          <w:sz w:val="20"/>
          <w:u w:val="single"/>
        </w:rPr>
        <w:t>Payment Fund</w:t>
      </w:r>
      <w:r>
        <w:rPr>
          <w:rFonts w:ascii="Arial;Helvetica;sans-serif" w:hAnsi="Arial;Helvetica;sans-serif"/>
          <w:b w:val="false"/>
          <w:i w:val="false"/>
          <w:caps w:val="false"/>
          <w:smallCaps w:val="false"/>
          <w:color w:val="000000"/>
          <w:sz w:val="20"/>
        </w:rPr>
        <w:t xml:space="preserve">”), in each case, for the sole benefit of the holders of Company Common Stock. In the event that the Payment Fund shall be insufficient (other than as a result of payment of the Merger Consideration in accordance with this Agreement) to pay the Merger Consideration, Parent shall promptly deposit, or cause to be deposited, additional funds with the Paying Agent in an amount that is equal to the shortfall that is required to make such payment. Parent shall cause the Paying Agent to make, and the Paying Agent shall make, delivery of the Merger Consideration out of the Payment Fund in accordance with this Agreement. The Payment Fund shall not be used for any purpose that is not expressly provided for in this Agreement. The Payment Fund shall be invested by the Paying Agent as reasonably directed by Parent;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(i) any such investments shall be in short-term obligations of the United States, or otherwise guaranteed by the United States and backed by the full faith and credit of the United States, in each case with maturities of no more than thirty (30)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days and (ii) no such investment or loss thereon shall affect the amounts payable to holders of Certificates or Book-Entry Shares pursuant to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Any interest and other income resulting from such investments shall be paid to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Procedures for Surrender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w:t>
      </w:r>
      <w:r>
        <w:rPr>
          <w:rFonts w:ascii="Arial;Helvetica;sans-serif" w:hAnsi="Arial;Helvetica;sans-serif"/>
          <w:b w:val="false"/>
          <w:i w:val="false"/>
          <w:caps w:val="false"/>
          <w:smallCaps w:val="false"/>
          <w:color w:val="000000"/>
          <w:sz w:val="20"/>
          <w:u w:val="single"/>
        </w:rPr>
        <w:t>Company Common Stock Certificates</w:t>
      </w:r>
      <w:r>
        <w:rPr>
          <w:rFonts w:ascii="Arial;Helvetica;sans-serif" w:hAnsi="Arial;Helvetica;sans-serif"/>
          <w:b w:val="false"/>
          <w:i w:val="false"/>
          <w:caps w:val="false"/>
          <w:smallCaps w:val="false"/>
          <w:color w:val="000000"/>
          <w:sz w:val="20"/>
        </w:rPr>
        <w:t>.  Promptly after the Effective Time, Parent shall cause the Paying Agent to mail to each holder of record of a certificate or certificates which immediately prior to the Effective Time represented outstanding shares of Company Common Stock (the “</w:t>
      </w:r>
      <w:r>
        <w:rPr>
          <w:rFonts w:ascii="Arial;Helvetica;sans-serif" w:hAnsi="Arial;Helvetica;sans-serif"/>
          <w:b w:val="false"/>
          <w:i w:val="false"/>
          <w:caps w:val="false"/>
          <w:smallCaps w:val="false"/>
          <w:color w:val="000000"/>
          <w:sz w:val="20"/>
          <w:u w:val="single"/>
        </w:rPr>
        <w:t>Certificates</w:t>
      </w:r>
      <w:r>
        <w:rPr>
          <w:rFonts w:ascii="Arial;Helvetica;sans-serif" w:hAnsi="Arial;Helvetica;sans-serif"/>
          <w:b w:val="false"/>
          <w:i w:val="false"/>
          <w:caps w:val="false"/>
          <w:smallCaps w:val="false"/>
          <w:color w:val="000000"/>
          <w:sz w:val="20"/>
        </w:rPr>
        <w:t xml:space="preserve">”) and whose shares of Company Common Stock were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Paying Agent and shall be in such form and have such other provisions as Parent may reasonably agree upon prior to the Effective Time (the “</w:t>
      </w:r>
      <w:r>
        <w:rPr>
          <w:rFonts w:ascii="Arial;Helvetica;sans-serif" w:hAnsi="Arial;Helvetica;sans-serif"/>
          <w:b w:val="false"/>
          <w:i w:val="false"/>
          <w:caps w:val="false"/>
          <w:smallCaps w:val="false"/>
          <w:color w:val="000000"/>
          <w:sz w:val="20"/>
          <w:u w:val="single"/>
        </w:rPr>
        <w:t>Letter of Transmittal</w:t>
      </w:r>
      <w:r>
        <w:rPr>
          <w:rFonts w:ascii="Arial;Helvetica;sans-serif" w:hAnsi="Arial;Helvetica;sans-serif"/>
          <w:b w:val="false"/>
          <w:i w:val="false"/>
          <w:caps w:val="false"/>
          <w:smallCaps w:val="false"/>
          <w:color w:val="000000"/>
          <w:sz w:val="20"/>
        </w:rPr>
        <w:t xml:space="preserve">”)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Upon surrender of a Certificate (or an affidavit of loss in lieu thereof and, if required by Parent, an indemnity bond) for cancellation to the Paying Agent or to such other agent or agents as may be appointed by Parent, together with such Letter of Transmittal duly completed and validly executed in accordance with the instructions thereto, and such other documents as may be required pursuant to such instructions, and subject to the occurrence of the Effective Time, the holder of such Certificate shall be entitled to receive in exchange therefor the Merger Consideration pursuant to the provisions of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for each share of Company Common Stock formerly represented by such Certificate, and the Certificate (or affidavit of loss in lieu thereof and, if required by Parent, an indemnity bond) so surrendered shall be forthwith cancelled. The Paying Agent shall accept such Certificates (or affidavits of loss in lieu thereof and, if required by Parent, an indemnity bond) upon compliance with such reasonable terms and conditions as the Paying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w:t>
      </w:r>
      <w:r>
        <w:rPr>
          <w:rFonts w:ascii="Arial;Helvetica;sans-serif" w:hAnsi="Arial;Helvetica;sans-serif"/>
          <w:b w:val="false"/>
          <w:i w:val="false"/>
          <w:caps w:val="false"/>
          <w:smallCaps w:val="false"/>
          <w:color w:val="000000"/>
          <w:sz w:val="20"/>
          <w:u w:val="single"/>
        </w:rPr>
        <w:t>Book-Entry Shares</w:t>
      </w:r>
      <w:r>
        <w:rPr>
          <w:rFonts w:ascii="Arial;Helvetica;sans-serif" w:hAnsi="Arial;Helvetica;sans-serif"/>
          <w:b w:val="false"/>
          <w:i w:val="false"/>
          <w:caps w:val="false"/>
          <w:smallCaps w:val="false"/>
          <w:color w:val="000000"/>
          <w:sz w:val="20"/>
        </w:rPr>
        <w:t>.  Any holder of non-certificated Company Common Stock represented by book-entry (“</w:t>
      </w:r>
      <w:r>
        <w:rPr>
          <w:rFonts w:ascii="Arial;Helvetica;sans-serif" w:hAnsi="Arial;Helvetica;sans-serif"/>
          <w:b w:val="false"/>
          <w:i w:val="false"/>
          <w:caps w:val="false"/>
          <w:smallCaps w:val="false"/>
          <w:color w:val="000000"/>
          <w:sz w:val="20"/>
          <w:u w:val="single"/>
        </w:rPr>
        <w:t>Book-Entry Shares</w:t>
      </w:r>
      <w:r>
        <w:rPr>
          <w:rFonts w:ascii="Arial;Helvetica;sans-serif" w:hAnsi="Arial;Helvetica;sans-serif"/>
          <w:b w:val="false"/>
          <w:i w:val="false"/>
          <w:caps w:val="false"/>
          <w:smallCaps w:val="false"/>
          <w:color w:val="000000"/>
          <w:sz w:val="20"/>
        </w:rPr>
        <w:t xml:space="preserve">”) and whose shares of Company Common Stock were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into the right to receive the Merger Consideration shall not be required to deliver a Certificate or an executed Letter of Transmittal to the Paying Agent to receive the Merger Consideration. In lieu thereof, subject to compliance with customary procedures of the Paying Agent with respect thereto, each registered holder of one (1) or more Book-Entry Shares shall upon the Effective Time be entitled to receive, and Parent shall cause the Paying Agent to pay and deliver as promptly as reasonably practicable after the Effective Time, the Merger Consideration pursuant to the provisions of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w:t>
      </w:r>
      <w:r>
        <w:rPr>
          <w:rFonts w:ascii="Arial;Helvetica;sans-serif" w:hAnsi="Arial;Helvetica;sans-serif"/>
          <w:b w:val="false"/>
          <w:i w:val="false"/>
          <w:caps w:val="false"/>
          <w:smallCaps w:val="false"/>
          <w:color w:val="000000"/>
          <w:sz w:val="20"/>
          <w:u w:val="single"/>
        </w:rPr>
        <w:t>No Interest</w:t>
      </w:r>
      <w:r>
        <w:rPr>
          <w:rFonts w:ascii="Arial;Helvetica;sans-serif" w:hAnsi="Arial;Helvetica;sans-serif"/>
          <w:b w:val="false"/>
          <w:i w:val="false"/>
          <w:caps w:val="false"/>
          <w:smallCaps w:val="false"/>
          <w:color w:val="000000"/>
          <w:sz w:val="20"/>
        </w:rPr>
        <w:t xml:space="preserve">.  No interest shall be paid or accrue on any portion of the Merger Consideration payable upon surrender of any Certificate (or affidavit of loss in lieu thereof in accordance with </w:t>
      </w:r>
      <w:r>
        <w:rPr>
          <w:rFonts w:ascii="Arial;Helvetica;sans-serif" w:hAnsi="Arial;Helvetica;sans-serif"/>
          <w:b w:val="false"/>
          <w:i w:val="false"/>
          <w:caps w:val="false"/>
          <w:smallCaps w:val="false"/>
          <w:color w:val="000000"/>
          <w:sz w:val="20"/>
          <w:u w:val="single"/>
        </w:rPr>
        <w:t>Section 3.2(e)</w:t>
      </w:r>
      <w:r>
        <w:rPr>
          <w:rFonts w:ascii="Arial;Helvetica;sans-serif" w:hAnsi="Arial;Helvetica;sans-serif"/>
          <w:b w:val="false"/>
          <w:i w:val="false"/>
          <w:caps w:val="false"/>
          <w:smallCaps w:val="false"/>
          <w:color w:val="000000"/>
          <w:sz w:val="20"/>
        </w:rPr>
        <w:t>) or in respect of any Book-Entry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Transfer Books; No Further Ownership Rights</w:t>
      </w:r>
      <w:r>
        <w:rPr>
          <w:rFonts w:ascii="Arial;Helvetica;sans-serif" w:hAnsi="Arial;Helvetica;sans-serif"/>
          <w:b w:val="false"/>
          <w:i w:val="false"/>
          <w:caps w:val="false"/>
          <w:smallCaps w:val="false"/>
          <w:color w:val="000000"/>
          <w:sz w:val="20"/>
        </w:rPr>
        <w:t xml:space="preserve">.  From and after the Effective Time, the stock transfer books of the Company shall be closed and thereafter there shall be no further registration of transfers of Company Common Stock on the records of the Company. Until surrendered as contemplated by this </w:t>
      </w:r>
      <w:r>
        <w:rPr>
          <w:rFonts w:ascii="Arial;Helvetica;sans-serif" w:hAnsi="Arial;Helvetica;sans-serif"/>
          <w:b w:val="false"/>
          <w:i w:val="false"/>
          <w:caps w:val="false"/>
          <w:smallCaps w:val="false"/>
          <w:color w:val="000000"/>
          <w:sz w:val="20"/>
          <w:u w:val="single"/>
        </w:rPr>
        <w:t>Section 3.2</w:t>
      </w:r>
      <w:r>
        <w:rPr>
          <w:rFonts w:ascii="Arial;Helvetica;sans-serif" w:hAnsi="Arial;Helvetica;sans-serif"/>
          <w:b w:val="false"/>
          <w:i w:val="false"/>
          <w:caps w:val="false"/>
          <w:smallCaps w:val="false"/>
          <w:color w:val="000000"/>
          <w:sz w:val="20"/>
        </w:rPr>
        <w:t xml:space="preserve">, each Certificate and Book-Entry Share shall be deemed at any time after the Effective Time to represent only the right to receive the Merger Consideration as contemplated by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If, after the Effective Time, any Certificates or Book-Entry Shares formerly representing shares of Company Common Stock are presented to Parent or the Paying Agent for any reason, such Certificates or Book-Entry Shares shall be cancelled and exchanged as provided in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S3TO1"/>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Termination of Payment Fund; No Liability</w:t>
      </w:r>
      <w:r>
        <w:rPr>
          <w:rFonts w:ascii="Arial;Helvetica;sans-serif" w:hAnsi="Arial;Helvetica;sans-serif"/>
          <w:b w:val="false"/>
          <w:i w:val="false"/>
          <w:caps w:val="false"/>
          <w:smallCaps w:val="false"/>
          <w:color w:val="000000"/>
          <w:sz w:val="20"/>
        </w:rPr>
        <w:t xml:space="preserve">.  At any time following the first (1st) anniversary of the Effective Time, Parent shall be entitled to require the Paying Agent to deliver to it any funds (including any interest received with respect thereto) remaining in the Payment Fund that have not been disbursed (other than funds for which disbursement is pending subject only to the Paying Agent’s routine administrative procedures) to holders of Certificates or Book-Entry Shares, and thereafter such holders shall be entitled to look only to Parent (subject to abandoned property, escheat or other similar Laws) as general creditors thereof with respect to the Merger Consideration payable upon due surrender of their Certificates (or affidavit of loss in lieu thereof in accordance with </w:t>
      </w:r>
      <w:r>
        <w:rPr>
          <w:rFonts w:ascii="Arial;Helvetica;sans-serif" w:hAnsi="Arial;Helvetica;sans-serif"/>
          <w:b w:val="false"/>
          <w:i w:val="false"/>
          <w:caps w:val="false"/>
          <w:smallCaps w:val="false"/>
          <w:color w:val="000000"/>
          <w:sz w:val="20"/>
          <w:u w:val="single"/>
        </w:rPr>
        <w:t>Section 3.2(e)</w:t>
      </w:r>
      <w:r>
        <w:rPr>
          <w:rFonts w:ascii="Arial;Helvetica;sans-serif" w:hAnsi="Arial;Helvetica;sans-serif"/>
          <w:b w:val="false"/>
          <w:i w:val="false"/>
          <w:caps w:val="false"/>
          <w:smallCaps w:val="false"/>
          <w:color w:val="000000"/>
          <w:sz w:val="20"/>
        </w:rPr>
        <w:t xml:space="preserve">) or Book-Entry Shares and compliance with the procedures in </w:t>
      </w:r>
      <w:r>
        <w:rPr>
          <w:rFonts w:ascii="Arial;Helvetica;sans-serif" w:hAnsi="Arial;Helvetica;sans-serif"/>
          <w:b w:val="false"/>
          <w:i w:val="false"/>
          <w:caps w:val="false"/>
          <w:smallCaps w:val="false"/>
          <w:color w:val="000000"/>
          <w:sz w:val="20"/>
          <w:u w:val="single"/>
        </w:rPr>
        <w:t>Section 3.2(b)</w:t>
      </w:r>
      <w:r>
        <w:rPr>
          <w:rFonts w:ascii="Arial;Helvetica;sans-serif" w:hAnsi="Arial;Helvetica;sans-serif"/>
          <w:b w:val="false"/>
          <w:i w:val="false"/>
          <w:caps w:val="false"/>
          <w:smallCaps w:val="false"/>
          <w:color w:val="000000"/>
          <w:sz w:val="20"/>
        </w:rPr>
        <w:t>, without any interest thereon. Notwithstanding the foregoing, none of Parent, the Company, Merger Sub, the Surviving Company or the Paying Agent shall be liable to any holder of a Certificate or Book-Entry Share for any Merger Consideration or other amounts delivered to a public official pursuant to any applicable abandoned property, escheat or similar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Lost, Stolen or Destroyed Certificates</w:t>
      </w:r>
      <w:r>
        <w:rPr>
          <w:rFonts w:ascii="Arial;Helvetica;sans-serif" w:hAnsi="Arial;Helvetica;sans-serif"/>
          <w:b w:val="false"/>
          <w:i w:val="false"/>
          <w:caps w:val="false"/>
          <w:smallCaps w:val="false"/>
          <w:color w:val="000000"/>
          <w:sz w:val="20"/>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the Merger Consideration payable in respect thereof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3.3. </w:t>
      </w:r>
      <w:r>
        <w:rPr>
          <w:rFonts w:ascii="Arial;Helvetica;sans-serif" w:hAnsi="Arial;Helvetica;sans-serif"/>
          <w:b w:val="false"/>
          <w:i w:val="false"/>
          <w:caps w:val="false"/>
          <w:smallCaps w:val="false"/>
          <w:color w:val="000000"/>
          <w:sz w:val="20"/>
          <w:u w:val="single"/>
        </w:rPr>
        <w:t>Treatment of Company Equity Awards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Company Options</w:t>
      </w:r>
      <w:r>
        <w:rPr>
          <w:rFonts w:ascii="Arial;Helvetica;sans-serif" w:hAnsi="Arial;Helvetica;sans-serif"/>
          <w:b w:val="false"/>
          <w:i w:val="false"/>
          <w:caps w:val="false"/>
          <w:smallCaps w:val="false"/>
          <w:color w:val="000000"/>
          <w:sz w:val="20"/>
        </w:rPr>
        <w:t xml:space="preserve">.  At the Effective Time, each Company Option that is outstanding and unexercised, whether or not vested, as of immediately prior to the Effective Time shall, without any action on the part of Parent, the Company or the holder thereof, be converted into a restricted cash award in an amount equal to (i) the number of shares of Company Common Stock subject to the Company Option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excess of the Merger Consideration over the applicable exercise price per share of Company Common Stock subject to such Company Option, which restricted cash award shall otherwise be subject to the same terms and conditions as applicable to such Company Option as of immediately prior to the Effective Time (for clarity, including vesting terms for unvested Company Options);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Company Restricted Stock Awards</w:t>
      </w:r>
      <w:r>
        <w:rPr>
          <w:rFonts w:ascii="Arial;Helvetica;sans-serif" w:hAnsi="Arial;Helvetica;sans-serif"/>
          <w:b w:val="false"/>
          <w:i w:val="false"/>
          <w:caps w:val="false"/>
          <w:smallCaps w:val="false"/>
          <w:color w:val="000000"/>
          <w:sz w:val="20"/>
        </w:rPr>
        <w:t xml:space="preserve">.  At the Effective Time, each Company Restricted Stock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Restricted Stock Award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Merger Consideration, which restricted cash award shall otherwise be subject to the same terms and conditions as applicable to such Company Restricted Stock Award as of immediately prior to the Effective Time;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Company RSU Award and Company PSU Awards</w:t>
      </w:r>
      <w:r>
        <w:rPr>
          <w:rFonts w:ascii="Arial;Helvetica;sans-serif" w:hAnsi="Arial;Helvetica;sans-serif"/>
          <w:b w:val="false"/>
          <w:i w:val="false"/>
          <w:caps w:val="false"/>
          <w:smallCaps w:val="false"/>
          <w:color w:val="000000"/>
          <w:sz w:val="20"/>
        </w:rPr>
        <w:t xml:space="preserve">.  At the Effective Time, each Company RSU Award and each Company PSU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RSU Award or Company PSU Award, as applicable,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Merger Consideration, which restricted cash award shall otherwise be subject to the same terms and conditions as applicable to such Company RSU Award or Company PSU Award, as applicable, as of immediately prior to the Effective Time (except that performance goals underlying Company PSU Awards shall cease to apply);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 For purposes of determining the number of shares of Company Common Stock subject to Company PSU Awards in clause (i), (A) in the case of Rule of 40 Company PSU Awards granted on or prior to December 31, 2025, performance goals will be deemed achieved at one hundred twenty-eight percent (128%) (in the case of fiscal year 2025 grants) or one hundred thirty-nine percent (139%) (in the case of fiscal year 2026 grants) of the target level of performance for both completed and incomplete performance periods; (B) in the case of all other Company PSU Awards granted on or prior to December 31, 2025, performance goals will be deemed achieved based on (I) actual performance for completed performance periods and (II) the greater of the target level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S3WE"/>
      <w:bookmarkEnd w:id="203"/>
      <w:r>
        <w:rPr>
          <w:rFonts w:ascii="calibri;arial;sans-serif" w:hAnsi="calibri;arial;sans-serif"/>
          <w:b w:val="false"/>
          <w:i w:val="false"/>
          <w:caps w:val="false"/>
          <w:smallCaps w:val="false"/>
          <w:color w:val="000000"/>
          <w:sz w:val="16"/>
        </w:rPr>
        <w:t>​</w:t>
      </w:r>
      <w:bookmarkStart w:id="204" w:name="tARIV"/>
      <w:bookmarkEnd w:id="204"/>
      <w:r>
        <w:rPr>
          <w:rFonts w:ascii="calibri;arial;sans-serif" w:hAnsi="calibri;arial;sans-serif"/>
          <w:b w:val="false"/>
          <w:i w:val="false"/>
          <w:caps w:val="false"/>
          <w:smallCaps w:val="false"/>
          <w:color w:val="000000"/>
          <w:sz w:val="16"/>
        </w:rPr>
        <w:t>​</w:t>
      </w:r>
      <w:bookmarkStart w:id="205" w:name="tS4QO"/>
      <w:bookmarkEnd w:id="20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and the actual level of performance through the Effective Time for incomplete performance periods (for clarity, performance for Company PSU Awards referred to as “International PSUs” that do not pay out above one hundred percent (100%) of target by award terms will be fixed at one hundred percent (100%)); and (C) in the case of Company PSU Awards granted after December 31, 2025, performance goals will be deemed achieved at the target level of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Company ESPP</w:t>
      </w:r>
      <w:r>
        <w:rPr>
          <w:rFonts w:ascii="Arial;Helvetica;sans-serif" w:hAnsi="Arial;Helvetica;sans-serif"/>
          <w:b w:val="false"/>
          <w:i w:val="false"/>
          <w:caps w:val="false"/>
          <w:smallCaps w:val="false"/>
          <w:color w:val="000000"/>
          <w:sz w:val="20"/>
        </w:rPr>
        <w:t>.  As soon as practicable following the date hereof, the Company shall take all actions with respect to the Company ESPP that are necessary or appropriate to provide that: (i) with respect to the offering period in effect as of the date hereof  (the “</w:t>
      </w:r>
      <w:r>
        <w:rPr>
          <w:rFonts w:ascii="Arial;Helvetica;sans-serif" w:hAnsi="Arial;Helvetica;sans-serif"/>
          <w:b w:val="false"/>
          <w:i w:val="false"/>
          <w:caps w:val="false"/>
          <w:smallCaps w:val="false"/>
          <w:color w:val="000000"/>
          <w:sz w:val="20"/>
          <w:u w:val="single"/>
        </w:rPr>
        <w:t>Current ESPP Offering Period</w:t>
      </w:r>
      <w:r>
        <w:rPr>
          <w:rFonts w:ascii="Arial;Helvetica;sans-serif" w:hAnsi="Arial;Helvetica;sans-serif"/>
          <w:b w:val="false"/>
          <w:i w:val="false"/>
          <w:caps w:val="false"/>
          <w:smallCaps w:val="false"/>
          <w:color w:val="000000"/>
          <w:sz w:val="20"/>
        </w:rPr>
        <w:t>”), no employee who is not a participant in the Company ESPP as of the date hereof may become a participant in the Company ESPP and no participant may increase the percentage or dollar amount of his or her payroll deduction election from that in effect on the date hereof for the Current ESPP Offering Period; (ii) subject to the consummation of the Merger, the Company ESPP shall terminate effective immediately prior to the Effective Time; (iii) if the Current ESPP Offering Period terminates prior to the Effective Time, then the Company ESPP shall be suspended and no new offering period shall be commenced under the Company ESPP prior to the termination of this Agreement; and (iv) if the Current ESPP Offering Period is still in effect at the Effective Time, then the last day of such Current ESPP Offering Period shall be accelerated to a date that is no later than five (5) Business Days before the Closing Date (with any outstanding purchase rights fully exercised as of such accelerated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(e) Prior to the Effective Time, the Company shall pass resolutions and take all other actions as are necessary or appropriate to effectuate the treatment of the Company Equity Awards and the Company ESPP as contemplated by this </w:t>
      </w:r>
      <w:r>
        <w:rPr>
          <w:rFonts w:ascii="Arial;Helvetica;sans-serif" w:hAnsi="Arial;Helvetica;sans-serif"/>
          <w:b w:val="false"/>
          <w:i w:val="false"/>
          <w:caps w:val="false"/>
          <w:smallCaps w:val="false"/>
          <w:color w:val="000000"/>
          <w:sz w:val="20"/>
          <w:u w:val="single"/>
        </w:rPr>
        <w:t>Section 3.3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3.4. </w:t>
      </w:r>
      <w:r>
        <w:rPr>
          <w:rFonts w:ascii="Arial;Helvetica;sans-serif" w:hAnsi="Arial;Helvetica;sans-serif"/>
          <w:b w:val="false"/>
          <w:i w:val="false"/>
          <w:caps w:val="false"/>
          <w:smallCaps w:val="false"/>
          <w:color w:val="000000"/>
          <w:sz w:val="20"/>
          <w:u w:val="single"/>
        </w:rPr>
        <w:t>Withholding</w:t>
      </w:r>
      <w:r>
        <w:rPr>
          <w:rFonts w:ascii="Arial;Helvetica;sans-serif" w:hAnsi="Arial;Helvetica;sans-serif"/>
          <w:b w:val="false"/>
          <w:i w:val="false"/>
          <w:caps w:val="false"/>
          <w:smallCaps w:val="false"/>
          <w:color w:val="000000"/>
          <w:sz w:val="20"/>
        </w:rPr>
        <w:t>.  Each of the Company, Parent, Merger Sub, the Surviving Company, the Paying Agent and any other applicable withholding agent shall be entitled to deduct and withhold from amounts otherwise payable pursuant to this Agreement any amounts as are required to be withheld or deducted with respect to such payment under the Code, or any other applicable Tax Law. To the extent that amounts are so deducted or withheld, and remitted to the appropriate Governmental Entity, such amounts shall be treated for all purposes of this Agreement as having been paid to the Person in respect of which such deduction or withholding was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REPRESENTATIONS AND WARRANTIES OF THE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Except as disclosed in (x) any Company SEC Documents filed or furnished by the Company with the SEC on or after March 31, 2023 and publicly available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or subsection of the disclosure letter delivered by the Company to Parent immediately prior to the execution of this Agreement (the “</w:t>
      </w:r>
      <w:r>
        <w:rPr>
          <w:rFonts w:ascii="Arial;Helvetica;sans-serif" w:hAnsi="Arial;Helvetica;sans-serif"/>
          <w:b w:val="false"/>
          <w:i w:val="false"/>
          <w:caps w:val="false"/>
          <w:smallCaps w:val="false"/>
          <w:color w:val="000000"/>
          <w:sz w:val="20"/>
          <w:u w:val="single"/>
        </w:rPr>
        <w:t>Company Disclosure Letter</w:t>
      </w:r>
      <w:r>
        <w:rPr>
          <w:rFonts w:ascii="Arial;Helvetica;sans-serif" w:hAnsi="Arial;Helvetica;sans-serif"/>
          <w:b w:val="false"/>
          <w:i w:val="false"/>
          <w:caps w:val="false"/>
          <w:smallCaps w:val="false"/>
          <w:color w:val="000000"/>
          <w:sz w:val="20"/>
        </w:rPr>
        <w:t xml:space="preserve">”) (it being understood that any information set forth in one section or subsection of the Company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for which it is reasonably apparent on its face that such information is relevant to such other representation and warranty), the Company represents and warrants to Parent and Merger Sub as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4.1. </w:t>
      </w:r>
      <w:r>
        <w:rPr>
          <w:rFonts w:ascii="Arial;Helvetica;sans-serif" w:hAnsi="Arial;Helvetica;sans-serif"/>
          <w:b w:val="false"/>
          <w:i w:val="false"/>
          <w:caps w:val="false"/>
          <w:smallCaps w:val="false"/>
          <w:color w:val="000000"/>
          <w:sz w:val="20"/>
          <w:u w:val="single"/>
        </w:rPr>
        <w:t>Qualification, Organization, Subsidiaries, etc.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is a legal entity duly organized, validly existing and in good standing under the Laws of the State of Delaware and has all requisite corporate or similar power and authority to own, lease and operate its properties and assets and to carry on its business as presently conducted. The Company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S4C"/>
      <w:bookmarkEnd w:id="20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(b) Each Company Subsidiary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except where the failure to be so organized, existing, or, where relevant, in good standing, or to have such power or authority, has not had and would not reasonably be expected to have, individually or in the aggregate, a Company Material Adverse Effect. Each of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Section 4.1(b) of the Company Disclosure Letter provides, as of the date of this Agreement, (1) a true and complete list of all Company Subsidiaries and their respective jurisdictions of organization and (2) the names and the type of and percentage of interest held by any Person other than the Company or a Company Subsidiary in each such Company Subsidiary. The Company has made available to Parent prior to the date hereof complete and accurate copies of the certificates of incorporation and bylaws, or equivalent organizational or governing documents, of each of the Company’s “significant subsidiaries” ​(as defined in Regulation S-X promulgated under the Securities Act), each as currently in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Section 4.1(c) of the Company Disclosure Letter sets forth an accurate and complete list of each Person (other than a Company Subsidiary) in which the Company or any Company Subsidiary owns an equity or other economic interest, together with (1) the jurisdiction of incorporation or organization, as the case may be, of such other Person and (2) the type and percentage of interest held, directly or indirectly, by the Company or such Company Subsidiary in such other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4.2. </w:t>
      </w:r>
      <w:r>
        <w:rPr>
          <w:rFonts w:ascii="Arial;Helvetica;sans-serif" w:hAnsi="Arial;Helvetica;sans-serif"/>
          <w:b w:val="false"/>
          <w:i w:val="false"/>
          <w:caps w:val="false"/>
          <w:smallCaps w:val="false"/>
          <w:color w:val="000000"/>
          <w:sz w:val="20"/>
          <w:u w:val="single"/>
        </w:rPr>
        <w:t>Capitalization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authorized capital stock of the Company consists of 200,000,000 shares of Company Common Stock and 1,000,000 shares of preferred stock, $1.00 par value per share (“</w:t>
      </w:r>
      <w:r>
        <w:rPr>
          <w:rFonts w:ascii="Arial;Helvetica;sans-serif" w:hAnsi="Arial;Helvetica;sans-serif"/>
          <w:b w:val="false"/>
          <w:i w:val="false"/>
          <w:caps w:val="false"/>
          <w:smallCaps w:val="false"/>
          <w:color w:val="000000"/>
          <w:sz w:val="20"/>
          <w:u w:val="single"/>
        </w:rPr>
        <w:t>Company Preferred Stock</w:t>
      </w:r>
      <w:r>
        <w:rPr>
          <w:rFonts w:ascii="Arial;Helvetica;sans-serif" w:hAnsi="Arial;Helvetica;sans-serif"/>
          <w:b w:val="false"/>
          <w:i w:val="false"/>
          <w:caps w:val="false"/>
          <w:smallCaps w:val="false"/>
          <w:color w:val="000000"/>
          <w:sz w:val="20"/>
        </w:rPr>
        <w:t>”). As of May 13, 2026 (the “</w:t>
      </w:r>
      <w:r>
        <w:rPr>
          <w:rFonts w:ascii="Arial;Helvetica;sans-serif" w:hAnsi="Arial;Helvetica;sans-serif"/>
          <w:b w:val="false"/>
          <w:i w:val="false"/>
          <w:caps w:val="false"/>
          <w:smallCaps w:val="false"/>
          <w:color w:val="000000"/>
          <w:sz w:val="20"/>
          <w:u w:val="single"/>
        </w:rPr>
        <w:t>Capitalization Date</w:t>
      </w:r>
      <w:r>
        <w:rPr>
          <w:rFonts w:ascii="Arial;Helvetica;sans-serif" w:hAnsi="Arial;Helvetica;sans-serif"/>
          <w:b w:val="false"/>
          <w:i w:val="false"/>
          <w:caps w:val="false"/>
          <w:smallCaps w:val="false"/>
          <w:color w:val="000000"/>
          <w:sz w:val="20"/>
        </w:rPr>
        <w:t>”): (i) (A) 60,087,725 shares of Company Common Stock were issued and outstanding (including 107 shares of Company Common Stock subject to Company Restricted Stock Awards), (B) 101,743,777 shares of Company Common Stock were held in the Company’s treasury, (C) Company Options covering 87,638 shares of Company Common Stock were outstanding, (D) Company RSU Awards covering 2,838,709 shares of Company Common Stock were outstanding (including 0 shares of Company Common Stock, the issuance of which has been deferred under the Company’s Directors’ Deferred Compensation Plan), and (E) Company PSU Awards covering 1,445,075 shares of Company Common Stock (assuming target performance) or 2,756,261 shares of Company Common Stock (assuming maximum performance) were outstanding; (ii) 6,826,236 shares of Company Common Stock were reserved for issuance pursuant to the Company Equity Plans; (iii) 555,239 shares of Company Common Stock were reserved for issuance pursuant to the Company ESPP; and (iv) no shares of Company Preferred Stock were issued or outstanding. No shares of capital stock of the Company are held by any of the Company Subsidiaries. All the outstanding shares of Company Common Stock are, and all shares of Company Common Stock reserved for issuance as described above shall be, if issued in accordance with the respective terms thereof  (to the extent permitted by this Agreement), duly authorized, validly issued, fully paid and nonassessable and free of preemptive rights.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(b) Except as set forth in </w:t>
      </w:r>
      <w:r>
        <w:rPr>
          <w:rFonts w:ascii="Arial;Helvetica;sans-serif" w:hAnsi="Arial;Helvetica;sans-serif"/>
          <w:b w:val="false"/>
          <w:i w:val="false"/>
          <w:caps w:val="false"/>
          <w:smallCaps w:val="false"/>
          <w:color w:val="000000"/>
          <w:sz w:val="20"/>
          <w:u w:val="single"/>
        </w:rPr>
        <w:t>Section 4.2(a)</w:t>
      </w:r>
      <w:r>
        <w:rPr>
          <w:rFonts w:ascii="Arial;Helvetica;sans-serif" w:hAnsi="Arial;Helvetica;sans-serif"/>
          <w:b w:val="false"/>
          <w:i w:val="false"/>
          <w:caps w:val="false"/>
          <w:smallCaps w:val="false"/>
          <w:color w:val="000000"/>
          <w:sz w:val="20"/>
        </w:rPr>
        <w:t xml:space="preserve"> and other than the shares of Company Common Stock that have become outstanding after the Capitalization Date and prior to the date hereof that were reserved for issuance as set forth in </w:t>
      </w:r>
      <w:r>
        <w:rPr>
          <w:rFonts w:ascii="Arial;Helvetica;sans-serif" w:hAnsi="Arial;Helvetica;sans-serif"/>
          <w:b w:val="false"/>
          <w:i w:val="false"/>
          <w:caps w:val="false"/>
          <w:smallCaps w:val="false"/>
          <w:color w:val="000000"/>
          <w:sz w:val="20"/>
          <w:u w:val="single"/>
        </w:rPr>
        <w:t>Section 4.2(a)(ii)</w:t>
      </w:r>
      <w:r>
        <w:rPr>
          <w:rFonts w:ascii="Arial;Helvetica;sans-serif" w:hAnsi="Arial;Helvetica;sans-serif"/>
          <w:b w:val="false"/>
          <w:i w:val="false"/>
          <w:caps w:val="false"/>
          <w:smallCaps w:val="false"/>
          <w:color w:val="000000"/>
          <w:sz w:val="20"/>
        </w:rPr>
        <w:t xml:space="preserve"> and issued in accordance with the terms of the Company Equity Plans and the applicable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except, in each case, to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7" w:name="tS4CA"/>
      <w:bookmarkEnd w:id="207"/>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another Company Subsidiary. Except as set forth in Section 4.2(a) of the Company Disclosure Letter,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(c) Neither the Company nor any Company Subsidiary has outstanding bonds, debentures, notes or other similar Indebtedness, the holders of which have the right to vote (or which are convertible into or exercisable for securities having the right to vote) with the Company Stockholders on any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(d) There are no voting trusts or other agreements, commitments or understandings to which the Company or any Company Subsidiary (or to the Company’s Knowledge, a Company Stockholder) is a party with respect to the voting of the capital stock or other equity interests of the Company.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provide any amount of funds to, or make any investment (in the form of a loan, capital contribution or otherwise) in, any Company Subsidiary that is not wholly owned or in any other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(e) Section 4.2(e) of the Company Disclosure Letter sets forth a schedule of all outstanding Company Equity Awards as of the Capitalization Date, including for each award, as applicable, the employee identification number of the holder, type of award (including, in the case of options, whether or not an “incentive stock option” within the meaning of Section 422 of the Code), the number of shares of Company Common Stock subject to the award, vesting terms and schedule (including time- or performance-based), per share exercise price and expiration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4.3. </w:t>
      </w:r>
      <w:r>
        <w:rPr>
          <w:rFonts w:ascii="Arial;Helvetica;sans-serif" w:hAnsi="Arial;Helvetica;sans-serif"/>
          <w:b w:val="false"/>
          <w:i w:val="false"/>
          <w:caps w:val="false"/>
          <w:smallCaps w:val="false"/>
          <w:color w:val="000000"/>
          <w:sz w:val="20"/>
          <w:u w:val="single"/>
        </w:rPr>
        <w:t>Corporate Authority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for (x) the receipt of the affirmative vote (in person or by proxy) of the holders of at least sixty-six and two-thirds percent (66 2/3%) of the votes entitled to be cast by holders of issued and outstanding Company Common Stock to approve the Merger and adopt this Agreement at the Company Stockholders’ Meeting (the “</w:t>
      </w:r>
      <w:r>
        <w:rPr>
          <w:rFonts w:ascii="Arial;Helvetica;sans-serif" w:hAnsi="Arial;Helvetica;sans-serif"/>
          <w:b w:val="false"/>
          <w:i w:val="false"/>
          <w:caps w:val="false"/>
          <w:smallCaps w:val="false"/>
          <w:color w:val="000000"/>
          <w:sz w:val="20"/>
          <w:u w:val="single"/>
        </w:rPr>
        <w:t>Company Stockholder Approval</w:t>
      </w:r>
      <w:r>
        <w:rPr>
          <w:rFonts w:ascii="Arial;Helvetica;sans-serif" w:hAnsi="Arial;Helvetica;sans-serif"/>
          <w:b w:val="false"/>
          <w:i w:val="false"/>
          <w:caps w:val="false"/>
          <w:smallCaps w:val="false"/>
          <w:color w:val="000000"/>
          <w:sz w:val="20"/>
        </w:rPr>
        <w:t xml:space="preserve">”) and (y) the filing of the Certificate of Merger with the Secretary of State of the State of Delaware. On or prior to the date hereof, the Company Board of Directors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make the Company Board Recommendation. None of the foregoing actions by the Company Board of Directors have been rescinded or modified in any way (unless such rescission or modification has been effected after the date hereof in accordance with the terms of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Helvetica;sans-serif" w:hAnsi="Arial;Helvetica;sans-serif"/>
          <w:b w:val="false"/>
          <w:i w:val="false"/>
          <w:caps w:val="false"/>
          <w:smallCaps w:val="false"/>
          <w:color w:val="000000"/>
          <w:sz w:val="20"/>
          <w:u w:val="single"/>
        </w:rPr>
        <w:t>Enforceability Limitations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8" w:name="tS4GC"/>
      <w:bookmarkEnd w:id="208"/>
      <w:r>
        <w:rPr>
          <w:rFonts w:ascii="calibri;arial;sans-serif" w:hAnsi="calibri;arial;sans-serif"/>
          <w:b w:val="false"/>
          <w:i w:val="false"/>
          <w:caps w:val="false"/>
          <w:smallCaps w:val="false"/>
          <w:color w:val="000000"/>
          <w:sz w:val="16"/>
        </w:rPr>
        <w:t>​</w:t>
      </w:r>
      <w:bookmarkStart w:id="209" w:name="tS4SR"/>
      <w:bookmarkEnd w:id="2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4.4. </w:t>
      </w:r>
      <w:r>
        <w:rPr>
          <w:rFonts w:ascii="Arial;Helvetica;sans-serif" w:hAnsi="Arial;Helvetica;sans-serif"/>
          <w:b w:val="false"/>
          <w:i w:val="false"/>
          <w:caps w:val="false"/>
          <w:smallCaps w:val="false"/>
          <w:color w:val="000000"/>
          <w:sz w:val="20"/>
          <w:u w:val="single"/>
        </w:rPr>
        <w:t>Governmental Consents; No Violation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(a) Other than in connection with or in compliance with (i) the DGCL, (ii) the filing of the Proxy Statement with the SEC and any amendments or supplements thereto, (iii) the Securities Act, (iv) the Exchange Act, (v) Section 721, (vi) the HSR Act and other requisite clearances or approvals under applicable requirements of other Antitrust Laws and FDI Laws and (vii) any applicable requirements of the New York Stock Exchange, no authorization, permit, notification to, consent or approval (each, a “</w:t>
      </w:r>
      <w:r>
        <w:rPr>
          <w:rFonts w:ascii="Arial;Helvetica;sans-serif" w:hAnsi="Arial;Helvetica;sans-serif"/>
          <w:b w:val="false"/>
          <w:i w:val="false"/>
          <w:caps w:val="false"/>
          <w:smallCaps w:val="false"/>
          <w:color w:val="000000"/>
          <w:sz w:val="20"/>
          <w:u w:val="single"/>
        </w:rPr>
        <w:t>Consent</w:t>
      </w:r>
      <w:r>
        <w:rPr>
          <w:rFonts w:ascii="Arial;Helvetica;sans-serif" w:hAnsi="Arial;Helvetica;sans-serif"/>
          <w:b w:val="false"/>
          <w:i w:val="false"/>
          <w:caps w:val="false"/>
          <w:smallCaps w:val="false"/>
          <w:color w:val="000000"/>
          <w:sz w:val="20"/>
        </w:rPr>
        <w:t>”) of, or filing with, any Governmental Entity is necessary or required, under applicable Law, for the consummation by the Company of the Transactions, except for such Consents or filings that, if not obtained or made,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execution and delivery by the Company of this Agreement do not, and, except as described in </w:t>
      </w:r>
      <w:r>
        <w:rPr>
          <w:rFonts w:ascii="Arial;Helvetica;sans-serif" w:hAnsi="Arial;Helvetica;sans-serif"/>
          <w:b w:val="false"/>
          <w:i w:val="false"/>
          <w:caps w:val="false"/>
          <w:smallCaps w:val="false"/>
          <w:color w:val="000000"/>
          <w:sz w:val="20"/>
          <w:u w:val="single"/>
        </w:rPr>
        <w:t>Section 4.4(a)</w:t>
      </w:r>
      <w:r>
        <w:rPr>
          <w:rFonts w:ascii="Arial;Helvetica;sans-serif" w:hAnsi="Arial;Helvetica;sans-serif"/>
          <w:b w:val="false"/>
          <w:i w:val="false"/>
          <w:caps w:val="false"/>
          <w:smallCaps w:val="false"/>
          <w:color w:val="000000"/>
          <w:sz w:val="20"/>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or right under any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the Company Governing Documents or the organizational documents of any Company Subsidiary or (iii) conflict with or violate any Laws or Privacy Requirements applicable to the Company or any Company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4.5. </w:t>
      </w:r>
      <w:r>
        <w:rPr>
          <w:rFonts w:ascii="Arial;Helvetica;sans-serif" w:hAnsi="Arial;Helvetica;sans-serif"/>
          <w:b w:val="false"/>
          <w:i w:val="false"/>
          <w:caps w:val="false"/>
          <w:smallCaps w:val="false"/>
          <w:color w:val="000000"/>
          <w:sz w:val="20"/>
          <w:u w:val="single"/>
        </w:rPr>
        <w:t>SEC Reports and Financial Statements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(a) Since March 31, 2023, the Company has timely filed or furnished all forms, statements, documents and reports required to be filed or furnished by it with the SEC (such forms, statements, documents and reports, the “</w:t>
      </w:r>
      <w:r>
        <w:rPr>
          <w:rFonts w:ascii="Arial;Helvetica;sans-serif" w:hAnsi="Arial;Helvetica;sans-serif"/>
          <w:b w:val="false"/>
          <w:i w:val="false"/>
          <w:caps w:val="false"/>
          <w:smallCaps w:val="false"/>
          <w:color w:val="000000"/>
          <w:sz w:val="20"/>
          <w:u w:val="single"/>
        </w:rPr>
        <w:t>Company SEC Documents</w:t>
      </w:r>
      <w:r>
        <w:rPr>
          <w:rFonts w:ascii="Arial;Helvetica;sans-serif" w:hAnsi="Arial;Helvetica;sans-serif"/>
          <w:b w:val="false"/>
          <w:i w:val="false"/>
          <w:caps w:val="false"/>
          <w:smallCaps w:val="false"/>
          <w:color w:val="000000"/>
          <w:sz w:val="20"/>
        </w:rPr>
        <w:t>”). As of their respective filing dates, the Company SEC Documents (including amendments) complied in all material respects with the applicable requirements of the Sarbanes-Oxley Act of 2002, as amended (the “</w:t>
      </w:r>
      <w:r>
        <w:rPr>
          <w:rFonts w:ascii="Arial;Helvetica;sans-serif" w:hAnsi="Arial;Helvetica;sans-serif"/>
          <w:b w:val="false"/>
          <w:i w:val="false"/>
          <w:caps w:val="false"/>
          <w:smallCaps w:val="false"/>
          <w:color w:val="000000"/>
          <w:sz w:val="20"/>
          <w:u w:val="single"/>
        </w:rPr>
        <w:t>Sarbanes-Oxley Act</w:t>
      </w:r>
      <w:r>
        <w:rPr>
          <w:rFonts w:ascii="Arial;Helvetica;sans-serif" w:hAnsi="Arial;Helvetica;sans-serif"/>
          <w:b w:val="false"/>
          <w:i w:val="false"/>
          <w:caps w:val="false"/>
          <w:smallCaps w:val="false"/>
          <w:color w:val="000000"/>
          <w:sz w:val="20"/>
        </w:rPr>
        <w:t>”), the Securities Act and the Exchange Act, as the case may be, and the applicable rules and regulations promulgated thereunder and the listing and corporate governance rules and regulations of the New York Stock Exchange, and none of the Company SEC Documents contain any untrue statement of a material fact or omit to state any material fact required to be stated therein or necessary to make the statements therein, in light of the circumstances under which they were made, not misleading. Since March 31, 2023,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 consolidated financial statements (including all related notes and schedules) of the Company included in the Company SEC Documents when filed complied in all material respects with the applicable accounting requirements and complied in all material respects as to form with the other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financial statements, to normal year-end audit adjustments, to any other adjustment described therein permitted by the rules and regulations of the SEC and to the absence of notes) in conformity with United States Generally Accepted Accounting Principles (“</w:t>
      </w:r>
      <w:r>
        <w:rPr>
          <w:rFonts w:ascii="Arial;Helvetica;sans-serif" w:hAnsi="Arial;Helvetica;sans-serif"/>
          <w:b w:val="false"/>
          <w:i w:val="false"/>
          <w:caps w:val="false"/>
          <w:smallCaps w:val="false"/>
          <w:color w:val="000000"/>
          <w:sz w:val="20"/>
          <w:u w:val="single"/>
        </w:rPr>
        <w:t>GAAP</w:t>
      </w:r>
      <w:r>
        <w:rPr>
          <w:rFonts w:ascii="Arial;Helvetica;sans-serif" w:hAnsi="Arial;Helvetica;sans-serif"/>
          <w:b w:val="false"/>
          <w:i w:val="false"/>
          <w:caps w:val="false"/>
          <w:smallCaps w:val="false"/>
          <w:color w:val="000000"/>
          <w:sz w:val="20"/>
        </w:rPr>
        <w:t>”) in all material respects applied on a consistent basis during the periods involved (subject, in the case of the unaudited financial statements, to normal year-end audit adjustments, to any other adjustment described therein permitted by the rules and regulations of the SEC and to the absence of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0" w:name="tS4IC"/>
      <w:bookmarkEnd w:id="210"/>
      <w:r>
        <w:rPr>
          <w:rFonts w:ascii="calibri;arial;sans-serif" w:hAnsi="calibri;arial;sans-serif"/>
          <w:b w:val="false"/>
          <w:i w:val="false"/>
          <w:caps w:val="false"/>
          <w:smallCaps w:val="false"/>
          <w:color w:val="000000"/>
          <w:sz w:val="16"/>
        </w:rPr>
        <w:t>​</w:t>
      </w:r>
      <w:bookmarkStart w:id="211" w:name="tS4NU"/>
      <w:bookmarkEnd w:id="211"/>
      <w:r>
        <w:rPr>
          <w:rFonts w:ascii="calibri;arial;sans-serif" w:hAnsi="calibri;arial;sans-serif"/>
          <w:b w:val="false"/>
          <w:i w:val="false"/>
          <w:caps w:val="false"/>
          <w:smallCaps w:val="false"/>
          <w:color w:val="000000"/>
          <w:sz w:val="16"/>
        </w:rPr>
        <w:t>​</w:t>
      </w:r>
      <w:bookmarkStart w:id="212" w:name="tS4AO"/>
      <w:bookmarkEnd w:id="21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(c) The Company is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since March 31, 2023 notice from any Governmental Entity challenging or questioning the accuracy, completeness, form or manner of filing of such certifications.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(d) Neither the Company nor any Company Subsidiary is a party to, or has any Contract to become a party to, any joint venture, 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4.6. </w:t>
      </w:r>
      <w:r>
        <w:rPr>
          <w:rFonts w:ascii="Arial;Helvetica;sans-serif" w:hAnsi="Arial;Helvetica;sans-serif"/>
          <w:b w:val="false"/>
          <w:i w:val="false"/>
          <w:caps w:val="false"/>
          <w:smallCaps w:val="false"/>
          <w:color w:val="000000"/>
          <w:sz w:val="20"/>
          <w:u w:val="single"/>
        </w:rPr>
        <w:t>Internal Controls and Procedures</w:t>
      </w:r>
      <w:r>
        <w:rPr>
          <w:rFonts w:ascii="Arial;Helvetica;sans-serif" w:hAnsi="Arial;Helvetica;sans-serif"/>
          <w:b w:val="false"/>
          <w:i w:val="false"/>
          <w:caps w:val="false"/>
          <w:smallCaps w:val="false"/>
          <w:color w:val="000000"/>
          <w:sz w:val="20"/>
        </w:rPr>
        <w:t>.  The Company has established and maintains, and at all times since March 31, 2023 has maintained,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March 31, 2023, the Company’s principal executive officer and its principal financial officer have disclosed to the Company’s auditors and the audit committee of the Company Board of Directors (the material circumstances of which (if any) have been made available to Parent prior to the date hereof) (i) any significant deficiencies and material weaknesses in the design or operation of internal controls over financial reporting and (ii) any fraud, whether or not material, that involves management or other employees who have a significant role in the Company’s internal controls over financial reporting. Since March 31, 2023,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4.7. </w:t>
      </w:r>
      <w:r>
        <w:rPr>
          <w:rFonts w:ascii="Arial;Helvetica;sans-serif" w:hAnsi="Arial;Helvetica;sans-serif"/>
          <w:b w:val="false"/>
          <w:i w:val="false"/>
          <w:caps w:val="false"/>
          <w:smallCaps w:val="false"/>
          <w:color w:val="000000"/>
          <w:sz w:val="20"/>
          <w:u w:val="single"/>
        </w:rPr>
        <w:t>No Undisclosed Liabilities</w:t>
      </w:r>
      <w:r>
        <w:rPr>
          <w:rFonts w:ascii="Arial;Helvetica;sans-serif" w:hAnsi="Arial;Helvetica;sans-serif"/>
          <w:b w:val="false"/>
          <w:i w:val="false"/>
          <w:caps w:val="false"/>
          <w:smallCaps w:val="false"/>
          <w:color w:val="000000"/>
          <w:sz w:val="20"/>
        </w:rPr>
        <w:t>.  Neither the Company nor any Company Subsidiary has any liabilities of any nature, whether or not accrued, contingent or otherwise, except (a) as and to the extent specifically disclosed, reflected or reserved against in the Company’s consolidated balance sheet (or the notes thereto) as of December 31, 2025 included in the Company SEC Documents filed or furnished prior to the date hereof, (b) for liabilities incurred or which have been discharged or paid in full, in each case in the ordinary course of business consistent with past practice since December 31, 2025 (including liabilities for the performance of obligations under Contracts, other than any liability for any breaches of Contracts), (c) as expressly required or expressly contemplated by this Agreement, (d) for intragroup liabilities and obligations solely between the Company and wholly owned Company Subsidiaries (including solely between wholly owned Company Subsidiaries), (e) for liabilities disclosed on Section 4.7 of the Company Disclosure Letter, and (f) for liabilities which have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4.8. </w:t>
      </w:r>
      <w:r>
        <w:rPr>
          <w:rFonts w:ascii="Arial;Helvetica;sans-serif" w:hAnsi="Arial;Helvetica;sans-serif"/>
          <w:b w:val="false"/>
          <w:i w:val="false"/>
          <w:caps w:val="false"/>
          <w:smallCaps w:val="false"/>
          <w:color w:val="000000"/>
          <w:sz w:val="20"/>
          <w:u w:val="single"/>
        </w:rPr>
        <w:t>Absence of Certain Changes or Events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(a) From December 31, 2025 through the date hereof, there has not occurred any Effect that has had, or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(b) From December 31, 2025 through the date hereof, (i) except for events giving rise to and the discussion and negotiation of this Agreement, the business of the Company and the Company Subsidiaries has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Helvetica;sans-serif" w:hAnsi="Arial;Helvetica;sans-serif"/>
          <w:b w:val="false"/>
          <w:i w:val="false"/>
          <w:caps w:val="false"/>
          <w:smallCaps w:val="false"/>
          <w:color w:val="000000"/>
          <w:sz w:val="20"/>
          <w:u w:val="single"/>
        </w:rPr>
        <w:t>Section 6.1(b)</w:t>
      </w:r>
      <w:r>
        <w:rPr>
          <w:rFonts w:ascii="Arial;Helvetica;sans-serif" w:hAnsi="Arial;Helvetica;sans-serif"/>
          <w:b w:val="false"/>
          <w:i w:val="false"/>
          <w:caps w:val="false"/>
          <w:smallCaps w:val="false"/>
          <w:color w:val="000000"/>
          <w:sz w:val="20"/>
        </w:rPr>
        <w:t xml:space="preserve"> (other than actions described in </w:t>
      </w:r>
      <w:r>
        <w:rPr>
          <w:rFonts w:ascii="Arial;Helvetica;sans-serif" w:hAnsi="Arial;Helvetica;sans-serif"/>
          <w:b w:val="false"/>
          <w:i w:val="false"/>
          <w:caps w:val="false"/>
          <w:smallCaps w:val="false"/>
          <w:color w:val="000000"/>
          <w:sz w:val="20"/>
          <w:u w:val="single"/>
        </w:rPr>
        <w:t>Section 6.1(iv)</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6.1(v)</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6.1(vi)</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S4CW"/>
      <w:bookmarkEnd w:id="2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4.9. </w:t>
      </w:r>
      <w:r>
        <w:rPr>
          <w:rFonts w:ascii="Arial;Helvetica;sans-serif" w:hAnsi="Arial;Helvetica;sans-serif"/>
          <w:b w:val="false"/>
          <w:i w:val="false"/>
          <w:caps w:val="false"/>
          <w:smallCaps w:val="false"/>
          <w:color w:val="000000"/>
          <w:sz w:val="20"/>
          <w:u w:val="single"/>
        </w:rPr>
        <w:t>Compliance with Law; Permits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and each Company Subsidiary are and have been since March 31, 2023 in compliance with and not in default under or in violation of any Laws (including Environmental Laws, employee benefits and labor Laws) applicable to the Company, such Subsidiaries or any of their respective properties or assets, except where such non-compliance, default or violation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 Company and the Company Subsidiaries are and have been since March 31, 2023 in possession of all franchises, grants, authorizations, business licenses, permits, easements, variances, exceptions, consents, certificates, approvals, registrations, clearances and orders of any Governmental Entity or pursuant to any applicable Law necessary for the Company and the Company Subsidiaries to own, lease and operate their properties and assets or to carry on their businesses as they are now being conducted (the “</w:t>
      </w:r>
      <w:r>
        <w:rPr>
          <w:rFonts w:ascii="Arial;Helvetica;sans-serif" w:hAnsi="Arial;Helvetica;sans-serif"/>
          <w:b w:val="false"/>
          <w:i w:val="false"/>
          <w:caps w:val="false"/>
          <w:smallCaps w:val="false"/>
          <w:color w:val="000000"/>
          <w:sz w:val="20"/>
          <w:u w:val="single"/>
        </w:rPr>
        <w:t>Company Permits</w:t>
      </w:r>
      <w:r>
        <w:rPr>
          <w:rFonts w:ascii="Arial;Helvetica;sans-serif" w:hAnsi="Arial;Helvetica;sans-serif"/>
          <w:b w:val="false"/>
          <w:i w:val="false"/>
          <w:caps w:val="false"/>
          <w:smallCaps w:val="false"/>
          <w:color w:val="000000"/>
          <w:sz w:val="20"/>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Company Subsidiary has received any written notice from any Governmental Entity threatening to suspend, revoke, withdraw or modify any such Company Permit.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since the date that is six (6) years prior to the date hereof, neither the Company nor any Company Subsidiary, in connection with the business of the Company or any Company Subsidiary, or, to the Company’s Knowledge, any other third party (including the Company’s or the Company Subsidiaries’ respective Representatives) acting on behalf of the Company or any Company Subsidiary, has (i) taken any action in violation of any applicable Anti-Corruption Law, (ii) offered, authorized,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(d) Since the date that is six (6) years prior to the date hereof,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or mandatory disclosures to any Governmental Entity involving the Company or any Company Subsidiary in any way relating to applicable Anti-Corruption Laws, except, with respect to any such actions, suits, demands, claims, hearings, notices of violation, investigations, proceedings, demand letters, settlements, enforcement actions or voluntary disclosures arising after the date hereof, as has not had and would not reasonably be expected to have, individually or in the aggregate, a Company Material Adverse Effect. The Company has established and maintains a compliance program and reasonable internal controls and procedures intended to comply with the requirements of applicable Anti-Corruption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since March 31, 2023, the Company and the Company Subsidiaries have at all times conducted their businesses in all respects in accordance with applicable Sanctions and all applicable Import Restrictions and Export Controls in any countries in which any of the Company and the Company Subsidiaries conduct business. Since March 31, 2023, the Company and the Company Subsidiaries have maintained in all material respects all records required to be maintained in the Company’s and the Company Subsidiaries’ possession as required under the Import Restrictions and Export Controls and to comply with applicable Sanctions.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(f) Except as has not had and would not reasonably be expected to have, individually or in the aggregate, a Company Material Adverse Effect, since March 31, 2023, neither the Company nor any Company Subsidiary has sold, exported, reexported, transferred, diverted, or otherwise disposed of any products, Software, or technology (including products derived from or based on such technology) to any destination, entity, or Person prohibited by the Laws of the United States or any other country, without obtaining prior authorization from the competent Governmental Entities as required by those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4" w:name="tS4NC"/>
      <w:bookmarkEnd w:id="214"/>
      <w:r>
        <w:rPr>
          <w:rFonts w:ascii="calibri;arial;sans-serif" w:hAnsi="calibri;arial;sans-serif"/>
          <w:b w:val="false"/>
          <w:i w:val="false"/>
          <w:caps w:val="false"/>
          <w:smallCaps w:val="false"/>
          <w:color w:val="000000"/>
          <w:sz w:val="16"/>
        </w:rPr>
        <w:t>​</w:t>
      </w:r>
      <w:bookmarkStart w:id="215" w:name="tS4EB"/>
      <w:bookmarkEnd w:id="21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(g) Neither the Company nor any Company Subsidiary, nor, to the Company’s Knowledge, any director, officer, agent, employee or affiliate of the Company or any Company Subsidiary: (x) is a Person that is (i) listed on any Sanctions-related list of designated Persons maintained by OFAC or the U.S. Department of State, (ii)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Arial;Helvetica;sans-serif" w:hAnsi="Arial;Helvetica;sans-serif"/>
          <w:b w:val="false"/>
          <w:i w:val="false"/>
          <w:caps w:val="false"/>
          <w:smallCaps w:val="false"/>
          <w:color w:val="000000"/>
          <w:sz w:val="20"/>
          <w:u w:val="single"/>
        </w:rPr>
        <w:t>Sanctioned Country</w:t>
      </w:r>
      <w:r>
        <w:rPr>
          <w:rFonts w:ascii="Arial;Helvetica;sans-serif" w:hAnsi="Arial;Helvetica;sans-serif"/>
          <w:b w:val="false"/>
          <w:i w:val="false"/>
          <w:caps w:val="false"/>
          <w:smallCaps w:val="false"/>
          <w:color w:val="000000"/>
          <w:sz w:val="20"/>
        </w:rPr>
        <w:t>”), (iii) designated on the Consolidated List of Persons, Groups and Entities Subject to EU Financial Sanctions maintained by the European Commission or the Consolidated List of Financial Sanctions Targets maintained by the Office of Financial Sanctions Implementation within the UK’s HM Treasury, or any other equivalent lists maintained by the competent sanctions authority of any state, or (iv) owned or controlled by any such Person or Persons described in the foregoing clauses (i), (ii) or (iii) (each, a “</w:t>
      </w:r>
      <w:r>
        <w:rPr>
          <w:rFonts w:ascii="Arial;Helvetica;sans-serif" w:hAnsi="Arial;Helvetica;sans-serif"/>
          <w:b w:val="false"/>
          <w:i w:val="false"/>
          <w:caps w:val="false"/>
          <w:smallCaps w:val="false"/>
          <w:color w:val="000000"/>
          <w:sz w:val="20"/>
          <w:u w:val="single"/>
        </w:rPr>
        <w:t>Sanctioned Person</w:t>
      </w:r>
      <w:r>
        <w:rPr>
          <w:rFonts w:ascii="Arial;Helvetica;sans-serif" w:hAnsi="Arial;Helvetica;sans-serif"/>
          <w:b w:val="false"/>
          <w:i w:val="false"/>
          <w:caps w:val="false"/>
          <w:smallCaps w:val="false"/>
          <w:color w:val="000000"/>
          <w:sz w:val="20"/>
        </w:rPr>
        <w:t>”) or (y) has, since March 31, 2023, conducted any business with or engaged in any transaction or arrangement with or involving, directly or indirectly, any Sanctioned Person or Sanctioned Country in violation of applicable Sanctions, or has otherwise been in violation of any such Sanctions, except, in the case of clause (x) or (y), as has not had and would not reasonably be expected to have, individually or in the aggregate, a Company Material Adverse Effect.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has not had and would not reasonably be expected to have, individually or in the aggregate, a Company Material Adverse Effect. Neither the Company nor any Company Subsidiary has, since March 31, 2023, received any written notice of material deficiencies in connection with any Export Controls or Sanctions matter from OFAC or any other Governmental Entity in its compliance efforts nor, since the date that is six (6) years prior to the date hereof, made any voluntary disclosures to OFAC or any other Governmental Entity of facts that would be reasonably likely to result in any material action being taken or any material penalty being imposed by a Governmental Entity against the Company or any Company Subsidiary,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(h) The Company is in compliance in all material respects with the applicable listing and other rules and regulations of the New York Stock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4.10. </w:t>
      </w:r>
      <w:r>
        <w:rPr>
          <w:rFonts w:ascii="Arial;Helvetica;sans-serif" w:hAnsi="Arial;Helvetica;sans-serif"/>
          <w:b w:val="false"/>
          <w:i w:val="false"/>
          <w:caps w:val="false"/>
          <w:smallCaps w:val="false"/>
          <w:color w:val="000000"/>
          <w:sz w:val="20"/>
          <w:u w:val="single"/>
        </w:rPr>
        <w:t>No Critical Technologies</w:t>
      </w:r>
      <w:r>
        <w:rPr>
          <w:rFonts w:ascii="Arial;Helvetica;sans-serif" w:hAnsi="Arial;Helvetica;sans-serif"/>
          <w:b w:val="false"/>
          <w:i w:val="false"/>
          <w:caps w:val="false"/>
          <w:smallCaps w:val="false"/>
          <w:color w:val="000000"/>
          <w:sz w:val="20"/>
        </w:rPr>
        <w:t>.  The Company has conducted an assessment and determined that none of the Company, any Company Subsidiary, or any of its affiliates produce, design, test, manufacture, fabricate, or develop “critical technologies” as that term is defined in 31 C.F.R. § 800.215.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4.11. </w:t>
      </w:r>
      <w:r>
        <w:rPr>
          <w:rFonts w:ascii="Arial;Helvetica;sans-serif" w:hAnsi="Arial;Helvetica;sans-serif"/>
          <w:b w:val="false"/>
          <w:i w:val="false"/>
          <w:caps w:val="false"/>
          <w:smallCaps w:val="false"/>
          <w:color w:val="000000"/>
          <w:sz w:val="20"/>
          <w:u w:val="single"/>
        </w:rPr>
        <w:t>Employee Benefit Plans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4.11(a) of the Company Disclosure Letter sets forth a complete and accurate list of each material Company Benefit Plan. With respect to each material Company Benefit Plan, the Company has made available to Parent prior to the date hereof correct and complete copies of, in each case, to the extent applicable, (i) all plan documents, summary plan descriptions, summaries of material modifications, and amendments related to such plans (or, in the case of unwritten material Company Benefit Plans, written descriptions thereof) and any related trust agreement or other funding document, (ii) the most recent Form 5500 Annual Report, (iii) the most recent audited financial statement and actuarial valuation, (iv) all material filings and correspondence with any Governmental Entity within the past three (3) years and (v) the most recent determination letter or opinion letter issued by the Internal Revenue Service.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(i) each of the Company Benefit Plans has been operated and administered in accordance with its terms and in compliance with applicable Law, including ERISA, the Code and, in each case, the regulations thereunder; (ii) all contributions, premiums or other amounts due or payable with respect to each Company Benefit Plan (or insurance policies related thereto) have been timely paid in full or accrued in accordance with GAAP or applicable international accounting standards; and (iii) there are no pending, or to the Company’s Knowledge, threatened or anticipated claims, actions, investigations or audits (other than routine claims for benefits) by, on behalf of, against or involving any of the Company Benefit Plans or any trusts related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S4LM"/>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(d) Neither the Company, its Subsidiaries nor any of their respective ERISA Affiliates has, at any time during the preceding six (6) years, contributed to, been obligated to contribute to or had any liability (including any contingent liability) with respect to any (i) “multiemployer plan” within the meaning of Section 3(37) of ERISA, (ii) plan that has two (2) or more contributing sponsors, at least two (2) of whom are not under “common control” ​(within the meaning of Section 4063 of ERISA), or (iii) “multiple employer welfare arrangement” within the meaning of Section 3(40) of ERISA.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(e) No Company Benefit Plan provides post-termination or retiree health or life insurance benefits (whether or not insured), with respect to current or former employees, directors or other individual service providers of the Company or the Company Subsidiaries beyond their retirement or other termination of service, other than coverage mandated by the Consolidated Omnibus Budget Reconciliation Act of 1985, as amended, or comparable U.S. state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(f) Each Company Benefit Plan that is intended to be “qualified” within the meaning of Section 401(a) of the Code has received a favorable determination letter or opinion letter as to its qualification, and there are no existing circumstances or any events that have occurred that would reasonably be expected to adversely affect the qualified status of any such plan. Each Company Benefit Plan that is in any part a “nonqualified deferred compensation plan” subject to Section 409A of the Code complies and has complied, both in form and operation, in all material respects, with the requirements of Section 409A of the Code and the final regulations and other applicable guidance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(g) Neither the execution and delivery of this Agreement nor the consummation of the Transactions (either alone or in conjunction with any other event) will (i) result in any payment or benefit (including severance and unemployment compensation, forgiveness of indebtedness or otherwise) becoming due to any current or former director, employee or other individual service provider of the Company or any Company Subsidiary, (ii) increase the amount or value of any compensation or benefits otherwise payable to any current or former director, employee or other individual service provider of the Company or any Company Subsidiary, (iii) result in any acceleration of the time of payment, delivery, funding, vesting or exercisability of any such compensation or benefits, (iv) limit the Company’s right to amend, modify, terminate or transfer the assets of, any Company Benefit Plan, (v) cause the Company or any Company Subsidiary to transfer or set aside any assets to fund any compensation or benefits under any Company Benefit Plan, or (vi)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(h) No Company Benefit Plan that is maintained primarily for the benefit of employees or other individual service providers of the Company and the Company Subsidiaries located outside the United States (a “</w:t>
      </w:r>
      <w:r>
        <w:rPr>
          <w:rFonts w:ascii="Arial;Helvetica;sans-serif" w:hAnsi="Arial;Helvetica;sans-serif"/>
          <w:b w:val="false"/>
          <w:i w:val="false"/>
          <w:caps w:val="false"/>
          <w:smallCaps w:val="false"/>
          <w:color w:val="000000"/>
          <w:sz w:val="20"/>
          <w:u w:val="single"/>
        </w:rPr>
        <w:t>Non-U.S. Plan</w:t>
      </w:r>
      <w:r>
        <w:rPr>
          <w:rFonts w:ascii="Arial;Helvetica;sans-serif" w:hAnsi="Arial;Helvetica;sans-serif"/>
          <w:b w:val="false"/>
          <w:i w:val="false"/>
          <w:caps w:val="false"/>
          <w:smallCaps w:val="false"/>
          <w:color w:val="000000"/>
          <w:sz w:val="20"/>
        </w:rPr>
        <w:t>”) is a defined benefit pension plan. Except as has not had and would not reasonably be expected to have, individually or in the aggregate, a Company Material Adverse Effect, each Non-U.S. Plan (i) has been maintained and operated in accordance with all applicable Laws and requirements, (ii) that is intended to qualify for special tax treatment meets all requirements for such treatment, and (iii) that is intended to be funded and/or book-reserved is fully funded and/or book-reserved, as appropriate, based upon reasonable actuarial assumptions.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(i) Neither the Company nor any Company Subsidiary is a party to or has any obligation to compensate or reimburse any Person for excise Taxes payable pursuant to Section 4999 of the Code or for additional Taxes or penalties payable pursuant to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4.12. </w:t>
      </w:r>
      <w:r>
        <w:rPr>
          <w:rFonts w:ascii="Arial;Helvetica;sans-serif" w:hAnsi="Arial;Helvetica;sans-serif"/>
          <w:b w:val="false"/>
          <w:i w:val="false"/>
          <w:caps w:val="false"/>
          <w:smallCaps w:val="false"/>
          <w:color w:val="000000"/>
          <w:sz w:val="20"/>
          <w:u w:val="single"/>
        </w:rPr>
        <w:t>Labor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(a) Neither the Company nor any Company Subsidiary is a party to, or bound by, any collective bargaining agreement or other Contract with a labor union, works council, labor organization, collective bargaining unit, employee committee or other authorized employee representative body. Except as has not had and would not reasonably be expected to have, individually or in the aggregate, a Company Material Adverse Effect, (i) neither the Company nor any Company Subsidiary is (or has during the past two (2) years been) subject to a labor dispute, strike, grievance, lockout or work stoppage, in each case whether pending or threatened and (ii) there are no organizational efforts with respect to the formation of a labor union, works council, labor organization, collective bargaining unit, employee committee or other authorized employee representative body presently being made or, to the Knowledge of the Company, threatened involving employees or other individual service providers of the Company or any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S4TM"/>
      <w:bookmarkEnd w:id="217"/>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Company Subsidiary. The Company and the Company Subsidiaries are in compliance in all material respects with respect to any obligations to notify, inform, consult with, or seek the consent of, any works council or other authorized employee representative body in connection with any of the transactions contemplated by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each Company Subsidiary are and have been since March 31, 2023 in compliance with all applicable Laws respecting labor, employment and employment practices, including immigration, fair employment practices, terms and conditions of employment, workers’ compensation, occupational safety and health requirements, family and medical leave, plant closings, mass layoffs, worker classification (including as employees and independent contractors), exempt and non-exempt status, compensation and benefits, wages and hours and the Worker Adjustment and Retraining Notification Act of 1988, as amended (the “</w:t>
      </w:r>
      <w:r>
        <w:rPr>
          <w:rFonts w:ascii="Arial;Helvetica;sans-serif" w:hAnsi="Arial;Helvetica;sans-serif"/>
          <w:b w:val="false"/>
          <w:i w:val="false"/>
          <w:caps w:val="false"/>
          <w:smallCaps w:val="false"/>
          <w:color w:val="000000"/>
          <w:sz w:val="20"/>
          <w:u w:val="single"/>
        </w:rPr>
        <w:t>WARN Act</w:t>
      </w:r>
      <w:r>
        <w:rPr>
          <w:rFonts w:ascii="Arial;Helvetica;sans-serif" w:hAnsi="Arial;Helvetica;sans-serif"/>
          <w:b w:val="false"/>
          <w:i w:val="false"/>
          <w:caps w:val="false"/>
          <w:smallCaps w:val="false"/>
          <w:color w:val="000000"/>
          <w:sz w:val="20"/>
        </w:rPr>
        <w:t>”), or any similar state, local or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(c) To the Knowledge of the Company, during the past five (5) years, no material allegations of sexual harassment or misconduct have been made against any employee of the Company or any Company Subsidiary with annual base compensation of  $300,000 or more. Neither the Company nor any Company Subsidiary has entered into any settlement agreement related to allegations of the foregoing conduct by individuals described in the immediately preceding sentence.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4.13. </w:t>
      </w:r>
      <w:r>
        <w:rPr>
          <w:rFonts w:ascii="Arial;Helvetica;sans-serif" w:hAnsi="Arial;Helvetica;sans-serif"/>
          <w:b w:val="false"/>
          <w:i w:val="false"/>
          <w:caps w:val="false"/>
          <w:smallCaps w:val="false"/>
          <w:color w:val="000000"/>
          <w:sz w:val="20"/>
          <w:u w:val="single"/>
        </w:rPr>
        <w:t>Tax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has not had and would not reasonably be expected to have, individually or in the aggregate, a Company Material Adverse Effect, the Company and the Company Subsidiaries have timely filed (taking into account any valid extension of time within which to file) all Tax Returns that are required to be filed by or with respect to them, and all such Tax Returns have been prepared in accordance with all applicable Laws and are true, correct and complete.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the Company Subsidiaries have timely paid in full to the appropriate Governmental Entity all Taxes required to be paid by them (whether or not shown as due on any Tax Return), and the financial statements of the Company and the Company Subsidiaries reflect adequate reserves established in accordance with GAAP for Taxes of the Company or any Company Subsidiary as of the date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the Company and the Company Subsidiaries (i) have duly and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have otherwise complied with all applicable Laws relating to the payment, withholding, collection and remittance of Taxes (including information reporting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(d) There is no (i) claim, litigation, audit, examination, investigation or other proceeding pending or threatened in writing with respect to any Taxes or Tax matters (including Tax Returns) of the Company or any Company Subsidiary or (ii) deficiency for Taxes that has been assessed by any Governmental Entity against the Company or any Company Subsidiary (and that has not been fully satisfied by payment), except, in each case, solely with respect to any such claim, litigation, audit, examination, investigation, other proceeding or deficiency arising after the date hereof,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(e) Neither the Company nor any Company Subsidiary is the beneficiary of any material Tax exemption, Tax holiday or other Tax reduction contract or order.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(f) Neither the Company nor any Company Subsidiary (i) has waived or extended any statute of limitations with respect to the collection or assessment of material Taxes, which waiver or extension has not since expired or (ii) has requested a waiver or extension of any statute of limitations with respect to the collection or assessment of material Taxes, in each case, which waiver or extension has continuing effect after the Closing Date, other than as a result of any automatic or automatically granted extensions or waivers of the statute of limitations in respect of filing Tax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(h) Neither the Company nor any Company Subsidiary (i) is or was a member of any affiliated, consolidated, combined, unitary, group relief or similar group for purposes of filing Tax Returns or paying Taxes (other than a group the common parent of which is or was the Company or any Company Subsidiary), (ii) is a party to or bound by, or has any obligation under, any material Tax allocation, sharing, indemnity, or reimbursement agreement or arrangement (other than any customary Tax indemnification provisions in commercial agreements entered into in the ordinary course of business not primarily related to Taxes, and other than any agreement or arrangement solely among the Company and the Company Subsidiaries), or (iii) has any material liability for Taxes of any Person (other than the Company or any Company Subsidiary) under Treasury Regulations Section 1.1502-6 (or any similar or analogous provision of state, local, or non-U.S. Law) or as transferee or successor or otherwise by operation of Law.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(i) There are no Liens in respect of or on account of material Taxes upon any property or assets of the Company or any Company Subsidiary, other than Permitted Liens.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(j) No material claim in respect of Taxes has been made in writing by any Tax authority in a jurisdiction where the Company or any Company Subsidiary has not filed Tax Returns that the Company or any Company Subsidiary is or may be subject to Tax by, or required to file Tax Returns with respect to Taxes in, such jurisdiction. Neither the Company nor any Company Subsidiary is or has been subject to Tax in any country other than the country of its incorporation by virtue of having a permanent establishment or other place of business or taxable presence in that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(k) Except as has not had and would not reasonably be expected to have, individually or in the aggregate, a Company Material Adverse Effect, the Company and the Company Subsidiaries have at all times complied in all respects with all applicable Laws regarding the preparation and maintenance of all documentation required to substantiate their transfer pricing practices and methodologies.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(l) Except as has not had and would not reasonably be expected to have, individually or in the aggregate, a Company Material Adverse Effect, the Company and the Company Subsidiaries have at all times complied in all respects with all applicable Laws regarding the registration for, and collection and remittance of, sales, goods and services, value-added, and similar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(m) Neither the Company nor any Company Subsidiary is or will be required to include any material item of income in, or exclude any material item of deduction from, taxable income for any taxable period (or portion thereof) beginning after the Closing Date as a result of any (i) adjustment pursuant to Section 481(a) of the Code (or any similar or analogous provision of state, local or non-U.S. Law) with respect to a change in accounting method that occurred at or prior to the Closing, (ii) installment sale or open transaction made or entered into at or prior to the Closing, (iii) deferred revenue or prepaid amount received or accrued at or prior to the Closing, or (iv) closing agreement (within the meaning of Section 7121 of the Code (or any similar or analogous provision of state, local, or non-U.S. Law)) entered into at or prior to the Closing. Neither the Company nor any Company Subsidiary has made an election pursuant to Section 965(h)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(n) Neither the Company nor any Company Subsidiary is a party to, or in receipt of, any “closing agreement” ​(within the meaning of Section 7121(a) of the Code (or any similar or analogous provision of state, local or non-U.S. Law)) or other ruling or written agreement with a Tax authority, in each case, with respect to material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(o) Other than any ownership change resulting from the Transactions, to the Knowledge of the Company as of the date of this Agreement, no “ownership change” within the meaning of Section 382 of the Code has occurred with respect to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(p) Section 4.13(p) of the Company Disclosure Letter lists each Company Subsidiary that is not a “United States person” within the meaning of Section 7701(a)(30) of the Code and, for each such Company Subsidiary, the U.S. federal income Tax classification thereof. All applicable U.S. Internal Revenue Service (“</w:t>
      </w:r>
      <w:r>
        <w:rPr>
          <w:rFonts w:ascii="Arial;Helvetica;sans-serif" w:hAnsi="Arial;Helvetica;sans-serif"/>
          <w:b w:val="false"/>
          <w:i w:val="false"/>
          <w:caps w:val="false"/>
          <w:smallCaps w:val="false"/>
          <w:color w:val="000000"/>
          <w:sz w:val="20"/>
          <w:u w:val="single"/>
        </w:rPr>
        <w:t>IRS</w:t>
      </w:r>
      <w:r>
        <w:rPr>
          <w:rFonts w:ascii="Arial;Helvetica;sans-serif" w:hAnsi="Arial;Helvetica;sans-serif"/>
          <w:b w:val="false"/>
          <w:i w:val="false"/>
          <w:caps w:val="false"/>
          <w:smallCaps w:val="false"/>
          <w:color w:val="000000"/>
          <w:sz w:val="20"/>
        </w:rPr>
        <w:t>”) Forms 5471 and all other applicable material U.S. federal income Tax Returns in respect of each such Company Subsidiary have been duly and properly filed with the IRS.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S4LO"/>
      <w:bookmarkEnd w:id="218"/>
      <w:r>
        <w:rPr>
          <w:rFonts w:ascii="calibri;arial;sans-serif" w:hAnsi="calibri;arial;sans-serif"/>
          <w:b w:val="false"/>
          <w:i w:val="false"/>
          <w:caps w:val="false"/>
          <w:smallCaps w:val="false"/>
          <w:color w:val="000000"/>
          <w:sz w:val="16"/>
        </w:rPr>
        <w:t>​</w:t>
      </w:r>
      <w:bookmarkStart w:id="219" w:name="tS4IP"/>
      <w:bookmarkEnd w:id="219"/>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(q) Neither the Company nor any Company Subsidiary has participated in any “listed transaction” within the meaning of Treasury Regulations Section 1.6011-4(b)(2) (or any similar or analogous provision of state, local or non-U.S.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(r) Notwithstanding anything to the contrary contained in this Agreement, other than the representations and warranties set forth in </w:t>
      </w:r>
      <w:r>
        <w:rPr>
          <w:rFonts w:ascii="Arial;Helvetica;sans-serif" w:hAnsi="Arial;Helvetica;sans-serif"/>
          <w:b w:val="false"/>
          <w:i w:val="false"/>
          <w:caps w:val="false"/>
          <w:smallCaps w:val="false"/>
          <w:color w:val="000000"/>
          <w:sz w:val="20"/>
          <w:u w:val="single"/>
        </w:rPr>
        <w:t>Section 4.11</w:t>
      </w:r>
      <w:r>
        <w:rPr>
          <w:rFonts w:ascii="Arial;Helvetica;sans-serif" w:hAnsi="Arial;Helvetica;sans-serif"/>
          <w:b w:val="false"/>
          <w:i w:val="false"/>
          <w:caps w:val="false"/>
          <w:smallCaps w:val="false"/>
          <w:color w:val="000000"/>
          <w:sz w:val="20"/>
        </w:rPr>
        <w:t xml:space="preserve"> to the extent they relate to Taxes, the representations and warranties set forth in this </w:t>
      </w:r>
      <w:r>
        <w:rPr>
          <w:rFonts w:ascii="Arial;Helvetica;sans-serif" w:hAnsi="Arial;Helvetica;sans-serif"/>
          <w:b w:val="false"/>
          <w:i w:val="false"/>
          <w:caps w:val="false"/>
          <w:smallCaps w:val="false"/>
          <w:color w:val="000000"/>
          <w:sz w:val="20"/>
          <w:u w:val="single"/>
        </w:rPr>
        <w:t>Section 4.13</w:t>
      </w:r>
      <w:r>
        <w:rPr>
          <w:rFonts w:ascii="Arial;Helvetica;sans-serif" w:hAnsi="Arial;Helvetica;sans-serif"/>
          <w:b w:val="false"/>
          <w:i w:val="false"/>
          <w:caps w:val="false"/>
          <w:smallCaps w:val="false"/>
          <w:color w:val="000000"/>
          <w:sz w:val="20"/>
        </w:rPr>
        <w:t xml:space="preserve"> constitute the sole and exclusive representations and warranties relating to Taxes, Tax Returns and any other matters relating or attributable to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4.14. </w:t>
      </w:r>
      <w:r>
        <w:rPr>
          <w:rFonts w:ascii="Arial;Helvetica;sans-serif" w:hAnsi="Arial;Helvetica;sans-serif"/>
          <w:b w:val="false"/>
          <w:i w:val="false"/>
          <w:caps w:val="false"/>
          <w:smallCaps w:val="false"/>
          <w:color w:val="000000"/>
          <w:sz w:val="20"/>
          <w:u w:val="single"/>
        </w:rPr>
        <w:t>Litigation; Orders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(a) There are no Proceedings pending or, to the Knowledge of the Company, threatened against the Company or any Company Subsidiary or any of their respective properties, rights or assets by or before any Governmental Entity that would reasonably be expected to have, individually or in the aggregate, a Company Material Adverse Effect. There are no orders, judgments or decrees of or settlement agreements with any Governmental Entity that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(b) There are no pending Proceedings initiated or asserted by the Company or any Company Subsidiary that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4.15. </w:t>
      </w:r>
      <w:r>
        <w:rPr>
          <w:rFonts w:ascii="Arial;Helvetica;sans-serif" w:hAnsi="Arial;Helvetica;sans-serif"/>
          <w:b w:val="false"/>
          <w:i w:val="false"/>
          <w:caps w:val="false"/>
          <w:smallCaps w:val="false"/>
          <w:color w:val="000000"/>
          <w:sz w:val="20"/>
          <w:u w:val="single"/>
        </w:rPr>
        <w:t>Intellectual Property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4.15(a) of the Company Disclosure Letter lists for each item of Company Registered IP: (i) the application or registration number, title, owner(s), and the jurisdiction of filing, registration or issuance; and (ii) the status (i.e., whether registered or applied-for) of such item. Each material item of Company Registered IP is subsisting, enforceable, and to the Knowledge of the Company, valid, and is not subject to any order, writ, injunction, award, judgment, ruling, stipulation or decree of any Governmental Entity that impairs or limits, in any material respect, the validity, scope or enforceability of, or the Company’s or any Company Subsidiary’s ownership or right to use or exploit, any such Company Registered IP as used in the business of the Company and the Company Subsidiaries as presently conducted.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its Subsidiaries (i) exclusively own and possess all right, title, and interest in and to all Company IP, in each case, free and clear of all Liens other than Permitted Liens, and (ii) have the sufficient right to use or practice, as applicable, pursuant to valid and enforceable licenses, all other Intellectual Property used in connection with or necessary for the operation of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(i) no third party is infringing, misappropriating or otherwise violating any Company IP and, since March 31, 2023, neither the Company nor any Company Subsidiary has made any written claims alleging any such infringement, misappropriation or violation; and (ii) the conduct of the business of the Company and the Company Subsidiaries is not infringing, misappropriating or violating, or has infringed, misappropriated, or violated, any Intellectual Property of any third party. Since March 31, 2023, neither the Company nor any Company Subsidiary has received any written notice, and there is no claim or Proceeding pending against, or, to the Knowledge of the Company, threatened in writing against, any of them, alleging that the conduct of the business of the Company and the Company Subsidiaries infringes, misappropriates, or violates the Intellectual Property of any third party or challenging the validity, enforceability, scope, or ownership of any Company IP, in each case, in a manner that is or could reasonably be expected to be material to the Company and the Company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(d) Except as would not reasonably be expected to be, individually or in the aggregate, material to the Company and the Company Subsidiaries, taken as a whole, the effect of the transactions contemplated herein will not (i) terminate, grant, exercise, or alter (or give rise to any right to terminate, grant, exercise, or alter) any ownership rights in any Company IP, or other rights in any Intellectual Property granted to the Company that is material to the business of the Company and the Company Subsidiaries, or (ii) give rise to or allow any Person to exercise any additional right or impose any additional restriction on the business under any agreement granting rights to any Company 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S4CI"/>
      <w:bookmarkEnd w:id="2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all Persons (including current and former employees, consultants, and independent contractors) who have developed any Intellectual Property for or on behalf of the Company or any Company Subsidiary that is material to the business of the Company and the Company Subsidiaries (i) have assigned to the Company or a Company Subsidiary, as applicable, all of their right, title and interest in and to such Intellectual Property, or else ownership of such Intellectual Property has otherwise vested in one or more of the Company or the Subsidiaries as a matter of Law, and (ii) has executed a written Contract with the Company or a Company Subsidiary obligating such Person to maintain the confidentiality of  (and not disclose) any Trade Secret included within Company IP, and to the Knowledge of the Company, no such Person is in violation of any such Contract in a manner material to the business of the Company and the Company Subsidiaries. The Company and the Company Subsidiaries use and have used commercially reasonable efforts to maintain the confidentiality of all Trade Secrets included within Company IP (and other confidential information, including customer data, Processed in connection with the business of the Company and the Company Subsidiaries) and, except as would not reasonably be expected to be, individually or in the aggregate, material to the Company and the Company Subsidiaries, taken as a whole, there have not been any unauthorized uses or disclosures of any such Trade Secrets that are or would reasonably be expected to be material to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(f) Except as has not had and would not reasonably be expected to have, individually or in the aggregate, a Company Material Adverse Effect, (i) none of the Software developed by or for the Company or a Company Subsidiary and used in connection with the operation of the business of the Company and the Company Subsidiaries (collectively, “</w:t>
      </w:r>
      <w:r>
        <w:rPr>
          <w:rFonts w:ascii="Arial;Helvetica;sans-serif" w:hAnsi="Arial;Helvetica;sans-serif"/>
          <w:b w:val="false"/>
          <w:i w:val="false"/>
          <w:caps w:val="false"/>
          <w:smallCaps w:val="false"/>
          <w:color w:val="000000"/>
          <w:sz w:val="20"/>
          <w:u w:val="single"/>
        </w:rPr>
        <w:t>Company Business Software</w:t>
      </w:r>
      <w:r>
        <w:rPr>
          <w:rFonts w:ascii="Arial;Helvetica;sans-serif" w:hAnsi="Arial;Helvetica;sans-serif"/>
          <w:b w:val="false"/>
          <w:i w:val="false"/>
          <w:caps w:val="false"/>
          <w:smallCaps w:val="false"/>
          <w:color w:val="000000"/>
          <w:sz w:val="20"/>
        </w:rPr>
        <w:t>”) has been distributed in a manner requiring, as a condition of any Open Source License, that any portion of such Company Business Software be licensed, distributed or otherwise made available to third parties (A) in source code format, (B) under terms that permit redistribution, reverse engineering, modification or the creation of derivative works of such Company Business Software, or (C) on a royalty-free or no-fee basis; and (ii) no source code with respect to any Company Business Software has been provided or made available to any Person, except for Persons who are subject to reasonable written confidentiality and nondisclosure agreements restricting such Persons’ rights to disclose and use such Company Business Software and otherwise protecting the Company’s and the Company Subsidiaries’ rights therein.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(g) Except as has not had and would not reasonably be expected to have, individually or in the aggregate, a Company Material Adverse Effect, (i) the Company and each Company Subsidiary complies with all applicable Laws governing the development, training, fine-tuning, validation, testing, improvement, use and deployment of AI Systems by or on behalf of the Company and each Company Subsidiary and there has been no material non-compliance with any such Laws, (ii) for each AI System trained, fine-tuned or otherwise created, developed or improved by or on behalf of the Company or any Company Subsidiary, the Company or the applicable Company Subsidiary had sufficient rights to collect, use and process all data in the manner collected or Processed for such training, fine-tuning, creation, development or improvement by or on behalf of the Company or the applicable Company Subsidiary, as applicable, (iii) neither the Company nor any Company Subsidiary is or has been the subject of any Proceeding (or a request for information or testimony from any Governmental Entity) alleging that the Company or any Company Subsidiary violated any applicable Law or other binding contractual obligation regarding any AI System, and (iv) neither the Company nor any Company Subsidiary develops, uses, deploys or makes available any AI Systems categorized as “prohibited” or “unlawful” or that are similarly categorized under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4.16. </w:t>
      </w:r>
      <w:r>
        <w:rPr>
          <w:rFonts w:ascii="Arial;Helvetica;sans-serif" w:hAnsi="Arial;Helvetica;sans-serif"/>
          <w:b w:val="false"/>
          <w:i w:val="false"/>
          <w:caps w:val="false"/>
          <w:smallCaps w:val="false"/>
          <w:color w:val="000000"/>
          <w:sz w:val="20"/>
          <w:u w:val="single"/>
        </w:rPr>
        <w:t>Company IT; Privacy and Data Protection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has not had and would not reasonably be expected to have, individually or in the aggregate, a Company Material Adverse Effect: (i) the Company and the Company Subsidiaries use commercially reasonable efforts to protect the Company IT from any unauthorized use, access, interruption, or modification, (ii) the Company and the Company Subsidiaries have valid and sufficient rights to use the Company IT as currently used in their business, (iii) the Company IT (A) is sufficient for the current needs of the business of the Company and the Company Subsidiaries, and (B) is in sufficiently good working condition to effectively perform all information technology operations necessary for the operation of the business of the Company and the Company Subsidiaries as currently conducted, and (iv) there have been no unauthorized intrusions, failures, breakdowns, continued substandard performance, or other adverse events affecting any such Company IT that have caused any material disruption of or material interruption in or to the operation of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1" w:name="tS4RP"/>
      <w:bookmarkEnd w:id="22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would not reasonably be expected to be, individually or in the aggregate, material to the Company and the Company Subsidiaries, taken as a whole, the Company’s and each Company Subsidiary’s Processing of Protected Information and any such Processing by authorized third parties on the Company’s or a Company Subsidiary’s behalf, have complied with all applicable Privacy Requirements. Except as would not reasonably be expected to be, individually or in the aggregate, material to the Company and the Company Subsidiaries, taken as a whole, the Company and each Company Subsidiary have all rights, authority, consents and authorizations necessary to receive, access, use and disclose the Protected Information in their possession or under their control, or that they otherwise Process or have Processed on their behalf, in connection with the operation of their businesses as presently conducted.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(i) there has been no (A) data security breach, unauthorized access to, or malicious disruption of any Company IT, or (B) other incidents involving the unauthorized access, acquisition, use or disclosure of any Protected Information of, or Processed or controlled by or on behalf of, the Company or the Company Subsidiaries, including any such unauthorized access, acquisition, use or disclosure of Protected Information that would constitute a breach for which notification by the Company or any Company Subsidiary to individuals or Governmental Entities is required under any applicable Privacy Requirements, and (ii) no Company IT contains or makes available any disabling codes or instructions, “time bombs”, “Trojan horses”, “back doors”, “trap doors”, “worms”, viruses, bugs, faults, security vulnerabilities or other similar Software routines.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(d) Except as has not had and would not reasonably be expected to have, individually or in the aggregate, a Company Material Adverse Effect, no third party who Processes Protected Information on behalf of, or shared Protected Information with, the Company or the Company Subsidiaries (including customers, vendors, suppliers or subcontractors) has (i) suffered any security breach that resulted in any unauthorized access to or use of any Protected Information, (ii) breached any obligations relating to Protected Information in Contracts with the Company or any Company Subsidiary or (iii) violated any Laws applicable to their Processing of Protected Information.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the Company and the Company Subsidiaries, and, to the Knowledge of the Company, each third-party service provider that Processes Protected Information for or on behalf of the Company and its Subsidiaries, have implemented and maintain a commercially reasonably written information security program and reasonable and appropriate organizational, physical, administrative and technical safeguards designed in all material respects to (i) comply with applicable Privacy Requirements, (ii) protect the Company IT, together with any Protected Information held or Processed by the Company or a Company Subsidiary, and (iii) maintain notification procedures in compliance in all material respects with applicable Privacy Requirements. The Company and the Company Subsidiaries regularly test their written information security program by conducting security audits, penetration tests, and/or vulnerability scans, and, to the Knowledge of the Company, no entity has identified any high or critical vulnerability that has not been fully remediated.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(f) Since March 31, 2023, except as has not had and would not reasonably be expected to have, individually or in the aggregate, a Company Material Adverse Effect, no Person has (i) made or, to the Knowledge of the Company, threatened any written claim against the Company or a Company Subsidiary or (ii) commenced any Proceeding against the Company or a Company Subsidiary, in each case, with respect to (A) any alleged violation of any Privacy Requirement or (B) any of the Company’s or a Company Subsidiary’s privacy or data security practices with respect to Protected Information, including, in each case, any loss, damage or unauthorized access, acquisition, use, disclosure, modification or other misuse of any Protected Information maintained by or on behalf of the Company or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(g) Except as has not had and would not reasonably be expected to have, individually or in the aggregate, a Company Material Adverse Effect, the Company and the Company Subsidiaries have in place commercially reasonable disaster recovery plans and procedures for their material businesses.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4.17. </w:t>
      </w:r>
      <w:r>
        <w:rPr>
          <w:rFonts w:ascii="Arial;Helvetica;sans-serif" w:hAnsi="Arial;Helvetica;sans-serif"/>
          <w:b w:val="false"/>
          <w:i w:val="false"/>
          <w:caps w:val="false"/>
          <w:smallCaps w:val="false"/>
          <w:color w:val="000000"/>
          <w:sz w:val="20"/>
          <w:u w:val="single"/>
        </w:rPr>
        <w:t>Real Property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set forth on Section 4.17(a) of the Company Disclosure Letter, the Company and the Company Subsidiaries do not own any real property.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(b) Section 4.17(b)(i) of the Company Disclosure Letter sets forth a complete and correct list, as of the date hereof, of each real property that the Company or any Company Subsidiary leases, subleases or occupies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S4MC"/>
      <w:bookmarkEnd w:id="2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z w:val="20"/>
          <w:u w:val="single"/>
        </w:rPr>
        <w:t>Leased Real Property</w:t>
      </w:r>
      <w:r>
        <w:rPr>
          <w:rFonts w:ascii="Arial;Helvetica;sans-serif" w:hAnsi="Arial;Helvetica;sans-serif"/>
          <w:b w:val="false"/>
          <w:i w:val="false"/>
          <w:caps w:val="false"/>
          <w:smallCaps w:val="false"/>
          <w:color w:val="000000"/>
          <w:sz w:val="20"/>
        </w:rPr>
        <w:t>”) and the street address of each such Leased Real Property. Section 4.17(b)(ii) of the Company Disclosure Letter sets forth a complete and correct list, as of the date hereof, of each Contract (each, a “</w:t>
      </w:r>
      <w:r>
        <w:rPr>
          <w:rFonts w:ascii="Arial;Helvetica;sans-serif" w:hAnsi="Arial;Helvetica;sans-serif"/>
          <w:b w:val="false"/>
          <w:i w:val="false"/>
          <w:caps w:val="false"/>
          <w:smallCaps w:val="false"/>
          <w:color w:val="000000"/>
          <w:sz w:val="20"/>
          <w:u w:val="single"/>
        </w:rPr>
        <w:t>Company Lease</w:t>
      </w:r>
      <w:r>
        <w:rPr>
          <w:rFonts w:ascii="Arial;Helvetica;sans-serif" w:hAnsi="Arial;Helvetica;sans-serif"/>
          <w:b w:val="false"/>
          <w:i w:val="false"/>
          <w:caps w:val="false"/>
          <w:smallCaps w:val="false"/>
          <w:color w:val="000000"/>
          <w:sz w:val="20"/>
        </w:rPr>
        <w:t>”) pursuant to which the Company or any Company Subsidiary leases, subleases or occupies any Leased Real Property. True and complete copies of each Company Lease in effect as of the date hereof have been made available to Parent prior to the date hereof. Except as has not had and would not reasonably be expected to have, individually or in the aggregate, a Company Material Adverse Effect, (i) each Company Lease is a valid, binding and enforceable obligation of the Company or the Company Subsidiary which is party thereto and, to the Knowledge of the Company, the other party or parties thereto, in accordance with its terms and in full force and effect, subject to the Enforceability Limitations, and no uncured default or event of default (or any event that with notice or lapse of time or both would become a default) on the part of the Company or, if applicable, any Company Subsidiary or, to the Company’s Knowledge, any other party thereunder exists with respect to any Company Lease, (ii) the Company or its applicable Subsidiary has not (A) subleased, licensed, or otherwise granted any Person the right to use or occupy any Leased Real Property or (B) collaterally assigned or granted any other security interests in any Company Lease or any interest therein, (iii) there are no Liens on the estate or interests created by any such Company Lease, except Permitted Liens, and (iv) the Company or a Company Subsidiary has a good and valid leasehold interest in the Leased Real Property, free and clear of all Liens, other than Permitted Liens.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4.18. </w:t>
      </w:r>
      <w:r>
        <w:rPr>
          <w:rFonts w:ascii="Arial;Helvetica;sans-serif" w:hAnsi="Arial;Helvetica;sans-serif"/>
          <w:b w:val="false"/>
          <w:i w:val="false"/>
          <w:caps w:val="false"/>
          <w:smallCaps w:val="false"/>
          <w:color w:val="000000"/>
          <w:sz w:val="20"/>
          <w:u w:val="single"/>
        </w:rPr>
        <w:t>Material Contracts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(a) Except for this Agreement, Section 4.18(a) of the Company Disclosure Letter contains a complete and correct list, as of the date hereof, of each Contract described in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other than any Company Benefit Plans (all Contracts of the type described in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whether or not set forth on Section 4.18(a) of the Company Disclosure Letter, being referred to herein as “</w:t>
      </w:r>
      <w:r>
        <w:rPr>
          <w:rFonts w:ascii="Arial;Helvetica;sans-serif" w:hAnsi="Arial;Helvetica;sans-serif"/>
          <w:b w:val="false"/>
          <w:i w:val="false"/>
          <w:caps w:val="false"/>
          <w:smallCaps w:val="false"/>
          <w:color w:val="000000"/>
          <w:sz w:val="20"/>
          <w:u w:val="single"/>
        </w:rPr>
        <w:t>Material Contracts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in any material respect the Company, the Company Subsidiaries or their respective affiliates (including Parent and its affiliates after the Effective Time) from the development, marketing or distribution of products and services, in each case, in any geographic area;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(ii) any material partnership, strategic alliance, joint venture, collaboration or limited liability company agreement (other than any such agreement solely between or among the Company and its wholly owned Subsidiaries) or similar Contract;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(iii) each Contract in respect of a business or entity acquisition or divestiture (whether by merger, consolidation, or transfer of equity or assets of such business or entity) that contains any material continuing or unsatisfied covenants, indemnities or other obligations to be performed by the Company or any Company Subsidiary (including “earnout” or other contingent payment obligations);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(iv) each Contract (other than a Contract with any Data Supplier) that provides for the Company or any Company Subsidiary to obtain a service, license, product, product line, operations or line of business from any Person (including any of the Material Suppliers) that involves annual payments or consideration in excess of  $3,000,000, or that contains any minimum purchase commitments in excess of  $3,000,000 annually;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(v) each Contract that gives any Person the right to acquire any assets of the Company or any Company Subsidiary (excluding ordinary course commitments to purchase products or services) after the date hereof with consideration of more than $3,000,000;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(vi) each Company Lease;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(vii) any Contract with a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(viii) any settlement or similar Contract restricting in any material respect the operations or conduct of the Company or any Company Subsidiary or any of their respective affiliates (including Parent and its affiliates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(ix) each Contract (other than a Contract with any Data Supplier) not otherwise described in any other subsection of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pursuant to which the Company or any Company Subsidiary has paid or received payments in excess of  $5,000,000 in the twelve (12) month period ended March 31, 2026, or is obligated to pay or entitled to receive payments in excess of  $5,000,000 in the twelve (12) month period following the date hereof, other than Contracts solely between the Company and a wholly owned Company Subsidiary or solely between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(x) any Contract that obligates the Company or any Company Subsidiary to make any capital investment or capital expenditure outside the ordinary course of business and in excess of  $1,000,000 per annum;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(xi) except where the exercise of any such right or imposition of such limitation has not been, and would not reasonably be expected to be, individually or in the aggregate, material to the Company and the Company Subsidiaries, taken as a whole, each Contract that grants any right of first refusal, right of first offer or similar right or that limits the ability of the Company, any Company Subsidiary or any of its affiliates (including Parent or any of its affiliates after the Effective Time) to own, operate, sell, transfer, pledge or otherwise dispose of any businesses or assets;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(xii) each Contract that contains any exclusivity rights or “most favored nations” provisions, in each case, that are material in any respect to the Company or its affiliates (including Parent or its affiliates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(xiii) each Contract governing any collaboration, co-promotion, strategic alliance or design project which, in each case, is material to the Company and the Company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(xiv) each Contract evidencing or relating to outstanding Indebtedness (or commitments in respect thereof) of the Company or any Company Subsidiary (whether incurred, assumed, guaranteed or secured by any asset) in an amount in excess of  $1,000,000 other than Contracts solely between the Company and a wholly owned Company Subsidiary or between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(xv) each Contract (A) pursuant to which the Company or any Company Subsidiary grants or receives any license, option, waiver, covenant not to assert or similar right with respect to Intellectual Property that is material to the businesses of the Company and the Company Subsidiaries, or agrees to limit its use or exploitation of any material Company IP in any material respect, including pursuant to any settlement agreement, coexistence agreement or similar arrangement, (B) governing the development or ownership of any material Company IP, or (C) that otherwise materially restricts the Company’s or any Company Subsidiary’s (or will, following the Closing, materially restrict Parent’s) use or exploitation of any Company IP (including consent-to-use, coexistence, and concurrent use agreements), in each case, other than any (x) non-exclusive licenses granted with respect to commercially available third party Software pursuant to off-the-shelf terms, (y) employee and third-party developer invention assignment agreements granted on the Company and its Subsidiaries’ standard terms, and (z) non-exclusive licenses granted to customers, in each case, that are entered into in the ordinary course of business consistent with past practice;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(xvi) each Contract between the Company or any Company Subsidiary, on the one hand, and any officer, director or affiliate (other than a wholly owned Company Subsidiary) of the Company or any Company Subsidiary, any beneficial owner, directly or indirectly, of more than five percent (5%)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or family member;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(xvii) each Contract with a Material Customer;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(xviii) each Contract with a Material Supplier;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(xix) each Contract with a Material Data Supplier.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3" w:name="tS4EM"/>
      <w:bookmarkEnd w:id="223"/>
      <w:r>
        <w:rPr>
          <w:rFonts w:ascii="calibri;arial;sans-serif" w:hAnsi="calibri;arial;sans-serif"/>
          <w:b w:val="false"/>
          <w:i w:val="false"/>
          <w:caps w:val="false"/>
          <w:smallCaps w:val="false"/>
          <w:color w:val="000000"/>
          <w:sz w:val="16"/>
        </w:rPr>
        <w:t>​</w:t>
      </w:r>
      <w:bookmarkStart w:id="224" w:name="tS4CA1"/>
      <w:bookmarkEnd w:id="224"/>
      <w:r>
        <w:rPr>
          <w:rFonts w:ascii="calibri;arial;sans-serif" w:hAnsi="calibri;arial;sans-serif"/>
          <w:b w:val="false"/>
          <w:i w:val="false"/>
          <w:caps w:val="false"/>
          <w:smallCaps w:val="false"/>
          <w:color w:val="000000"/>
          <w:sz w:val="16"/>
        </w:rPr>
        <w:t>​</w:t>
      </w:r>
      <w:bookmarkStart w:id="225" w:name="tS4IE"/>
      <w:bookmarkEnd w:id="225"/>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(xx) any Contract not otherwise described in any other subsection of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that would constitute a “material contract” ​(as such term is defined in Item 601(b)(10) of Regulation S-K of the SEC) with respect to the Company (other than those agreements and arrangements described in Item 601(b)(10)(iii) of Regulation S-K of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and any expiration thereof in accordance with its terms existing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4.19. </w:t>
      </w:r>
      <w:r>
        <w:rPr>
          <w:rFonts w:ascii="Arial;Helvetica;sans-serif" w:hAnsi="Arial;Helvetica;sans-serif"/>
          <w:b w:val="false"/>
          <w:i w:val="false"/>
          <w:caps w:val="false"/>
          <w:smallCaps w:val="false"/>
          <w:color w:val="000000"/>
          <w:sz w:val="20"/>
          <w:u w:val="single"/>
        </w:rPr>
        <w:t>Environmental Matters</w:t>
      </w:r>
      <w:r>
        <w:rPr>
          <w:rFonts w:ascii="Arial;Helvetica;sans-serif" w:hAnsi="Arial;Helvetica;sans-serif"/>
          <w:b w:val="false"/>
          <w:i w:val="false"/>
          <w:caps w:val="false"/>
          <w:smallCaps w:val="false"/>
          <w:color w:val="000000"/>
          <w:sz w:val="20"/>
        </w:rPr>
        <w:t>.  Since the date that is three (3) years prior to the date hereof, except for matters that have not had and would not reasonably be expected to have, individually or in the aggregate, a Company Material Adverse Effect, (a) neither the Company nor any Company Subsidiary is in violation of any Environmental Law, (b) none of the properties currently or to the Knowledge of the Company, formerly owned or occupied by the Company or any Company Subsidiary (or which the Company or any Company Subsidiary has a right to occupy) is contaminated with any Hazardous Substance under circumstances that would reasonably be expected to require remediation or other action pursuant to any Environmental Law, (c) except for matters which have been fully resolved with no outstanding potential liability for the Company or any of its Subsidiaries, neither the Company nor any Company Subsidiary has received any request for information, notice of liability or potential liability or claim or, to the Knowledge of the Company, is otherwise subject to liability relating to any off-site disposal or contamination involving Hazardous Substances affecting any non-owned properties or natural resources and (d) neither the Company nor any Company Subsidiary is subject to any order, decree, injunction or other binding agreement with any Governmental Entity or any indemnity or other contractual agreement with any third party providing for or requiring it to assume or incur any liability or obligations under any Environmental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4.20. </w:t>
      </w:r>
      <w:r>
        <w:rPr>
          <w:rFonts w:ascii="Arial;Helvetica;sans-serif" w:hAnsi="Arial;Helvetica;sans-serif"/>
          <w:b w:val="false"/>
          <w:i w:val="false"/>
          <w:caps w:val="false"/>
          <w:smallCaps w:val="false"/>
          <w:color w:val="000000"/>
          <w:sz w:val="20"/>
          <w:u w:val="single"/>
        </w:rPr>
        <w:t>Customers and Suppliers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4.20(a) of the Company Disclosure Letter sets forth the twenty (20) largest customers of the Company and the Company Subsidiaries (based on payments received) for the twelve (12) month period ended March 31, 2026 (each, a “</w:t>
      </w:r>
      <w:r>
        <w:rPr>
          <w:rFonts w:ascii="Arial;Helvetica;sans-serif" w:hAnsi="Arial;Helvetica;sans-serif"/>
          <w:b w:val="false"/>
          <w:i w:val="false"/>
          <w:caps w:val="false"/>
          <w:smallCaps w:val="false"/>
          <w:color w:val="000000"/>
          <w:sz w:val="20"/>
          <w:u w:val="single"/>
        </w:rPr>
        <w:t>Material Customer</w:t>
      </w:r>
      <w:r>
        <w:rPr>
          <w:rFonts w:ascii="Arial;Helvetica;sans-serif" w:hAnsi="Arial;Helvetica;sans-serif"/>
          <w:b w:val="false"/>
          <w:i w:val="false"/>
          <w:caps w:val="false"/>
          <w:smallCaps w:val="false"/>
          <w:color w:val="000000"/>
          <w:sz w:val="20"/>
        </w:rPr>
        <w:t>”). Since March 31, 2025, neither the Company nor any Company Subsidiary has received any written (or to the Knowledge of the Company, oral) notice from any Material Customer that such Material Customer shall not continue as a customer to the Company or that such Material Customer intends to terminate or materially adversely modify existing Contracts with the Company or the Company Subsidiaries,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(b) Section 4.20(b) of the Company Disclosure Letter sets forth the fifteen (15) largest suppliers and vendors of the Company and the Company Subsidiaries (based on payments made) for the twelve (12) month period ended March 31, 2026 (each, a “</w:t>
      </w:r>
      <w:r>
        <w:rPr>
          <w:rFonts w:ascii="Arial;Helvetica;sans-serif" w:hAnsi="Arial;Helvetica;sans-serif"/>
          <w:b w:val="false"/>
          <w:i w:val="false"/>
          <w:caps w:val="false"/>
          <w:smallCaps w:val="false"/>
          <w:color w:val="000000"/>
          <w:sz w:val="20"/>
          <w:u w:val="single"/>
        </w:rPr>
        <w:t>Material Supplier</w:t>
      </w:r>
      <w:r>
        <w:rPr>
          <w:rFonts w:ascii="Arial;Helvetica;sans-serif" w:hAnsi="Arial;Helvetica;sans-serif"/>
          <w:b w:val="false"/>
          <w:i w:val="false"/>
          <w:caps w:val="false"/>
          <w:smallCaps w:val="false"/>
          <w:color w:val="000000"/>
          <w:sz w:val="20"/>
        </w:rPr>
        <w:t>”). Since March 31, 2025, neither the Company nor any Company Subsidiary has received any written (or to the Knowledge of the Company, oral) notice from any Material Supplier that such Material Supplier shall not continue as a supplier to the Company or that such Material Supplier intends to terminate or materially adversely modify existing Contracts with the Company or the Company Subsidiaries,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4.21. </w:t>
      </w:r>
      <w:r>
        <w:rPr>
          <w:rFonts w:ascii="Arial;Helvetica;sans-serif" w:hAnsi="Arial;Helvetica;sans-serif"/>
          <w:b w:val="false"/>
          <w:i w:val="false"/>
          <w:caps w:val="false"/>
          <w:smallCaps w:val="false"/>
          <w:color w:val="000000"/>
          <w:sz w:val="20"/>
          <w:u w:val="single"/>
        </w:rPr>
        <w:t>Insurance</w:t>
      </w:r>
      <w:r>
        <w:rPr>
          <w:rFonts w:ascii="Arial;Helvetica;sans-serif" w:hAnsi="Arial;Helvetica;sans-serif"/>
          <w:b w:val="false"/>
          <w:i w:val="false"/>
          <w:caps w:val="false"/>
          <w:smallCaps w:val="false"/>
          <w:color w:val="000000"/>
          <w:sz w:val="20"/>
        </w:rPr>
        <w:t xml:space="preserve">. 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6" w:name="tS4IS"/>
      <w:bookmarkEnd w:id="226"/>
      <w:r>
        <w:rPr>
          <w:rFonts w:ascii="calibri;arial;sans-serif" w:hAnsi="calibri;arial;sans-serif"/>
          <w:b w:val="false"/>
          <w:i w:val="false"/>
          <w:caps w:val="false"/>
          <w:smallCaps w:val="false"/>
          <w:color w:val="000000"/>
          <w:sz w:val="16"/>
        </w:rPr>
        <w:t>​</w:t>
      </w:r>
      <w:bookmarkStart w:id="227" w:name="tS4OO"/>
      <w:bookmarkEnd w:id="227"/>
      <w:r>
        <w:rPr>
          <w:rFonts w:ascii="calibri;arial;sans-serif" w:hAnsi="calibri;arial;sans-serif"/>
          <w:b w:val="false"/>
          <w:i w:val="false"/>
          <w:caps w:val="false"/>
          <w:smallCaps w:val="false"/>
          <w:color w:val="000000"/>
          <w:sz w:val="16"/>
        </w:rPr>
        <w:t>​</w:t>
      </w:r>
      <w:bookmarkStart w:id="228" w:name="tS4ST"/>
      <w:bookmarkEnd w:id="228"/>
      <w:r>
        <w:rPr>
          <w:rFonts w:ascii="calibri;arial;sans-serif" w:hAnsi="calibri;arial;sans-serif"/>
          <w:b w:val="false"/>
          <w:i w:val="false"/>
          <w:caps w:val="false"/>
          <w:smallCaps w:val="false"/>
          <w:color w:val="000000"/>
          <w:sz w:val="16"/>
        </w:rPr>
        <w:t>​</w:t>
      </w:r>
      <w:bookmarkStart w:id="229" w:name="tS4RP1"/>
      <w:bookmarkEnd w:id="229"/>
      <w:r>
        <w:rPr>
          <w:rFonts w:ascii="calibri;arial;sans-serif" w:hAnsi="calibri;arial;sans-serif"/>
          <w:b w:val="false"/>
          <w:i w:val="false"/>
          <w:caps w:val="false"/>
          <w:smallCaps w:val="false"/>
          <w:color w:val="000000"/>
          <w:sz w:val="16"/>
        </w:rPr>
        <w:t>​</w:t>
      </w:r>
      <w:bookmarkStart w:id="230" w:name="tS4FA"/>
      <w:bookmarkEnd w:id="230"/>
      <w:r>
        <w:rPr>
          <w:rFonts w:ascii="calibri;arial;sans-serif" w:hAnsi="calibri;arial;sans-serif"/>
          <w:b w:val="false"/>
          <w:i w:val="false"/>
          <w:caps w:val="false"/>
          <w:smallCaps w:val="false"/>
          <w:color w:val="000000"/>
          <w:sz w:val="16"/>
        </w:rPr>
        <w:t>​</w:t>
      </w:r>
      <w:bookmarkStart w:id="231" w:name="tS4NO"/>
      <w:bookmarkEnd w:id="23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than in connection with normal renewals of any such insurance policies or Contracts) where such cancellation or termination has had or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4.22. </w:t>
      </w:r>
      <w:r>
        <w:rPr>
          <w:rFonts w:ascii="Arial;Helvetica;sans-serif" w:hAnsi="Arial;Helvetica;sans-serif"/>
          <w:b w:val="false"/>
          <w:i w:val="false"/>
          <w:caps w:val="false"/>
          <w:smallCaps w:val="false"/>
          <w:color w:val="000000"/>
          <w:sz w:val="20"/>
          <w:u w:val="single"/>
        </w:rPr>
        <w:t>Information Supplied</w:t>
      </w:r>
      <w:r>
        <w:rPr>
          <w:rFonts w:ascii="Arial;Helvetica;sans-serif" w:hAnsi="Arial;Helvetica;sans-serif"/>
          <w:b w:val="false"/>
          <w:i w:val="false"/>
          <w:caps w:val="false"/>
          <w:smallCaps w:val="false"/>
          <w:color w:val="000000"/>
          <w:sz w:val="20"/>
        </w:rPr>
        <w:t>.  The information relating to the Company and the Company Subsidiaries to be contained in, or incorporated by reference in, the proxy statement to be filed with the SEC in connection with seeking Company Stockholder Approval (including the letter to stockholders, notice of meeting and form of proxy, the “</w:t>
      </w:r>
      <w:r>
        <w:rPr>
          <w:rFonts w:ascii="Arial;Helvetica;sans-serif" w:hAnsi="Arial;Helvetica;sans-serif"/>
          <w:b w:val="false"/>
          <w:i w:val="false"/>
          <w:caps w:val="false"/>
          <w:smallCaps w:val="false"/>
          <w:color w:val="000000"/>
          <w:sz w:val="20"/>
          <w:u w:val="single"/>
        </w:rPr>
        <w:t>Proxy Statement</w:t>
      </w:r>
      <w:r>
        <w:rPr>
          <w:rFonts w:ascii="Arial;Helvetica;sans-serif" w:hAnsi="Arial;Helvetica;sans-serif"/>
          <w:b w:val="false"/>
          <w:i w:val="false"/>
          <w:caps w:val="false"/>
          <w:smallCaps w:val="false"/>
          <w:color w:val="000000"/>
          <w:sz w:val="20"/>
        </w:rPr>
        <w:t xml:space="preserve">”)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 will comply in all material respects as to form with the requirements of the Exchange Act and the rules and regulations promulgated thereunder. Notwithstanding the foregoing provisions of this </w:t>
      </w:r>
      <w:r>
        <w:rPr>
          <w:rFonts w:ascii="Arial;Helvetica;sans-serif" w:hAnsi="Arial;Helvetica;sans-serif"/>
          <w:b w:val="false"/>
          <w:i w:val="false"/>
          <w:caps w:val="false"/>
          <w:smallCaps w:val="false"/>
          <w:color w:val="000000"/>
          <w:sz w:val="20"/>
          <w:u w:val="single"/>
        </w:rPr>
        <w:t>Section 4.22</w:t>
      </w:r>
      <w:r>
        <w:rPr>
          <w:rFonts w:ascii="Arial;Helvetica;sans-serif" w:hAnsi="Arial;Helvetica;sans-serif"/>
          <w:b w:val="false"/>
          <w:i w:val="false"/>
          <w:caps w:val="false"/>
          <w:smallCaps w:val="false"/>
          <w:color w:val="000000"/>
          <w:sz w:val="20"/>
        </w:rPr>
        <w:t>, no representation or warranty is made by the Company with respect to information or statements made or incorporated by reference in the Proxy Statement based upon information supplied by or on behalf of Parent or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4.23. </w:t>
      </w:r>
      <w:r>
        <w:rPr>
          <w:rFonts w:ascii="Arial;Helvetica;sans-serif" w:hAnsi="Arial;Helvetica;sans-serif"/>
          <w:b w:val="false"/>
          <w:i w:val="false"/>
          <w:caps w:val="false"/>
          <w:smallCaps w:val="false"/>
          <w:color w:val="000000"/>
          <w:sz w:val="20"/>
          <w:u w:val="single"/>
        </w:rPr>
        <w:t>Opinion of Financial Advisor</w:t>
      </w:r>
      <w:r>
        <w:rPr>
          <w:rFonts w:ascii="Arial;Helvetica;sans-serif" w:hAnsi="Arial;Helvetica;sans-serif"/>
          <w:b w:val="false"/>
          <w:i w:val="false"/>
          <w:caps w:val="false"/>
          <w:smallCaps w:val="false"/>
          <w:color w:val="000000"/>
          <w:sz w:val="20"/>
        </w:rPr>
        <w:t>.  The Company Board of Directors has received the opinion of Evercore Group L.L.C. (“</w:t>
      </w:r>
      <w:r>
        <w:rPr>
          <w:rFonts w:ascii="Arial;Helvetica;sans-serif" w:hAnsi="Arial;Helvetica;sans-serif"/>
          <w:b w:val="false"/>
          <w:i w:val="false"/>
          <w:caps w:val="false"/>
          <w:smallCaps w:val="false"/>
          <w:color w:val="000000"/>
          <w:sz w:val="20"/>
          <w:u w:val="single"/>
        </w:rPr>
        <w:t>Evercore</w:t>
      </w:r>
      <w:r>
        <w:rPr>
          <w:rFonts w:ascii="Arial;Helvetica;sans-serif" w:hAnsi="Arial;Helvetica;sans-serif"/>
          <w:b w:val="false"/>
          <w:i w:val="false"/>
          <w:caps w:val="false"/>
          <w:smallCaps w:val="false"/>
          <w:color w:val="000000"/>
          <w:sz w:val="20"/>
        </w:rPr>
        <w:t>”) to the effect that, as of the date of such opinion and based upon and subject to the assumptions, limitations, qualifications, and conditions described therein, the Merger Consideration to be received by the holders of Company Common Stock (other than any Dissenting Shares, Cancelled Shares or any Converted Shares or any other shares of Company Common Stock held by the Company, Parent or any of their respective affiliates) in the Merger pursuant to this Agreement, is fair, from a financial point of view, to such holders. The Company shall, following execution of this Agreement by all the Parties, furnish a written copy of such written opinion to Parent for informational purposes only.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4.24. </w:t>
      </w:r>
      <w:r>
        <w:rPr>
          <w:rFonts w:ascii="Arial;Helvetica;sans-serif" w:hAnsi="Arial;Helvetica;sans-serif"/>
          <w:b w:val="false"/>
          <w:i w:val="false"/>
          <w:caps w:val="false"/>
          <w:smallCaps w:val="false"/>
          <w:color w:val="000000"/>
          <w:sz w:val="20"/>
          <w:u w:val="single"/>
        </w:rPr>
        <w:t>State Takeover Statutes; Anti-Takeover Laws</w:t>
      </w:r>
      <w:r>
        <w:rPr>
          <w:rFonts w:ascii="Arial;Helvetica;sans-serif" w:hAnsi="Arial;Helvetica;sans-serif"/>
          <w:b w:val="false"/>
          <w:i w:val="false"/>
          <w:caps w:val="false"/>
          <w:smallCaps w:val="false"/>
          <w:color w:val="000000"/>
          <w:sz w:val="20"/>
        </w:rPr>
        <w:t xml:space="preserve">.  Assuming the accuracy of Parent’s representations and warranties in </w:t>
      </w:r>
      <w:r>
        <w:rPr>
          <w:rFonts w:ascii="Arial;Helvetica;sans-serif" w:hAnsi="Arial;Helvetica;sans-serif"/>
          <w:b w:val="false"/>
          <w:i w:val="false"/>
          <w:caps w:val="false"/>
          <w:smallCaps w:val="false"/>
          <w:color w:val="000000"/>
          <w:sz w:val="20"/>
          <w:u w:val="single"/>
        </w:rPr>
        <w:t>Section 5.9</w:t>
      </w:r>
      <w:r>
        <w:rPr>
          <w:rFonts w:ascii="Arial;Helvetica;sans-serif" w:hAnsi="Arial;Helvetica;sans-serif"/>
          <w:b w:val="false"/>
          <w:i w:val="false"/>
          <w:caps w:val="false"/>
          <w:smallCaps w:val="false"/>
          <w:color w:val="000000"/>
          <w:sz w:val="20"/>
        </w:rPr>
        <w:t>, neither Section 203 of the DGCL, nor any similar provisions in the Company Governing Documents, nor any other Takeover Statute would restrict, prohibit or otherwise be applicable with respect to this Agreement and the Transactions (including, for the avoidance of doubt, the Merger). The Company has no rights plan, “poison-pill” or other comparable agreement designed to have the effect of delaying, deferring or discouraging any Person from acquiring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4.25. </w:t>
      </w:r>
      <w:r>
        <w:rPr>
          <w:rFonts w:ascii="Arial;Helvetica;sans-serif" w:hAnsi="Arial;Helvetica;sans-serif"/>
          <w:b w:val="false"/>
          <w:i w:val="false"/>
          <w:caps w:val="false"/>
          <w:smallCaps w:val="false"/>
          <w:color w:val="000000"/>
          <w:sz w:val="20"/>
          <w:u w:val="single"/>
        </w:rPr>
        <w:t>Related Party Transactions</w:t>
      </w:r>
      <w:r>
        <w:rPr>
          <w:rFonts w:ascii="Arial;Helvetica;sans-serif" w:hAnsi="Arial;Helvetica;sans-serif"/>
          <w:b w:val="false"/>
          <w:i w:val="false"/>
          <w:caps w:val="false"/>
          <w:smallCaps w:val="false"/>
          <w:color w:val="000000"/>
          <w:sz w:val="20"/>
        </w:rPr>
        <w:t>.  Except as set forth in the Company SEC Documents filed with the SEC prior to the date hereof, or any compensation or other employment arrangements entered into between the Company or any Company Subsidiary, on the one hand, and any director or officer thereof, on the other hand, in the ordinary course of business, there are no transactions, agreements, arrangements or understandings between the Company or any Company Subsidiary, on the one hand, and any affiliate (including any officer or director) thereof (but not including any wholly owned Subsidiary of the Company) or any beneficial owner, directly or indirectly, of five percent (5%) or more of the shares of Company Common Stock, on the other hand.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4.26. </w:t>
      </w:r>
      <w:r>
        <w:rPr>
          <w:rFonts w:ascii="Arial;Helvetica;sans-serif" w:hAnsi="Arial;Helvetica;sans-serif"/>
          <w:b w:val="false"/>
          <w:i w:val="false"/>
          <w:caps w:val="false"/>
          <w:smallCaps w:val="false"/>
          <w:color w:val="000000"/>
          <w:sz w:val="20"/>
          <w:u w:val="single"/>
        </w:rPr>
        <w:t>Finders and Brokers</w:t>
      </w:r>
      <w:r>
        <w:rPr>
          <w:rFonts w:ascii="Arial;Helvetica;sans-serif" w:hAnsi="Arial;Helvetica;sans-serif"/>
          <w:b w:val="false"/>
          <w:i w:val="false"/>
          <w:caps w:val="false"/>
          <w:smallCaps w:val="false"/>
          <w:color w:val="000000"/>
          <w:sz w:val="20"/>
        </w:rPr>
        <w:t>.  Other than Evercore,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or any of the other Transactions. A true and complete copy of the engagement letter with Evercore has been made available to Parent prior to the execution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4.27. </w:t>
      </w:r>
      <w:r>
        <w:rPr>
          <w:rFonts w:ascii="Arial;Helvetica;sans-serif" w:hAnsi="Arial;Helvetica;sans-serif"/>
          <w:b w:val="false"/>
          <w:i w:val="false"/>
          <w:caps w:val="false"/>
          <w:smallCaps w:val="false"/>
          <w:color w:val="000000"/>
          <w:sz w:val="20"/>
          <w:u w:val="single"/>
        </w:rPr>
        <w:t>No Other Representations</w:t>
      </w:r>
      <w:r>
        <w:rPr>
          <w:rFonts w:ascii="Arial;Helvetica;sans-serif" w:hAnsi="Arial;Helvetica;sans-serif"/>
          <w:b w:val="false"/>
          <w:i w:val="false"/>
          <w:caps w:val="false"/>
          <w:smallCaps w:val="false"/>
          <w:color w:val="000000"/>
          <w:sz w:val="20"/>
        </w:rPr>
        <w:t xml:space="preserve">.  Except for the representations and warranties contained in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the Company acknowledges that none of Parent, Merger Sub or any of their respective Representatives makes, and the Company acknowledges that it has not relied upon or otherwise been induced by, any other express or implied representation or warranty with respect to Parent or Merger Sub or any of their respective Subsidiaries or with respect to any other information provided or made available to the Company in connection with the Transactions, including any information, documents, projections, forecasts or other material made available to the Company or to the Company’s Representatives in expectation of the Transactions or the accuracy or completeness of any of the foregoing, except, in each case for the representations and warranties contained in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2" w:name="tARV"/>
      <w:bookmarkEnd w:id="232"/>
      <w:r>
        <w:rPr>
          <w:rFonts w:ascii="calibri;arial;sans-serif" w:hAnsi="calibri;arial;sans-serif"/>
          <w:b w:val="false"/>
          <w:i w:val="false"/>
          <w:caps w:val="false"/>
          <w:smallCaps w:val="false"/>
          <w:color w:val="000000"/>
          <w:sz w:val="16"/>
        </w:rPr>
        <w:t>​</w:t>
      </w:r>
      <w:bookmarkStart w:id="233" w:name="tS5QO"/>
      <w:bookmarkEnd w:id="233"/>
      <w:r>
        <w:rPr>
          <w:rFonts w:ascii="calibri;arial;sans-serif" w:hAnsi="calibri;arial;sans-serif"/>
          <w:b w:val="false"/>
          <w:i w:val="false"/>
          <w:caps w:val="false"/>
          <w:smallCaps w:val="false"/>
          <w:color w:val="000000"/>
          <w:sz w:val="16"/>
        </w:rPr>
        <w:t>​</w:t>
      </w:r>
      <w:bookmarkStart w:id="234" w:name="tS5CO"/>
      <w:bookmarkEnd w:id="234"/>
      <w:r>
        <w:rPr>
          <w:rFonts w:ascii="calibri;arial;sans-serif" w:hAnsi="calibri;arial;sans-serif"/>
          <w:b w:val="false"/>
          <w:i w:val="false"/>
          <w:caps w:val="false"/>
          <w:smallCaps w:val="false"/>
          <w:color w:val="000000"/>
          <w:sz w:val="16"/>
        </w:rPr>
        <w:t>​</w:t>
      </w:r>
      <w:bookmarkStart w:id="235" w:name="tS5CA"/>
      <w:bookmarkEnd w:id="235"/>
      <w:r>
        <w:rPr>
          <w:rFonts w:ascii="calibri;arial;sans-serif" w:hAnsi="calibri;arial;sans-serif"/>
          <w:b w:val="false"/>
          <w:i w:val="false"/>
          <w:caps w:val="false"/>
          <w:smallCaps w:val="false"/>
          <w:color w:val="000000"/>
          <w:sz w:val="16"/>
        </w:rPr>
        <w:t>​</w:t>
      </w:r>
      <w:bookmarkStart w:id="236" w:name="tS5GC"/>
      <w:bookmarkEnd w:id="2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REPRESENTATIONS AND WARRANTIES OF PARENT AND MERGER SUB</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Except as disclosed in the applicable section or subsection of the disclosure letter delivered by Parent to the Company immediately prior to the execution of this Agreement (the “</w:t>
      </w:r>
      <w:r>
        <w:rPr>
          <w:rFonts w:ascii="Arial;Helvetica;sans-serif" w:hAnsi="Arial;Helvetica;sans-serif"/>
          <w:b w:val="false"/>
          <w:i w:val="false"/>
          <w:caps w:val="false"/>
          <w:smallCaps w:val="false"/>
          <w:color w:val="000000"/>
          <w:sz w:val="20"/>
          <w:u w:val="single"/>
        </w:rPr>
        <w:t>Parent Disclosure Letter</w:t>
      </w:r>
      <w:r>
        <w:rPr>
          <w:rFonts w:ascii="Arial;Helvetica;sans-serif" w:hAnsi="Arial;Helvetica;sans-serif"/>
          <w:b w:val="false"/>
          <w:i w:val="false"/>
          <w:caps w:val="false"/>
          <w:smallCaps w:val="false"/>
          <w:color w:val="000000"/>
          <w:sz w:val="20"/>
        </w:rPr>
        <w:t xml:space="preserve">”) (it being understood that any information set forth in one section or subsection of the Parent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for which it is reasonably apparent on its face that such information is relevant to such other section), Parent and Merger Sub represent and warrant to the Company as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5.1. </w:t>
      </w:r>
      <w:r>
        <w:rPr>
          <w:rFonts w:ascii="Arial;Helvetica;sans-serif" w:hAnsi="Arial;Helvetica;sans-serif"/>
          <w:b w:val="false"/>
          <w:i w:val="false"/>
          <w:caps w:val="false"/>
          <w:smallCaps w:val="false"/>
          <w:color w:val="000000"/>
          <w:sz w:val="20"/>
          <w:u w:val="single"/>
        </w:rPr>
        <w:t>Qualification, Organization, etc.</w:t>
      </w:r>
      <w:r>
        <w:rPr>
          <w:rFonts w:ascii="Arial;Helvetica;sans-serif" w:hAnsi="Arial;Helvetica;sans-serif"/>
          <w:b w:val="false"/>
          <w:i w:val="false"/>
          <w:caps w:val="false"/>
          <w:smallCaps w:val="false"/>
          <w:color w:val="000000"/>
          <w:sz w:val="20"/>
        </w:rPr>
        <w:t> Parent is a legal entity duly organized, validly existing and in good standing under the Laws of the State of Delaware and has all requisite corporate or similar power and authority to own, lease and operate its properties and assets and to carry on its business as presently conducted. Merger Sub is a legal entity duly organized, validly existing and in good standing under the Laws of the State of Delaware and has all requisite corporate or similar power and authority to own, lease and operate its properties and assets and to carry on its business as presently conducted. Each of Parent and Merger Sub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material adverse effect on the ability of Parent or Merger Sub to consummate the Transactions, including the Merger. Parent’s certificate of incorporation and bylaws as amended to the date hereof  (the “</w:t>
      </w:r>
      <w:r>
        <w:rPr>
          <w:rFonts w:ascii="Arial;Helvetica;sans-serif" w:hAnsi="Arial;Helvetica;sans-serif"/>
          <w:b w:val="false"/>
          <w:i w:val="false"/>
          <w:caps w:val="false"/>
          <w:smallCaps w:val="false"/>
          <w:color w:val="000000"/>
          <w:sz w:val="20"/>
          <w:u w:val="single"/>
        </w:rPr>
        <w:t>Parent Governing Documents</w:t>
      </w:r>
      <w:r>
        <w:rPr>
          <w:rFonts w:ascii="Arial;Helvetica;sans-serif" w:hAnsi="Arial;Helvetica;sans-serif"/>
          <w:b w:val="false"/>
          <w:i w:val="false"/>
          <w:caps w:val="false"/>
          <w:smallCaps w:val="false"/>
          <w:color w:val="000000"/>
          <w:sz w:val="20"/>
        </w:rPr>
        <w:t>”) are in full force and effect, and Parent is not in violation of the Parent Governing Documents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5.2. </w:t>
      </w:r>
      <w:r>
        <w:rPr>
          <w:rFonts w:ascii="Arial;Helvetica;sans-serif" w:hAnsi="Arial;Helvetica;sans-serif"/>
          <w:b w:val="false"/>
          <w:i w:val="false"/>
          <w:caps w:val="false"/>
          <w:smallCaps w:val="false"/>
          <w:color w:val="000000"/>
          <w:sz w:val="20"/>
          <w:u w:val="single"/>
        </w:rPr>
        <w:t>Capitalization of Merger Sub</w:t>
      </w:r>
      <w:r>
        <w:rPr>
          <w:rFonts w:ascii="Arial;Helvetica;sans-serif" w:hAnsi="Arial;Helvetica;sans-serif"/>
          <w:b w:val="false"/>
          <w:i w:val="false"/>
          <w:caps w:val="false"/>
          <w:smallCaps w:val="false"/>
          <w:color w:val="000000"/>
          <w:sz w:val="20"/>
        </w:rPr>
        <w:t>.  The authorized capital stock of Merger Sub consists solely of 1,000 shares of common stock, par value $0.001 per share, all of which are validly issued and outstanding. All of the issued and outstanding capital stock of Merger Sub is, and as of immediately prior to the Effective Time shall be, owned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5.3. </w:t>
      </w:r>
      <w:r>
        <w:rPr>
          <w:rFonts w:ascii="Arial;Helvetica;sans-serif" w:hAnsi="Arial;Helvetica;sans-serif"/>
          <w:b w:val="false"/>
          <w:i w:val="false"/>
          <w:caps w:val="false"/>
          <w:smallCaps w:val="false"/>
          <w:color w:val="000000"/>
          <w:sz w:val="20"/>
          <w:u w:val="single"/>
        </w:rPr>
        <w:t>Corporate Authority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(b) This Agreement has been duly and validly executed and delivered by Parent and Merger Sub and, assuming this Agreement constitutes the valid and binding agreement of the Company, constitutes the valid and binding agreement of Parent and Merger Sub, enforceable against Parent and Merger Sub in accordance with its terms, subject to the Enforceability Limitations.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5.4. </w:t>
      </w:r>
      <w:r>
        <w:rPr>
          <w:rFonts w:ascii="Arial;Helvetica;sans-serif" w:hAnsi="Arial;Helvetica;sans-serif"/>
          <w:b w:val="false"/>
          <w:i w:val="false"/>
          <w:caps w:val="false"/>
          <w:smallCaps w:val="false"/>
          <w:color w:val="000000"/>
          <w:sz w:val="20"/>
          <w:u w:val="single"/>
        </w:rPr>
        <w:t>Governmental Consents; No Violation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(a) Other than in connection with or in compliance with (i) the DGCL, (ii) the filing of the Proxy Statement with the SEC and any amendments or supplements thereto, (iii) the Securities Act, (iv) the Exchange Act, (v) Section 721, and (vi) the HSR Act and any other requisite clearances or approvals under any applicable requirements of other Antitrust Laws and FDI Laws, no Consent of, or filing with, any Governmental Entity is necessary or required, under applicable Law, for the consummation by Parent and Merger Sub of the Transactions, except for such Consents or filings that, if not obtained or made,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execution and delivery by Parent and Merger Sub of this Agreement do not, and, except as described in </w:t>
      </w:r>
      <w:r>
        <w:rPr>
          <w:rFonts w:ascii="Arial;Helvetica;sans-serif" w:hAnsi="Arial;Helvetica;sans-serif"/>
          <w:b w:val="false"/>
          <w:i w:val="false"/>
          <w:caps w:val="false"/>
          <w:smallCaps w:val="false"/>
          <w:color w:val="000000"/>
          <w:sz w:val="20"/>
          <w:u w:val="single"/>
        </w:rPr>
        <w:t>Section 5.4(a)</w:t>
      </w:r>
      <w:r>
        <w:rPr>
          <w:rFonts w:ascii="Arial;Helvetica;sans-serif" w:hAnsi="Arial;Helvetica;sans-serif"/>
          <w:b w:val="false"/>
          <w:i w:val="false"/>
          <w:caps w:val="false"/>
          <w:smallCaps w:val="false"/>
          <w:color w:val="000000"/>
          <w:sz w:val="20"/>
        </w:rPr>
        <w:t xml:space="preserve">, the consummation of the Transactions and compliance with the provisions hereof will not,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7" w:name="tS5LO"/>
      <w:bookmarkEnd w:id="237"/>
      <w:r>
        <w:rPr>
          <w:rFonts w:ascii="calibri;arial;sans-serif" w:hAnsi="calibri;arial;sans-serif"/>
          <w:b w:val="false"/>
          <w:i w:val="false"/>
          <w:caps w:val="false"/>
          <w:smallCaps w:val="false"/>
          <w:color w:val="000000"/>
          <w:sz w:val="16"/>
        </w:rPr>
        <w:t>​</w:t>
      </w:r>
      <w:bookmarkStart w:id="238" w:name="tS5IS"/>
      <w:bookmarkEnd w:id="238"/>
      <w:r>
        <w:rPr>
          <w:rFonts w:ascii="calibri;arial;sans-serif" w:hAnsi="calibri;arial;sans-serif"/>
          <w:b w:val="false"/>
          <w:i w:val="false"/>
          <w:caps w:val="false"/>
          <w:smallCaps w:val="false"/>
          <w:color w:val="000000"/>
          <w:sz w:val="16"/>
        </w:rPr>
        <w:t>​</w:t>
      </w:r>
      <w:bookmarkStart w:id="239" w:name="tS5SF"/>
      <w:bookmarkEnd w:id="239"/>
      <w:r>
        <w:rPr>
          <w:rFonts w:ascii="calibri;arial;sans-serif" w:hAnsi="calibri;arial;sans-serif"/>
          <w:b w:val="false"/>
          <w:i w:val="false"/>
          <w:caps w:val="false"/>
          <w:smallCaps w:val="false"/>
          <w:color w:val="000000"/>
          <w:sz w:val="16"/>
        </w:rPr>
        <w:t>​</w:t>
      </w:r>
      <w:bookmarkStart w:id="240" w:name="tS5FA"/>
      <w:bookmarkEnd w:id="240"/>
      <w:r>
        <w:rPr>
          <w:rFonts w:ascii="calibri;arial;sans-serif" w:hAnsi="calibri;arial;sans-serif"/>
          <w:b w:val="false"/>
          <w:i w:val="false"/>
          <w:caps w:val="false"/>
          <w:smallCaps w:val="false"/>
          <w:color w:val="000000"/>
          <w:sz w:val="16"/>
        </w:rPr>
        <w:t>​</w:t>
      </w:r>
      <w:bookmarkStart w:id="241" w:name="tS5IS1"/>
      <w:bookmarkEnd w:id="241"/>
      <w:r>
        <w:rPr>
          <w:rFonts w:ascii="calibri;arial;sans-serif" w:hAnsi="calibri;arial;sans-serif"/>
          <w:b w:val="false"/>
          <w:i w:val="false"/>
          <w:caps w:val="false"/>
          <w:smallCaps w:val="false"/>
          <w:color w:val="000000"/>
          <w:sz w:val="16"/>
        </w:rPr>
        <w:t>​</w:t>
      </w:r>
      <w:bookmarkStart w:id="242" w:name="tS5NM"/>
      <w:bookmarkEnd w:id="242"/>
      <w:r>
        <w:rPr>
          <w:rFonts w:ascii="calibri;arial;sans-serif" w:hAnsi="calibri;arial;sans-serif"/>
          <w:b w:val="false"/>
          <w:i w:val="false"/>
          <w:caps w:val="false"/>
          <w:smallCaps w:val="false"/>
          <w:color w:val="000000"/>
          <w:sz w:val="16"/>
        </w:rPr>
        <w:t>​</w:t>
      </w:r>
      <w:bookmarkStart w:id="243" w:name="tS5NS"/>
      <w:bookmarkEnd w:id="243"/>
      <w:r>
        <w:rPr>
          <w:rFonts w:ascii="calibri;arial;sans-serif" w:hAnsi="calibri;arial;sans-serif"/>
          <w:b w:val="false"/>
          <w:i w:val="false"/>
          <w:caps w:val="false"/>
          <w:smallCaps w:val="false"/>
          <w:color w:val="000000"/>
          <w:sz w:val="16"/>
        </w:rPr>
        <w:t>​</w:t>
      </w:r>
      <w:bookmarkStart w:id="244" w:name="tS5NO"/>
      <w:bookmarkEnd w:id="24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Parent or any Parent Subsidiary or to which any of them is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the Parent Governing Documents or the organizational documents of any Parent Subsidiary or (iii) conflict with or violate any Laws applicable to Parent or any Parent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5.5. </w:t>
      </w:r>
      <w:r>
        <w:rPr>
          <w:rFonts w:ascii="Arial;Helvetica;sans-serif" w:hAnsi="Arial;Helvetica;sans-serif"/>
          <w:b w:val="false"/>
          <w:i w:val="false"/>
          <w:caps w:val="false"/>
          <w:smallCaps w:val="false"/>
          <w:color w:val="000000"/>
          <w:sz w:val="20"/>
          <w:u w:val="single"/>
        </w:rPr>
        <w:t>Litigation; Orders</w:t>
      </w:r>
      <w:r>
        <w:rPr>
          <w:rFonts w:ascii="Arial;Helvetica;sans-serif" w:hAnsi="Arial;Helvetica;sans-serif"/>
          <w:b w:val="false"/>
          <w:i w:val="false"/>
          <w:caps w:val="false"/>
          <w:smallCaps w:val="false"/>
          <w:color w:val="000000"/>
          <w:sz w:val="20"/>
        </w:rPr>
        <w:t>.  As of the date hereof, there are no Proceedings pending or, to Parent’s Knowledge, threatened against Parent or any Parent Subsidiary or any of their respective properties, rights or assets by or before any Governmental Entity that would reasonably be expected to have, individually or in the aggregate, a material adverse effect on the ability of Parent or Merger Sub to consummate the Transactions, including the Merger. There are no orders, judgments or decrees of or settlement agreements with any Governmental Entity that would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5.6. </w:t>
      </w:r>
      <w:r>
        <w:rPr>
          <w:rFonts w:ascii="Arial;Helvetica;sans-serif" w:hAnsi="Arial;Helvetica;sans-serif"/>
          <w:b w:val="false"/>
          <w:i w:val="false"/>
          <w:caps w:val="false"/>
          <w:smallCaps w:val="false"/>
          <w:color w:val="000000"/>
          <w:sz w:val="20"/>
          <w:u w:val="single"/>
        </w:rPr>
        <w:t>Information Supplied</w:t>
      </w:r>
      <w:r>
        <w:rPr>
          <w:rFonts w:ascii="Arial;Helvetica;sans-serif" w:hAnsi="Arial;Helvetica;sans-serif"/>
          <w:b w:val="false"/>
          <w:i w:val="false"/>
          <w:caps w:val="false"/>
          <w:smallCaps w:val="false"/>
          <w:color w:val="000000"/>
          <w:sz w:val="20"/>
        </w:rPr>
        <w:t xml:space="preserve">.  The information relating to Parent and Merger Sub to be contained in, or incorporated by reference in, the Proxy Statement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Notwithstanding the foregoing provisions of this </w:t>
      </w:r>
      <w:r>
        <w:rPr>
          <w:rFonts w:ascii="Arial;Helvetica;sans-serif" w:hAnsi="Arial;Helvetica;sans-serif"/>
          <w:b w:val="false"/>
          <w:i w:val="false"/>
          <w:caps w:val="false"/>
          <w:smallCaps w:val="false"/>
          <w:color w:val="000000"/>
          <w:sz w:val="20"/>
          <w:u w:val="single"/>
        </w:rPr>
        <w:t>Section 5.6</w:t>
      </w:r>
      <w:r>
        <w:rPr>
          <w:rFonts w:ascii="Arial;Helvetica;sans-serif" w:hAnsi="Arial;Helvetica;sans-serif"/>
          <w:b w:val="false"/>
          <w:i w:val="false"/>
          <w:caps w:val="false"/>
          <w:smallCaps w:val="false"/>
          <w:color w:val="000000"/>
          <w:sz w:val="20"/>
        </w:rPr>
        <w:t>, no representation or warranty is made by Parent or Merger Sub with respect to information or statements made or incorporated by reference in the Proxy Statement based upon information supplied by or on behalf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5.7. </w:t>
      </w:r>
      <w:r>
        <w:rPr>
          <w:rFonts w:ascii="Arial;Helvetica;sans-serif" w:hAnsi="Arial;Helvetica;sans-serif"/>
          <w:b w:val="false"/>
          <w:i w:val="false"/>
          <w:caps w:val="false"/>
          <w:smallCaps w:val="false"/>
          <w:color w:val="000000"/>
          <w:sz w:val="20"/>
          <w:u w:val="single"/>
        </w:rPr>
        <w:t>Sufficient Funds</w:t>
      </w:r>
      <w:r>
        <w:rPr>
          <w:rFonts w:ascii="Arial;Helvetica;sans-serif" w:hAnsi="Arial;Helvetica;sans-serif"/>
          <w:b w:val="false"/>
          <w:i w:val="false"/>
          <w:caps w:val="false"/>
          <w:smallCaps w:val="false"/>
          <w:color w:val="000000"/>
          <w:sz w:val="20"/>
        </w:rPr>
        <w:t>.  Parent’s and Merger Sub’s obligations hereunder are not subject to any condition regarding Parent’s or Merger Sub’s obtaining of any funds (whether debt or equity capital) to consummate the Merger and the other Transactions. Parent has, and will have at the Closing, access to cash sufficient to pay the aggregate Merger Consideration and consummate the Transactions, and to perform all of its other obligations under this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5.8. </w:t>
      </w:r>
      <w:r>
        <w:rPr>
          <w:rFonts w:ascii="Arial;Helvetica;sans-serif" w:hAnsi="Arial;Helvetica;sans-serif"/>
          <w:b w:val="false"/>
          <w:i w:val="false"/>
          <w:caps w:val="false"/>
          <w:smallCaps w:val="false"/>
          <w:color w:val="000000"/>
          <w:sz w:val="20"/>
          <w:u w:val="single"/>
        </w:rPr>
        <w:t>Finders and Brokers</w:t>
      </w:r>
      <w:r>
        <w:rPr>
          <w:rFonts w:ascii="Arial;Helvetica;sans-serif" w:hAnsi="Arial;Helvetica;sans-serif"/>
          <w:b w:val="false"/>
          <w:i w:val="false"/>
          <w:caps w:val="false"/>
          <w:smallCaps w:val="false"/>
          <w:color w:val="000000"/>
          <w:sz w:val="20"/>
        </w:rPr>
        <w:t>.  Neither Parent nor any Parent Subsidiary has employed or engaged any investment banker, broker or finder in connection with the Transactions who is entitled to any fee or any commission from the Company or any of the Company Subsidiaries in connection with this Agreement or upon consummation of the Merger or any of the other Transactions based on arrangements made by or on behalf of Parent or a Parent Subsidiary, in each case, that would be payable by the Company or a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5.9. </w:t>
      </w:r>
      <w:r>
        <w:rPr>
          <w:rFonts w:ascii="Arial;Helvetica;sans-serif" w:hAnsi="Arial;Helvetica;sans-serif"/>
          <w:b w:val="false"/>
          <w:i w:val="false"/>
          <w:caps w:val="false"/>
          <w:smallCaps w:val="false"/>
          <w:color w:val="000000"/>
          <w:sz w:val="20"/>
          <w:u w:val="single"/>
        </w:rPr>
        <w:t>Interested Stockholder</w:t>
      </w:r>
      <w:r>
        <w:rPr>
          <w:rFonts w:ascii="Arial;Helvetica;sans-serif" w:hAnsi="Arial;Helvetica;sans-serif"/>
          <w:b w:val="false"/>
          <w:i w:val="false"/>
          <w:caps w:val="false"/>
          <w:smallCaps w:val="false"/>
          <w:color w:val="000000"/>
          <w:sz w:val="20"/>
        </w:rPr>
        <w:t xml:space="preserve">.  Assuming the accuracy of the Company’s representations and warranties set forth in </w:t>
      </w:r>
      <w:r>
        <w:rPr>
          <w:rFonts w:ascii="Arial;Helvetica;sans-serif" w:hAnsi="Arial;Helvetica;sans-serif"/>
          <w:b w:val="false"/>
          <w:i w:val="false"/>
          <w:caps w:val="false"/>
          <w:smallCaps w:val="false"/>
          <w:color w:val="000000"/>
          <w:sz w:val="20"/>
          <w:u w:val="single"/>
        </w:rPr>
        <w:t>Section 4.24</w:t>
      </w:r>
      <w:r>
        <w:rPr>
          <w:rFonts w:ascii="Arial;Helvetica;sans-serif" w:hAnsi="Arial;Helvetica;sans-serif"/>
          <w:b w:val="false"/>
          <w:i w:val="false"/>
          <w:caps w:val="false"/>
          <w:smallCaps w:val="false"/>
          <w:color w:val="000000"/>
          <w:sz w:val="20"/>
        </w:rPr>
        <w:t>, Parent is not, nor at any time for the past three (3) years has it been, an “interested stockholder” of the Company as defined in Section 203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5.10. </w:t>
      </w:r>
      <w:r>
        <w:rPr>
          <w:rFonts w:ascii="Arial;Helvetica;sans-serif" w:hAnsi="Arial;Helvetica;sans-serif"/>
          <w:b w:val="false"/>
          <w:i w:val="false"/>
          <w:caps w:val="false"/>
          <w:smallCaps w:val="false"/>
          <w:color w:val="000000"/>
          <w:sz w:val="20"/>
          <w:u w:val="single"/>
        </w:rPr>
        <w:t>No Merger Sub Activity</w:t>
      </w:r>
      <w:r>
        <w:rPr>
          <w:rFonts w:ascii="Arial;Helvetica;sans-serif" w:hAnsi="Arial;Helvetica;sans-serif"/>
          <w:b w:val="false"/>
          <w:i w:val="false"/>
          <w:caps w:val="false"/>
          <w:smallCaps w:val="false"/>
          <w:color w:val="000000"/>
          <w:sz w:val="20"/>
        </w:rPr>
        <w:t>.  Since its date of formation, Merger Sub has not engaged in any activities other than in connection with this Agreement and the Transactions and, immediately prior to the Effective Time, it will have no assets, liabilities or obligations of any nature other than those incident to its formation and pursuant to this Agreement, the Merger and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5.11. </w:t>
      </w:r>
      <w:r>
        <w:rPr>
          <w:rFonts w:ascii="Arial;Helvetica;sans-serif" w:hAnsi="Arial;Helvetica;sans-serif"/>
          <w:b w:val="false"/>
          <w:i w:val="false"/>
          <w:caps w:val="false"/>
          <w:smallCaps w:val="false"/>
          <w:color w:val="000000"/>
          <w:sz w:val="20"/>
          <w:u w:val="single"/>
        </w:rPr>
        <w:t>National Security Matters</w:t>
      </w:r>
      <w:r>
        <w:rPr>
          <w:rFonts w:ascii="Arial;Helvetica;sans-serif" w:hAnsi="Arial;Helvetica;sans-serif"/>
          <w:b w:val="false"/>
          <w:i w:val="false"/>
          <w:caps w:val="false"/>
          <w:smallCaps w:val="false"/>
          <w:color w:val="000000"/>
          <w:sz w:val="20"/>
        </w:rPr>
        <w:t>.  Since the date that is ten years prior to the date hereof, Parent and Merger Sub (a) have never been party to a CFIUS Notice notifying a transaction to CFIUS that was blocked or otherwise barred from proceeding and (b) have never been party to a CFIUS Notice that was withdrawn and the notified transaction abandoned prior to CFIUS completing its review or investigation.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5.12. </w:t>
      </w:r>
      <w:r>
        <w:rPr>
          <w:rFonts w:ascii="Arial;Helvetica;sans-serif" w:hAnsi="Arial;Helvetica;sans-serif"/>
          <w:b w:val="false"/>
          <w:i w:val="false"/>
          <w:caps w:val="false"/>
          <w:smallCaps w:val="false"/>
          <w:color w:val="000000"/>
          <w:sz w:val="20"/>
          <w:u w:val="single"/>
        </w:rPr>
        <w:t>No Other Representations</w:t>
      </w:r>
      <w:r>
        <w:rPr>
          <w:rFonts w:ascii="Arial;Helvetica;sans-serif" w:hAnsi="Arial;Helvetica;sans-serif"/>
          <w:b w:val="false"/>
          <w:i w:val="false"/>
          <w:caps w:val="false"/>
          <w:smallCaps w:val="false"/>
          <w:color w:val="000000"/>
          <w:sz w:val="20"/>
        </w:rPr>
        <w:t xml:space="preserve">.  Except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Parent acknowledges that it has conducted and relied on its own independent review and analysis of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5" w:name="tARVI"/>
      <w:bookmarkEnd w:id="245"/>
      <w:r>
        <w:rPr>
          <w:rFonts w:ascii="calibri;arial;sans-serif" w:hAnsi="calibri;arial;sans-serif"/>
          <w:b w:val="false"/>
          <w:i w:val="false"/>
          <w:caps w:val="false"/>
          <w:smallCaps w:val="false"/>
          <w:color w:val="000000"/>
          <w:sz w:val="16"/>
        </w:rPr>
        <w:t>​</w:t>
      </w:r>
      <w:bookmarkStart w:id="246" w:name="tS6CO"/>
      <w:bookmarkEnd w:id="24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businesses, assets, condition, operations and prospects of the Company and the Company Subsidiaries in entering into this Agreement.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 and cost-related plan information, regarding the Company, the Company Subsidiaries and their respective business and operations. Accordingly, except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each of Parent and Merger Sub acknowledges that neither the Company nor any Representative of the Company makes or has made, and each of Parent and Merger Sub acknowledges that it has not relied upon or otherwise been induced by, any other express or implied representation or warranty with respect to the Company or any Company Subsidiary or their respective businesses, or with respect to any other information provided or made available to Parent or its Representatives in connection with the Transactions, including any information, documents, projections, forecasts or other material made available to Parent or to Parent’s Representatives in certain “data rooms” or management presentations in expectation of the Transactions, or the accuracy or completeness of any of the foregoing, except, in each case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COVENANTS RELATING TO CONDUCT OF BUSINESS PENDING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6.1. </w:t>
      </w:r>
      <w:r>
        <w:rPr>
          <w:rFonts w:ascii="Arial;Helvetica;sans-serif" w:hAnsi="Arial;Helvetica;sans-serif"/>
          <w:b w:val="false"/>
          <w:i w:val="false"/>
          <w:caps w:val="false"/>
          <w:smallCaps w:val="false"/>
          <w:color w:val="000000"/>
          <w:sz w:val="20"/>
          <w:u w:val="single"/>
        </w:rPr>
        <w:t>Conduct of Business by the Company Pending the Closing</w:t>
      </w:r>
      <w:r>
        <w:rPr>
          <w:rFonts w:ascii="Arial;Helvetica;sans-serif" w:hAnsi="Arial;Helvetica;sans-serif"/>
          <w:b w:val="false"/>
          <w:i w:val="false"/>
          <w:caps w:val="false"/>
          <w:smallCaps w:val="false"/>
          <w:color w:val="000000"/>
          <w:sz w:val="20"/>
        </w:rPr>
        <w:t xml:space="preserve">.  The Company agrees that between the date hereof and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except as set forth in Section 6.1 of the Company Disclosure Letter, as specifically permitted or required by this Agreement, as required by applicable Law or as consented to in writing by Parent (not to be unreasonably withheld), the Company (a) shall, and shall cause each Company Subsidiary to, conduct its business in all material respects in the ordinary course of business and use commercially reasonable efforts to (i) preserve intact its and their present business organizations, goodwill and ongoing businesses, (ii) keep available the services of its and their present officers and other key employees (other than where termination of such services is for cause) and (iii) preserve its and their present relationships with customers, suppliers, vendors, licensors, licensees, Governmental Entities, employees and other Persons with whom it and they have material business relations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no action taken by the Company or any Company Subsidiary which is expressly permitted by </w:t>
      </w:r>
      <w:r>
        <w:rPr>
          <w:rFonts w:ascii="Arial;Helvetica;sans-serif" w:hAnsi="Arial;Helvetica;sans-serif"/>
          <w:b w:val="false"/>
          <w:i w:val="false"/>
          <w:caps w:val="false"/>
          <w:smallCaps w:val="false"/>
          <w:color w:val="000000"/>
          <w:sz w:val="20"/>
          <w:u w:val="single"/>
        </w:rPr>
        <w:t>Section 6.1(b)</w:t>
      </w:r>
      <w:r>
        <w:rPr>
          <w:rFonts w:ascii="Arial;Helvetica;sans-serif" w:hAnsi="Arial;Helvetica;sans-serif"/>
          <w:b w:val="false"/>
          <w:i w:val="false"/>
          <w:caps w:val="false"/>
          <w:smallCaps w:val="false"/>
          <w:color w:val="000000"/>
          <w:sz w:val="20"/>
        </w:rPr>
        <w:t xml:space="preserve"> or for which Parent has given its prior written consent (not to be unreasonably withheld, except with respect to prongs (vii), (xi), (xv), (xviii) and (xix)) shall be deemed a breach of this </w:t>
      </w:r>
      <w:r>
        <w:rPr>
          <w:rFonts w:ascii="Arial;Helvetica;sans-serif" w:hAnsi="Arial;Helvetica;sans-serif"/>
          <w:b w:val="false"/>
          <w:i w:val="false"/>
          <w:caps w:val="false"/>
          <w:smallCaps w:val="false"/>
          <w:color w:val="000000"/>
          <w:sz w:val="20"/>
          <w:u w:val="single"/>
        </w:rPr>
        <w:t>Section 6.1(a)</w:t>
      </w:r>
      <w:r>
        <w:rPr>
          <w:rFonts w:ascii="Arial;Helvetica;sans-serif" w:hAnsi="Arial;Helvetica;sans-serif"/>
          <w:b w:val="false"/>
          <w:i w:val="false"/>
          <w:caps w:val="false"/>
          <w:smallCaps w:val="false"/>
          <w:color w:val="000000"/>
          <w:sz w:val="20"/>
        </w:rPr>
        <w:t>); and (b) shall not, and shall not permit any Company Subsidiary to, directly or indirectly: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(i) amend, modify, waive, rescind or otherwise change the Company’s or any Company Subsidiary’s certificate of incorporation, bylaws or equivalent organizational documents, except (x) for changes to the organizational documents of a Company Subsidiary that are not material and (y) as set forth in Section 6.1(b)(i)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(ii) authorize, declare, set aside, make or pay any dividends on or make any distribution with respect to its outstanding shares of capital stock or other equity interests (whether in cash, assets, shares or other securities of the Company or any Company Subsidiary), except for dividends and distributions paid or made by a wholly owned Company Subsidiary to the Company or another wholly owned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(iii) enter into any agreement or arrangement with respect to voting or registration, or file any registration statement with the SEC with respect to, any of its capital stock or other equity interests or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(iv) adjust, split, combine, subdivide, reduce or reclassify any of its capital stock or other equity interests, or redeem, purchase or otherwise acquire any of its capital stock or other equity interests (other than repurchases of Company Common Stock in satisfaction of applicable Tax withholdings or the exercise price upon the exercise or settlement of any Company Equity Award outstanding as of the date hereof or granted following the date hereof in accordance with this Agreement in accordance with its terms),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(v) issue, deliver, grant, sell, dispose of or encumber, or authorize the issuance, delivery, grant, sale, disposition or encumbrance of, any shares of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other than (A) issuances of Company Common Stock in respect of any exercise of Company Options outstanding as of the date hereof or granted following the date hereof in accordance with this Agreement or the settlement of Company Equity Awards outstanding as of the date hereof or granted following the date hereof in accordance with this Agreement, in all cases in accordance with their respective terms, (B) the issuances of Company Common Stock pursuant to the terms of the Company ESPP in respect of the Current ESPP Offering Period, or (C) transactions solely between the Company and a wholly owned Company Subsidiary or solely between wholly owned Company Subsidiaries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(vi) except as required by applicable Law or any Company Benefit Plan as in effect as of the date hereof, (A) increase the compensation or benefits payable or to become payable to any director, employee or other individual service provider; (B) grant to any director, employee or other individual service provider any increase in severance or termination pay; (C) pay or award, or commit to pay or award, any bonuses, retention or incentive compensation to any director, employee or other individual service provider; (D) establish, adopt, enter into, amend, terminate or waive any of its rights under any collective bargaining agreement or Company Benefit Plan; (E) take any action to amend or waive any performance or vesting criteria or accelerate vesting, exercisability or funding under any Company Benefit Plan; (F) terminate the employment or service of any employee or other individual service provider with annual base compensation of  $300,000 or more, in each case other than for cause; (G) hire, engage or promote any employee or other individual service provider with annual base compensation of  $300,000 or more (including for clarity the promotion of any individual such that, after the promotion, the individual would have annual base compensation at such level or more); (H) provide any funding for any rabbi trust or similar arrangement or take any other action to fund or in any other way secure the payment of compensation or benefits; or (I) waive or release any noncompetition, nonsolicitation, nondisclosure, noninterference, nondisparagement or other restrictive covenant obligation of any current or former employee or other individual service provider;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(vii) acquire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or business combinations, except for, (A) transactions solely between the Company and a wholly owned Company Subsidiary or solely between wholly owned Company Subsidiaries in the ordinary course of business, (B) acquisitions of supplies or equipment in the ordinary course of business consistent with past practice, or (C) acquisitions not in excess of  $2,500,000 in the aggregate;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(viii) liquidate, dissolve, restructure, recapitalize or effect any other reorganization (including any reorganization or restructuring between or among any of the Company and/or any Company Subsidiaries), or adopt any plan or resolution providing for any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(ix) make any loans, advances or capital contributions to, or investments in, any other Person, except for (A) loans solely among the Company and Company Subsidiaries that are wholly owned by the Company or solely among the Company Subsidiaries that are wholly owned by the Company, in each case, in the ordinary course of business and (B) advances for reimbursable employee expenses, not to exceed $500,000 in the aggregate,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(x) sell, lease, license, assign, cancel, abandon, fail to maintain, permit to lapse, transfer, exchange, swap or otherwise dispose of, or subject to any Lien (other than Permitted Liens), any of its properties, rights or assets (including shares in the capital of the Company Subsidiaries) except (A) with regard to any non-renewal of Company Leases in the ordinary course of business, (B) dispositions of used, obsolete, damaged, worn-out or surplus equipment or property no longer necessary in the conduct of the business or other immaterial equipment or property, in each case, in the ordinary course of business consistent with past practice, (C) sales of the Company’s products or services to customers of the Company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or the Company Subsidiaries in the ordinary course of business consistent with past practice, (D) non-exclusive licenses of Intellectual Property in the ordinary course of business consistent with past practice and (E) the expiration of Company Registered IP at the termination of its final, non-renewable term;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(xi) enter into or become bound by, or amend, modify, terminate or waive any Contract to the extent relating to the acquisition or disposition of, or granting of any license, covenant not to sue or similar right with respect to, Intellectual Property that is material to the business of the Company and the Company Subsidiaries, taken as a whole, including any covenant-not-to-sue or covenant-not-to-assert, other than non-exclusive licenses with respect to Intellectual Property or agreements with employees and independent contractors, in each case,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(xii) make any material reduction to (A) the security of, or any administrative, technical or physical safeguards related to, any Company IT or privacy or data security or (B) any policies or procedures with respect to Protected Information or confidential or other sensitive information (including customer data) or Privacy Requirements, except as required by applicable Law, any Governmental Entity or any Contract in effect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(xiii) (A) enter into any Contract that would, if entered into prior to the date hereof, be a Material Contract or (B) materially modify, materially amend, extend or terminate any Material Contract, or waive, release or assign any rights or claims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(xiv) make any capital expenditure, enter into agreements or arrangements providing for capital expenditure or otherwise commit to do so, other than in accordance with the capital expenditure budget set forth in Section 6.1(xiv)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(xv) waive, release, assign, compromise or settle any claim, litigation, investigation or proceeding (for the avoidance of doubt, including with respect to matters in which the Company or any Company Subsidiary is a plaintiff, or in which any of their officers or directors in their capacities as such are parties), other than the compromise or settlement of claims, litigations, investigations or proceedings that: (A) are for an amount not to exceed for any such compromise or settlement, $500,000 individually or $2,500,000 in the aggregate, and (B) do not impose any injunctive or other non-monetary relief on the Company or any Company Subsidiary and do not involve the admission of wrongdoing by the Company, any Company Subsidiary or any of their respective officers or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(xvi) make any material change in financial accounting policies, practices, principles or procedures or any of its methods of reporting income, deductions or other material items for financial accounting purposes, in each case, except as required by GAAP, other applicable national or international accounting standards, SEC rules and regulations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(xvii) amend or modify any Privacy Statement of the Company or any Company Subsidiary in any material respect, other than as required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(xviii) enter into any collective bargaining agreement or any material agreement with any labor organization, works council, trade union, labor association or other employee representative, except as required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(xix) implement any closings or employee layoffs that would require notifications with the WARN Act, or any similar state, local or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(xx) (A) make (other than in the ordinary course of business consistent with past practice), change or revoke any material Tax election, (B) change any Tax accounting period or material method of Tax accounting, (C) amend any material Tax Return, in the case of each of the foregoing clauses (A) through (C), if such action could reasonably be expected to result in any increase in the Tax liability of the Company or any Company Subsidiary for any Tax period, (D) amend any U.S. federal income Tax Return, (E) settle or compromise any material liability for Taxes or any Tax audit, claim or other proceeding relating to a material amount of Taxes, (F) enter into any “closing agreement” within the meaning of Section 7121 of the Code (or any similar provision of state, local or non-U.S. Law), (G) surrender any right to claim a material refund of Taxes, (H) request any ruling, permission or approval from any Governmental Entity with respect to Taxes (a “</w:t>
      </w:r>
      <w:r>
        <w:rPr>
          <w:rFonts w:ascii="Arial;Helvetica;sans-serif" w:hAnsi="Arial;Helvetica;sans-serif"/>
          <w:b w:val="false"/>
          <w:i w:val="false"/>
          <w:caps w:val="false"/>
          <w:smallCaps w:val="false"/>
          <w:color w:val="000000"/>
          <w:sz w:val="20"/>
          <w:u w:val="single"/>
        </w:rPr>
        <w:t>Ruling Request</w:t>
      </w:r>
      <w:r>
        <w:rPr>
          <w:rFonts w:ascii="Arial;Helvetica;sans-serif" w:hAnsi="Arial;Helvetica;sans-serif"/>
          <w:b w:val="false"/>
          <w:i w:val="false"/>
          <w:caps w:val="false"/>
          <w:smallCaps w:val="false"/>
          <w:color w:val="000000"/>
          <w:sz w:val="20"/>
        </w:rPr>
        <w:t xml:space="preserve">”), or (I) agree to an extension or waiver of the statute of limitations with respect to a material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7" w:name="tS6NO"/>
      <w:bookmarkEnd w:id="247"/>
      <w:r>
        <w:rPr>
          <w:rFonts w:ascii="calibri;arial;sans-serif" w:hAnsi="calibri;arial;sans-serif"/>
          <w:b w:val="false"/>
          <w:i w:val="false"/>
          <w:caps w:val="false"/>
          <w:smallCaps w:val="false"/>
          <w:color w:val="000000"/>
          <w:sz w:val="16"/>
        </w:rPr>
        <w:t>​</w:t>
      </w:r>
      <w:bookmarkStart w:id="248" w:name="tS6NS"/>
      <w:bookmarkEnd w:id="24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 of Taxes (other than any automatic or automatically granted extensions or waivers of the statute of limitations in respect of filing Tax Returns), in the case of this clause (I), if such action could reasonably be expected to result in any increase in the Tax liability of the Company or any Company Subsidiary for any Tax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(xxi) redeem, repurchase, repay, prepay, defease, incur, assume, endorse, guarantee or otherwise become liable for or modify in any material respect the terms of any Indebtedness, or issue or sell any debt securities or calls, options, warrants or other rights to acquire any debt securities (directly, contingently or otherwise), except (A) any redemption, repurchase, repayment, prepayment or incurrence of Indebtedness solely among the Company and its wholly owned Company Subsidiaries or solely among wholly owned Company Subsidiaries or (B) guarantees by the Company of Indebtedness of wholly owned Company Subsidiaries or guarantees by wholly owned Company Subsidiaries of Indebtedness of the Company or any other wholly owned Company Subsidiary, which Indebtedness is incurred prior to the date of this Agreement and which guarantees are required by the terms of such Indebtedness as in effect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(xxii) cancel any of the Company’s or any Company Subsidiary’s material insurance policies or fail to pay the premiums on the Company’s or any Company Subsidiary’s material insurance policies such that such failure causes a cancellation of such policy, other than in the ordinary course of business consistent with past practice, or fail to use commercially reasonable efforts to maintain in the ordinary course the Company’s material insurance policies;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(xxiii)  terminate, or modify or waive in any material respect, any right under any material Company Permit;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(xxiv)  agree or authorize, in writing or otherwise, to take any of the foregoing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6.2. </w:t>
      </w:r>
      <w:r>
        <w:rPr>
          <w:rFonts w:ascii="Arial;Helvetica;sans-serif" w:hAnsi="Arial;Helvetica;sans-serif"/>
          <w:b w:val="false"/>
          <w:i w:val="false"/>
          <w:caps w:val="false"/>
          <w:smallCaps w:val="false"/>
          <w:color w:val="000000"/>
          <w:sz w:val="20"/>
          <w:u w:val="single"/>
        </w:rPr>
        <w:t>Notification of Certain Matters</w:t>
      </w:r>
      <w:r>
        <w:rPr>
          <w:rFonts w:ascii="Arial;Helvetica;sans-serif" w:hAnsi="Arial;Helvetica;sans-serif"/>
          <w:b w:val="false"/>
          <w:i w:val="false"/>
          <w:caps w:val="false"/>
          <w:smallCaps w:val="false"/>
          <w:color w:val="000000"/>
          <w:sz w:val="20"/>
        </w:rPr>
        <w:t xml:space="preserve">. The Company shall give prompt written notice to Parent, and Parent shall give prompt written notice to the Company: (a) of any notice or other communication received by such Party or any of its Subsidiaries from any Governmental Entity in connection with this Agreement, the Merger or any other Transaction, or from any Person alleging that the consent of such Person is or may be required in connection with the Merger or any other Transaction or (b) of any Proceeding commenced or, to the Knowledge of such Party, threatened against such Party or any Subsidiary or affiliate of such Party in connection with, arising from or otherwise relating to this Agreement, the Merger or any other Transaction. The Company shall give prompt written notice to Parent upon becoming aware of the occurrence or impending occurrence of any event or circumstance relating to the Company or any Company Subsidiary that would reasonably be expected to have, individually or in the aggregate, a Company Material Adverse Effect;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delivery of any notice pursuant to this sentence shall not cure any breach of any representation or warranty hereunder or otherwise limit the remedies available hereunder to any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6.3. </w:t>
      </w:r>
      <w:r>
        <w:rPr>
          <w:rFonts w:ascii="Arial;Helvetica;sans-serif" w:hAnsi="Arial;Helvetica;sans-serif"/>
          <w:b w:val="false"/>
          <w:i w:val="false"/>
          <w:caps w:val="false"/>
          <w:smallCaps w:val="false"/>
          <w:color w:val="000000"/>
          <w:sz w:val="20"/>
          <w:u w:val="single"/>
        </w:rPr>
        <w:t>No Solicitation by the Company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From and after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agrees that it shall not, and shall cause the Company Subsidiaries, its and their respective officers, directors and other Representatives (including the Company Board of Directors and any committee thereof) not to, directly or indirectly: (i) 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information relating to the Company or any Company Subsidiary in connection with an actual or potential Acquisition Proposal, other than solely to state that the Company and its Representatives are prohibited hereunder from engaging in any such discussions or negotiations, (iii) adopt, approve, endorse or recommend, or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 (v) if an Acquisition Proposal has been publicly disclosed, fail to publicly and without qualification recommend against any such Acquisition Proposal within ten (10) Business Days after the public disclosure of such Acquisition Proposal (or subsequently withdraw, change, amend, modify or qualify (or publicly propose to do so), in a manner adverse to Parent, such rejection of such Acquisition Proposal) and reaffirm the Company Board Recommendation within such ten (10) Business Day period (or, with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respect to any Acquisition Proposals or material amendments, revisions or changes to the terms of any such previously publicly disclosed Acquisition Proposal that are publicly disclosed within the last ten (10) Business Days prior to the then-scheduled Company Stockholders’ Meeting, fail to take the actions referred to in this clause (v), with references to the applicable ten (10) Business Day period being replaced with three (3) Business Days), (vi) fail to include the Company Board Recommendation in the Proxy Statement,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(a “</w:t>
      </w:r>
      <w:r>
        <w:rPr>
          <w:rFonts w:ascii="Arial;Helvetica;sans-serif" w:hAnsi="Arial;Helvetica;sans-serif"/>
          <w:b w:val="false"/>
          <w:i w:val="false"/>
          <w:caps w:val="false"/>
          <w:smallCaps w:val="false"/>
          <w:color w:val="000000"/>
          <w:sz w:val="20"/>
          <w:u w:val="single"/>
        </w:rPr>
        <w:t>Company Acquisition Agreement</w:t>
      </w:r>
      <w:r>
        <w:rPr>
          <w:rFonts w:ascii="Arial;Helvetica;sans-serif" w:hAnsi="Arial;Helvetica;sans-serif"/>
          <w:b w:val="false"/>
          <w:i w:val="false"/>
          <w:caps w:val="false"/>
          <w:smallCaps w:val="false"/>
          <w:color w:val="000000"/>
          <w:sz w:val="20"/>
        </w:rPr>
        <w:t>”), (viii) call or convene a meeting of the Company Stockholders to consider a proposal that would reasonably be expected to prevent or materially impair or delay the consummation of the Transactions or (ix) resolve, publicly propose or agree to do any of the foregoing (any act described in clauses (iii), (iv), (v), (vi), (vii), (viii) and/or (ix) (to the extent related to the foregoing clauses (iii), (iv), (v), (vi), (vii) or (viii)), a “</w:t>
      </w:r>
      <w:r>
        <w:rPr>
          <w:rFonts w:ascii="Arial;Helvetica;sans-serif" w:hAnsi="Arial;Helvetica;sans-serif"/>
          <w:b w:val="false"/>
          <w:i w:val="false"/>
          <w:caps w:val="false"/>
          <w:smallCaps w:val="false"/>
          <w:color w:val="000000"/>
          <w:sz w:val="20"/>
          <w:u w:val="single"/>
        </w:rPr>
        <w:t>Change of Recommendation</w:t>
      </w:r>
      <w:r>
        <w:rPr>
          <w:rFonts w:ascii="Arial;Helvetica;sans-serif" w:hAnsi="Arial;Helvetica;sans-serif"/>
          <w:b w:val="false"/>
          <w:i w:val="false"/>
          <w:caps w:val="false"/>
          <w:smallCaps w:val="false"/>
          <w:color w:val="000000"/>
          <w:sz w:val="20"/>
        </w:rPr>
        <w:t xml:space="preserve">”). The Company shall, and shall cause the Company Subsidiaries and its and their respective officers, directors and other Representatives (including the Company Board of Directors and any committee thereof) to, immediately following the execution of this Agreement cease any and all solicitation, knowing encouragement, discussions or negotiations with any Persons (or provision of any nonpublic information regarding the Company or the Company Subsidiaries to any Persons) with respect to any inquiry, proposal or offer that constitutes, or would reasonably be expected to lead to, an Acquisition Proposal. Promptly after the date hereof (and in any event within one (1) Business Day following the date hereof), the Company shall (A) request in writing that each Person (other than Parent)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any such Person and its Representatives. The Company shall not waive, terminate or modify without Parent’s prior written consent, any confidentiality, standstill or similar provision in any confidentiality, standstill or other agreement. For purposes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the term “Person” means any Person or “group”, as defined in Section 13(d) of the Exchange Act, other than, with respect to the Company, Parent or any Parent Subsidiary or any of their Representatives. For the avoidance of doubt, any violation of the restrictions set forth in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by (x) a Company Subsidiary, (y) a director or officer of the Company or any Company Subsidiary (including the Company Board of Directors and any committee thereof) or (z) any other Representative acting on behalf of or at the direction of the Company or any Company Subsidiary shall be a breach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by the Company. Notwithstanding the limitations set forth in this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if the Company receives, prior to the Company Stockholder Approval being obtained, a bona fide written Acquisition Proposal that did not result from a breach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the Company, its Subsidiaries and their respective Representatives may contact the person who has made such Acquisition Proposal solely to clarify (and not to negotiate or engage in any discussions regarding or relating to) the material terms and conditions of such Acquisition Proposal so that the Company may determine whether such inquiry or proposal constitutes or could reasonably be expected to lead to a Superior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the limitations set forth in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if the Company receives, prior to obtaining the Company Stockholder Approval, a bona fide written Acquisition Proposal that did not result from a breach of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which the Company Board of Directors determines in good faith (i) after consultation with the Company’s outside legal counsel and financial advisors constitutes a Superior Proposal or could reasonably be expected to lead to a Superior Proposal or (ii) after consultation with the Company’s outside legal counsel, that the failure to take such action would reasonably be expected to be a breach of the directors’ fiduciary duties under applicable Law, then the Company may take the following actions: (x) furnish nonpublic information with respect to the Company and the Company Subsidiaries to the Person making such Acquisition Proposal (and its Representatives and sources of financing), if, and only if, prior to so furnishing such information, the Company receives from such Person an executed Acceptable Confidentiality Agreement and the Company also provides Parent, prior to or substantially concurrently with (and in any event within forty-eight (48) hours of) the time such information is provided or made available to such Person or its Representatives or sources of financing, any nonpublic information furnished to such other Person or its Representatives or sources of financing that was not previously furnished to Parent, and (y) engage in discussions or negotiations with such Person (and its Representatives and sources of financing) with respect to such Acquisition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(c) The Company shall promptly (and in any event within forty-eight (48) hours of receipt) notify Parent of the Company’s or any of its affiliates’ or its or their other Representatives’ receipt of any Acquisition Proposal or any proposals or inquiries that could reasonably be expected to lead to an Acquisition Proposal. Such notice shall indicate the identity of the person making the Acquisition Proposal or inquiry, and the material terms and conditions of such Acquisition Proposal and the nature of any information requested in connection with such proposal or inquiry, including unredacted copies of all written information requests or proposals, including proposed agreements and proposed financing commitments received by the Company or its Representatives related to any Acquisition Proposal, or, if such Acquisition Proposal is not in writing, a reasonably detailed written description of the material terms and conditions thereof. Without limiting the Company’s other obligations under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the Company shall keep Parent reasonably informed on a prompt and timely basis of the status and material terms (including any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the Company with respect thereto and promptly (and in any event within forty-eight (48) hours of receipt) provide to Parent copies of all written proposals, offers and proposed agreements relating to an Acquisition Proposal received by the Company or its Representatives or, if such information or communication is not in writing, a reasonably detailed written description of the material contents thereof.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Helvetica;sans-serif" w:hAnsi="Arial;Helvetica;sans-serif"/>
          <w:b w:val="false"/>
          <w:i w:val="false"/>
          <w:caps w:val="false"/>
          <w:smallCaps w:val="false"/>
          <w:color w:val="000000"/>
          <w:sz w:val="20"/>
          <w:u w:val="single"/>
        </w:rPr>
        <w:t>Section 6.3(b)</w:t>
      </w:r>
      <w:r>
        <w:rPr>
          <w:rFonts w:ascii="Arial;Helvetica;sans-serif" w:hAnsi="Arial;Helvetica;sans-serif"/>
          <w:b w:val="false"/>
          <w:i w:val="false"/>
          <w:caps w:val="false"/>
          <w:smallCaps w:val="false"/>
          <w:color w:val="000000"/>
          <w:sz w:val="20"/>
        </w:rPr>
        <w:t xml:space="preserve">. Unless this Agreement has been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Helvetica;sans-serif" w:hAnsi="Arial;Helvetica;sans-serif"/>
          <w:b w:val="false"/>
          <w:i w:val="false"/>
          <w:caps w:val="false"/>
          <w:smallCaps w:val="false"/>
          <w:color w:val="000000"/>
          <w:sz w:val="20"/>
          <w:u w:val="single"/>
        </w:rPr>
        <w:t>Section 6.3(c)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(d) Notwithstanding anything in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to the contrary, but subject to </w:t>
      </w:r>
      <w:r>
        <w:rPr>
          <w:rFonts w:ascii="Arial;Helvetica;sans-serif" w:hAnsi="Arial;Helvetica;sans-serif"/>
          <w:b w:val="false"/>
          <w:i w:val="false"/>
          <w:caps w:val="false"/>
          <w:smallCaps w:val="false"/>
          <w:color w:val="000000"/>
          <w:sz w:val="20"/>
          <w:u w:val="single"/>
        </w:rPr>
        <w:t>Section 6.3(e)</w:t>
      </w:r>
      <w:r>
        <w:rPr>
          <w:rFonts w:ascii="Arial;Helvetica;sans-serif" w:hAnsi="Arial;Helvetica;sans-serif"/>
          <w:b w:val="false"/>
          <w:i w:val="false"/>
          <w:caps w:val="false"/>
          <w:smallCaps w:val="false"/>
          <w:color w:val="000000"/>
          <w:sz w:val="20"/>
        </w:rPr>
        <w:t xml:space="preserve">, at any time prior to obtaining the Company Stockholder Approval, the Company Board of Directors may (i) make a Change of Recommendation (only of the type contemplated by </w:t>
      </w:r>
      <w:r>
        <w:rPr>
          <w:rFonts w:ascii="Arial;Helvetica;sans-serif" w:hAnsi="Arial;Helvetica;sans-serif"/>
          <w:b w:val="false"/>
          <w:i w:val="false"/>
          <w:caps w:val="false"/>
          <w:smallCaps w:val="false"/>
          <w:color w:val="000000"/>
          <w:sz w:val="20"/>
          <w:u w:val="single"/>
        </w:rPr>
        <w:t>Section 6.3(a)(iv)</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6.3(a)(vi)</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6.3(a)(ix)</w:t>
      </w:r>
      <w:r>
        <w:rPr>
          <w:rFonts w:ascii="Arial;Helvetica;sans-serif" w:hAnsi="Arial;Helvetica;sans-serif"/>
          <w:b w:val="false"/>
          <w:i w:val="false"/>
          <w:caps w:val="false"/>
          <w:smallCaps w:val="false"/>
          <w:color w:val="000000"/>
          <w:sz w:val="20"/>
        </w:rPr>
        <w:t xml:space="preserve"> (to the extent related to </w:t>
      </w:r>
      <w:r>
        <w:rPr>
          <w:rFonts w:ascii="Arial;Helvetica;sans-serif" w:hAnsi="Arial;Helvetica;sans-serif"/>
          <w:b w:val="false"/>
          <w:i w:val="false"/>
          <w:caps w:val="false"/>
          <w:smallCaps w:val="false"/>
          <w:color w:val="000000"/>
          <w:sz w:val="20"/>
          <w:u w:val="single"/>
        </w:rPr>
        <w:t>Section 6.3(a)(iv)</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6.3(a)(vi)</w:t>
      </w:r>
      <w:r>
        <w:rPr>
          <w:rFonts w:ascii="Arial;Helvetica;sans-serif" w:hAnsi="Arial;Helvetica;sans-serif"/>
          <w:b w:val="false"/>
          <w:i w:val="false"/>
          <w:caps w:val="false"/>
          <w:smallCaps w:val="false"/>
          <w:color w:val="000000"/>
          <w:sz w:val="20"/>
        </w:rPr>
        <w:t xml:space="preserve">)) in response to an Intervening Event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or (ii) make a Change of Recommendation and cause the Company to terminate this Agreement pursuant to and in accordance with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xml:space="preserve"> in order to enter into a definitive agreement providing for an Acquisition Proposal received after the date of this Agreement (that did not result from a breach of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which the Company Board of Directors determines in good faith after consultation with the Company’s outside legal counsel and financial advisors constitutes a Superior Proposal, but only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notwithstanding anything to the contrary herein, neither the Company nor any Company Subsidiary shall enter into any Company Acquisition Agreement unless this Agreement has been validly terminated in accordance with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val="false"/>
          <w:caps w:val="false"/>
          <w:smallCaps w:val="false"/>
          <w:color w:val="000000"/>
          <w:sz w:val="20"/>
          <w:u w:val="single"/>
        </w:rPr>
        <w:t>Intervening Event</w:t>
      </w:r>
      <w:r>
        <w:rPr>
          <w:rFonts w:ascii="Arial;Helvetica;sans-serif" w:hAnsi="Arial;Helvetica;sans-serif"/>
          <w:b w:val="false"/>
          <w:i w:val="false"/>
          <w:caps w:val="false"/>
          <w:smallCaps w:val="false"/>
          <w:color w:val="000000"/>
          <w:sz w:val="20"/>
        </w:rPr>
        <w:t xml:space="preserve">” means any event, change or development first occurring or arising after the date hereof that is material to the Company and the Company Subsidiaries (taken as a whole) and was not known by or reasonably foreseeable to the Company Board of Directors as of or prior to the date hereof;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or any other securities of the Company or its Subsidiaries, or any change in credit rating or the fact that the Company meets or exceeds internal or published estimates, projections, forecasts or predictions for any period (it being understood that the facts or occurrences giving rise or contributing to such changes may be taken into account to the extent not otherwise excluded),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(e) Prior to the Company taking any action permitted (i) under </w:t>
      </w:r>
      <w:r>
        <w:rPr>
          <w:rFonts w:ascii="Arial;Helvetica;sans-serif" w:hAnsi="Arial;Helvetica;sans-serif"/>
          <w:b w:val="false"/>
          <w:i w:val="false"/>
          <w:caps w:val="false"/>
          <w:smallCaps w:val="false"/>
          <w:color w:val="000000"/>
          <w:sz w:val="20"/>
          <w:u w:val="single"/>
        </w:rPr>
        <w:t>Section 6.3(d)(i)</w:t>
      </w:r>
      <w:r>
        <w:rPr>
          <w:rFonts w:ascii="Arial;Helvetica;sans-serif" w:hAnsi="Arial;Helvetica;sans-serif"/>
          <w:b w:val="false"/>
          <w:i w:val="false"/>
          <w:caps w:val="false"/>
          <w:smallCaps w:val="false"/>
          <w:color w:val="000000"/>
          <w:sz w:val="20"/>
        </w:rPr>
        <w:t xml:space="preserve">, the Company shall provide Parent with four (4) Business Days’ prior written notice advising Parent that the Company Board of Directors intends to effect a Change of Recommendation and specifying, in reasonable detail, the reasons therefor, during such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9" w:name="tARVI1"/>
      <w:bookmarkEnd w:id="249"/>
      <w:r>
        <w:rPr>
          <w:rFonts w:ascii="calibri;arial;sans-serif" w:hAnsi="calibri;arial;sans-serif"/>
          <w:b w:val="false"/>
          <w:i w:val="false"/>
          <w:caps w:val="false"/>
          <w:smallCaps w:val="false"/>
          <w:color w:val="000000"/>
          <w:sz w:val="16"/>
        </w:rPr>
        <w:t>​</w:t>
      </w:r>
      <w:bookmarkStart w:id="250" w:name="tS7AC"/>
      <w:bookmarkEnd w:id="25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four (4) Business Day period, the Company shall cause its Representatives (including its executive officers) to negotiate in good faith (to the extent Parent desires to negotiate) any proposal by Parent to amend the terms and conditions of this Agreement in a manner that would obviate the need to effect a Change of Recommendation, and at the end of such four (4) Business Day period the Company Board of Directors shall again make all of the required determinations under </w:t>
      </w:r>
      <w:r>
        <w:rPr>
          <w:rFonts w:ascii="Arial;Helvetica;sans-serif" w:hAnsi="Arial;Helvetica;sans-serif"/>
          <w:b w:val="false"/>
          <w:i w:val="false"/>
          <w:caps w:val="false"/>
          <w:smallCaps w:val="false"/>
          <w:color w:val="000000"/>
          <w:sz w:val="20"/>
          <w:u w:val="single"/>
        </w:rPr>
        <w:t>Section 6.3(d)(i)</w:t>
      </w:r>
      <w:r>
        <w:rPr>
          <w:rFonts w:ascii="Arial;Helvetica;sans-serif" w:hAnsi="Arial;Helvetica;sans-serif"/>
          <w:b w:val="false"/>
          <w:i w:val="false"/>
          <w:caps w:val="false"/>
          <w:smallCaps w:val="false"/>
          <w:color w:val="000000"/>
          <w:sz w:val="20"/>
        </w:rPr>
        <w:t xml:space="preserve"> (after in good faith taking into account any amendments proposed by Parent) or (ii) under </w:t>
      </w:r>
      <w:r>
        <w:rPr>
          <w:rFonts w:ascii="Arial;Helvetica;sans-serif" w:hAnsi="Arial;Helvetica;sans-serif"/>
          <w:b w:val="false"/>
          <w:i w:val="false"/>
          <w:caps w:val="false"/>
          <w:smallCaps w:val="false"/>
          <w:color w:val="000000"/>
          <w:sz w:val="20"/>
          <w:u w:val="single"/>
        </w:rPr>
        <w:t>Section 6.3(d)(ii)</w:t>
      </w:r>
      <w:r>
        <w:rPr>
          <w:rFonts w:ascii="Arial;Helvetica;sans-serif" w:hAnsi="Arial;Helvetica;sans-serif"/>
          <w:b w:val="false"/>
          <w:i w:val="false"/>
          <w:caps w:val="false"/>
          <w:smallCaps w:val="false"/>
          <w:color w:val="000000"/>
          <w:sz w:val="20"/>
        </w:rPr>
        <w:t xml:space="preserve">, the Company shall provide Parent with four (4) Business Days’ prior written notice advising Parent that the Company Board of Directors intends to take such action and specifying the material terms and conditions of the Acquisition Proposal, including a copy of any proposed definitive documentation, during such four (4) Business Day period, the Company shall cause its Representatives (including its executive officers) to negotiate in good faith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shall again make all of the required determinations under </w:t>
      </w:r>
      <w:r>
        <w:rPr>
          <w:rFonts w:ascii="Arial;Helvetica;sans-serif" w:hAnsi="Arial;Helvetica;sans-serif"/>
          <w:b w:val="false"/>
          <w:i w:val="false"/>
          <w:caps w:val="false"/>
          <w:smallCaps w:val="false"/>
          <w:color w:val="000000"/>
          <w:sz w:val="20"/>
          <w:u w:val="single"/>
        </w:rPr>
        <w:t>Section 6.3(d)(ii)</w:t>
      </w:r>
      <w:r>
        <w:rPr>
          <w:rFonts w:ascii="Arial;Helvetica;sans-serif" w:hAnsi="Arial;Helvetica;sans-serif"/>
          <w:b w:val="false"/>
          <w:i w:val="false"/>
          <w:caps w:val="false"/>
          <w:smallCaps w:val="false"/>
          <w:color w:val="000000"/>
          <w:sz w:val="20"/>
        </w:rPr>
        <w:t xml:space="preserve"> (after in good faith taking into account any amendments proposed by Parent). With respect to </w:t>
      </w:r>
      <w:r>
        <w:rPr>
          <w:rFonts w:ascii="Arial;Helvetica;sans-serif" w:hAnsi="Arial;Helvetica;sans-serif"/>
          <w:b w:val="false"/>
          <w:i w:val="false"/>
          <w:caps w:val="false"/>
          <w:smallCaps w:val="false"/>
          <w:color w:val="000000"/>
          <w:sz w:val="20"/>
          <w:u w:val="single"/>
        </w:rPr>
        <w:t>Section 6.3(e)(ii)</w:t>
      </w:r>
      <w:r>
        <w:rPr>
          <w:rFonts w:ascii="Arial;Helvetica;sans-serif" w:hAnsi="Arial;Helvetica;sans-serif"/>
          <w:b w:val="false"/>
          <w:i w:val="false"/>
          <w:caps w:val="false"/>
          <w:smallCaps w:val="false"/>
          <w:color w:val="000000"/>
          <w:sz w:val="20"/>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comply again with </w:t>
      </w:r>
      <w:r>
        <w:rPr>
          <w:rFonts w:ascii="Arial;Helvetica;sans-serif" w:hAnsi="Arial;Helvetica;sans-serif"/>
          <w:b w:val="false"/>
          <w:i w:val="false"/>
          <w:caps w:val="false"/>
          <w:smallCaps w:val="false"/>
          <w:color w:val="000000"/>
          <w:sz w:val="20"/>
          <w:u w:val="single"/>
        </w:rPr>
        <w:t>Section 6.3(e)(ii)</w:t>
      </w:r>
      <w:r>
        <w:rPr>
          <w:rFonts w:ascii="Arial;Helvetica;sans-serif" w:hAnsi="Arial;Helvetica;sans-serif"/>
          <w:b w:val="false"/>
          <w:i w:val="false"/>
          <w:caps w:val="false"/>
          <w:smallCaps w:val="false"/>
          <w:color w:val="000000"/>
          <w:sz w:val="20"/>
        </w:rPr>
        <w:t xml:space="preserve"> with references to the applicable four (4) Business Day period being replaced by two (2) Business Days.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(f) Nothing in this Agreement shall prohibit the Company or the Company Board of Directors from (i) disclosing to the Company Stockholders a position contemplated by Rules 14d-9 and 14e-2(a) promulgated under the Exchange Act or (ii) making any “stop, look and listen” communication to the Company Stockholders pursuant to Rule 14d-9(f) promulgated under the Exchange Act, or any similar statement and complying with disclosure obligations under Rule 14e-2(a), Rule 14d-9 or Item 1012(a) of Regulation MA promulgated under the Exchange Act with regard to an Acquisition Proposal in response to any publicly disclosed Acquisition Proposal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any “stop, look and listen” statement, or any such similar statement, also includes an express reaffirmation of the Company Board Recommendation). For the avoidance of doubt, this </w:t>
      </w:r>
      <w:r>
        <w:rPr>
          <w:rFonts w:ascii="Arial;Helvetica;sans-serif" w:hAnsi="Arial;Helvetica;sans-serif"/>
          <w:b w:val="false"/>
          <w:i w:val="false"/>
          <w:caps w:val="false"/>
          <w:smallCaps w:val="false"/>
          <w:color w:val="000000"/>
          <w:sz w:val="20"/>
          <w:u w:val="single"/>
        </w:rPr>
        <w:t>Section 6.3(f)</w:t>
      </w:r>
      <w:r>
        <w:rPr>
          <w:rFonts w:ascii="Arial;Helvetica;sans-serif" w:hAnsi="Arial;Helvetica;sans-serif"/>
          <w:b w:val="false"/>
          <w:i w:val="false"/>
          <w:caps w:val="false"/>
          <w:smallCaps w:val="false"/>
          <w:color w:val="000000"/>
          <w:sz w:val="20"/>
        </w:rPr>
        <w:t xml:space="preserve"> shall not permit the Company Board of Directors to make (or otherwise modify the definition of) a Change of Recommendation except to the extent expressly permitted by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6.3(e)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ADDITIONAL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7.1. </w:t>
      </w:r>
      <w:r>
        <w:rPr>
          <w:rFonts w:ascii="Arial;Helvetica;sans-serif" w:hAnsi="Arial;Helvetica;sans-serif"/>
          <w:b w:val="false"/>
          <w:i w:val="false"/>
          <w:caps w:val="false"/>
          <w:smallCaps w:val="false"/>
          <w:color w:val="000000"/>
          <w:sz w:val="20"/>
          <w:u w:val="single"/>
        </w:rPr>
        <w:t>Access; Confidentiality; Notice of Certain Events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in a manner not unreasonably disruptive to the operations of the business of the Company and the Company Subsidiaries and, during such period, the Company shall, and shall cause each Company Subsidiary to, furnish as promptly as reasonably practicable to Parent all information (financial or otherwise) concerning its business, properties, offices, Contracts and personnel as Parent may reasonably request for reasonable purposes related to the consummation of the transactions contemplated by this Agreement (including information for purposes of transition and integration planning, but not for the purpose of conducting further due diligence). Without limiting the foregoing, the Company agrees to use its reasonable best efforts to provide Parent the information set forth on </w:t>
      </w:r>
      <w:r>
        <w:rPr>
          <w:rFonts w:ascii="Arial;Helvetica;sans-serif" w:hAnsi="Arial;Helvetica;sans-serif"/>
          <w:b w:val="false"/>
          <w:i w:val="false"/>
          <w:caps w:val="false"/>
          <w:smallCaps w:val="false"/>
          <w:color w:val="000000"/>
          <w:sz w:val="20"/>
          <w:u w:val="single"/>
        </w:rPr>
        <w:t>Schedule 7.1(a)</w:t>
      </w:r>
      <w:r>
        <w:rPr>
          <w:rFonts w:ascii="Arial;Helvetica;sans-serif" w:hAnsi="Arial;Helvetica;sans-serif"/>
          <w:b w:val="false"/>
          <w:i w:val="false"/>
          <w:caps w:val="false"/>
          <w:smallCaps w:val="false"/>
          <w:color w:val="000000"/>
          <w:sz w:val="20"/>
        </w:rPr>
        <w:t xml:space="preserve">. Notwithstanding the foregoing, the Company shall not be required to provide any access or make any disclosure pursuant to this </w:t>
      </w:r>
      <w:r>
        <w:rPr>
          <w:rFonts w:ascii="Arial;Helvetica;sans-serif" w:hAnsi="Arial;Helvetica;sans-serif"/>
          <w:b w:val="false"/>
          <w:i w:val="false"/>
          <w:caps w:val="false"/>
          <w:smallCaps w:val="false"/>
          <w:color w:val="000000"/>
          <w:sz w:val="20"/>
          <w:u w:val="single"/>
        </w:rPr>
        <w:t>Section 7.1(a)</w:t>
      </w:r>
      <w:r>
        <w:rPr>
          <w:rFonts w:ascii="Arial;Helvetica;sans-serif" w:hAnsi="Arial;Helvetica;sans-serif"/>
          <w:b w:val="false"/>
          <w:i w:val="false"/>
          <w:caps w:val="false"/>
          <w:smallCaps w:val="false"/>
          <w:color w:val="000000"/>
          <w:sz w:val="20"/>
        </w:rPr>
        <w:t xml:space="preserve"> to the extent that such access or information is actually pertinent to a pending or threatened litigation where Parent or any of its affiliates, on the one hand, and the Company or any of its affiliates, on the other hand, are adverse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anything to the contrary in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the Company shall not be required by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the Company shall use its commercially reasonable efforts to obtain the required consent of such third party to such access or disclosure or, if unable to do so, to make appropriate substitute arrangements, where possible, to permit reasonable access or disclosure not in violation of such consent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1" w:name="tS7RA"/>
      <w:bookmarkEnd w:id="25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requirement), (ii) the disclosure of which would violate applicable Law or the provisions of any agreement to which the Company or any Company Subsidiary is a party as of the date of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Company shall use its commercially reasonable efforts to make appropriate substitute arrangements, where possible, to permit reasonable disclosure not in violation of such Law or agreement), (iii) the disclosure of which would cause the loss of any attorney-client, attorney work product or other legal privilege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the Company shall use its commercially reasonable efforts to allow for such disclosure to the maximum extent that does not result in a loss of such attorney-client, attorney work product or other legal privilege), or (iv) the disclosure of which would cause significant competitive harm to the Company or the Company Subsidiaries if the transactions contemplated by this Agreement are not consummated;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access and information shall be disclosed or granted, as applicable, to counsel for Parent, on an outside-counsel only basis, to the extent reasonably required for the purpose of obtaining required approvals or consents, or making filings or providing notices, subject to prior execution of a common interest or joint defense agreement in customary form. Parent and the Company will cooperate to minimize to the extent reasonably practicable any unnecessary disruption to the businesses of the Company and the Company Subsidiaries that may result from the requests for access, data and information hereunder. Any access to any properties or facilities of the Company or any Company Subsidiary shall be conducted in a manner so as not to adversely interfere in any material respect with the activities on the properties of the Company, any Company Subsidiary, tenants, subtenants, occupants and invitees thereof without the prior written consent of the Company (not to be unreasonably withheld, conditioned or delayed) and shall be subject to (A) the lease terms relating to any such property, (B) the Company’s reasonable security measures, and (C) customary insurance requirements. Further, in connection with any access to any properties or facilities, neither Parent nor Parent’s Representatives shall undertake any physical testing or sampling (environmental, structural or otherwise) without the prior consent of the Company, which consent shall be granted or withheld in the sole discretion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(c) Promptly following the date hereof, Parent and the Company shall establish a transition and integration planning team (the “</w:t>
      </w:r>
      <w:r>
        <w:rPr>
          <w:rFonts w:ascii="Arial;Helvetica;sans-serif" w:hAnsi="Arial;Helvetica;sans-serif"/>
          <w:b w:val="false"/>
          <w:i w:val="false"/>
          <w:caps w:val="false"/>
          <w:smallCaps w:val="false"/>
          <w:color w:val="000000"/>
          <w:sz w:val="20"/>
          <w:u w:val="single"/>
        </w:rPr>
        <w:t>Integration Committee</w:t>
      </w:r>
      <w:r>
        <w:rPr>
          <w:rFonts w:ascii="Arial;Helvetica;sans-serif" w:hAnsi="Arial;Helvetica;sans-serif"/>
          <w:b w:val="false"/>
          <w:i w:val="false"/>
          <w:caps w:val="false"/>
          <w:smallCaps w:val="false"/>
          <w:color w:val="000000"/>
          <w:sz w:val="20"/>
        </w:rPr>
        <w:t>”), comprised of senior executives designated by each of Parent and the Company. The chair of the Integration Committee will be designated by Parent. Subject to applicable Law, the Integration Committee shall discuss and plan for a transition and integration planning process concerning the combination of the operations of Parent, the Company and their respective Subsidiaries after the Closing and shall meet from time to time, as reasonably requested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of the Company and Parent will hold, and will cause its Representatives and affiliates to hold, any nonpublic information, including any information exchanged pursuant to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in confidence to the extent required by and in accordance with, and will otherwise comply with, the terms of the Confidentiality Agreement. Parent agrees that it will not, and will cause its affiliates not to, use any information obtained pursuant to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for any purpose unrelated to the transactions contemplated by this Agreement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7.2. </w:t>
      </w:r>
      <w:r>
        <w:rPr>
          <w:rFonts w:ascii="Arial;Helvetica;sans-serif" w:hAnsi="Arial;Helvetica;sans-serif"/>
          <w:b w:val="false"/>
          <w:i w:val="false"/>
          <w:caps w:val="false"/>
          <w:smallCaps w:val="false"/>
          <w:color w:val="000000"/>
          <w:sz w:val="20"/>
          <w:u w:val="single"/>
        </w:rPr>
        <w:t>Regulatory Approvals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Transactions, including the Merger (and, subject to the terms and conditions of this Agreement, cooperating with each other Party in respect thereof), (ii) contesting, defending and, where applicable, appealing any lawsuits or other legal proceedings, whether judicial or administrative, including injunctions and similar orders, challenging this Agreement or the consummation of the Transactions, including the Merger, including seeking to have any stay or temporary restraining order entered by any court or other Governmental Entity vacated or reversed, and (iii) executing and delivering any additional instruments necessary to consummate the Transactions, including the Merger, and to fully carry out the purposes of this Agreement. Subject to the terms and conditions of this Agreement, the Company and Parent shall each use their best efforts to furnish to each other (on an outside counsel basis if appropriate) all information required for any filing, submission, application or request to be made pursuant to the rules and regulations of any applicable Law in connection with the transactions contemplated by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(b) In furtherance and not in limitation of the foregoing, each Party agrees to, and shall cause their respective affiliates to (i) make an appropriate filing of a Notification and Report Form pursuant to the HSR Act with respect to the Transactions as promptly as practicable, and in any event within twenty (20) Business Days after the execution of this Agreement (unless a later date is mutually agreed between the Parties), (ii) supply as promptly as practicable any additional information and documentary materials that may be requested pursuant to the HSR Act and take all other actions necessary to cause the expiration or termination of the applicable waiting periods under the HSR Act as soon as practicable, (iii) make all other necessary filings as promptly as practicable after the date hereof, and in any event, for applicable FDI Laws and foreign Antitrust Laws, submit the relevant form (or in jurisdictions in which a draft form must be submitted prior to the final form, the draft form) within twenty-five (25) Business Days after the execution of this Agreement, and (iv) supply as promptly as practicable and advisable any additional information and documentary materials that may be requested under any FDI Laws or Antitrust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(c) In furtherance and not in limitation of the foregoing, each Party will use reasonable best efforts to take or agree to take actions necessary to satisfy the conditions set forth in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xml:space="preserve"> that relate to Antitrust Laws, which actions shall include (i) selling, licensing, assigning, transferring, divesting, holding separate or otherwise disposing of any assets, business or portion of business of the Company, the Surviving Company, Parent, Merger Sub, or any Subsidiary of any of the foregoing, (ii) conducting, restricting, operating, investing or otherwise changing the assets, the business or portion of the business of the Company, the Surviving Company, Parent, Merger Sub or any Subsidiary of any of the foregoing in any manner, (iii) imposing any restriction, requirement or limitation on the operation of the business or portion of the business of the Company, the Surviving Company, Parent, Merger Sub or any Subsidiary of any of the foregoing, and (iv) Parent taking or agreeing to take any action specified in Section 7.2(c) of the Parent Disclosure Letter (clauses (i)-(iv) collectively, the “</w:t>
      </w:r>
      <w:r>
        <w:rPr>
          <w:rFonts w:ascii="Arial;Helvetica;sans-serif" w:hAnsi="Arial;Helvetica;sans-serif"/>
          <w:b w:val="false"/>
          <w:i w:val="false"/>
          <w:caps w:val="false"/>
          <w:smallCaps w:val="false"/>
          <w:color w:val="000000"/>
          <w:sz w:val="20"/>
          <w:u w:val="single"/>
        </w:rPr>
        <w:t>Divestiture Actions</w:t>
      </w:r>
      <w:r>
        <w:rPr>
          <w:rFonts w:ascii="Arial;Helvetica;sans-serif" w:hAnsi="Arial;Helvetica;sans-serif"/>
          <w:b w:val="false"/>
          <w:i w:val="false"/>
          <w:caps w:val="false"/>
          <w:smallCaps w:val="false"/>
          <w:color w:val="000000"/>
          <w:sz w:val="20"/>
        </w:rPr>
        <w:t xml:space="preserve">”), unless and except to the extent that taking any of the Divestiture Actions would have, or would reasonably be expected to have, individually or in the aggregate, a material adverse effect on the business, assets, financial condition or results of operations of the Company or Company Subsidiaries, taken as a whole;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for the avoidance of doubt, Parent shall not be required to take or commit to take such Divestiture Actions with respect to Parent or Parent Subsidiaries (excluding the Company and the Company Subsidiaries);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that if requested by Parent, the Company or Company Subsidiaries shall agree to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any Company Subsidiary in the event the Closing occurs.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of Parent and the Company shall, in connection with and without limiting the efforts referenced in this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to obtain all waiting period expirations or terminations, consents, clearances, waivers, licenses, orders, registrations, approvals, permits, and authorizations for the Transactions under the HSR Act or any other Antitrust Law or FDI Law, (i) cooperate in all respects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(and consider in good faith such comments), (ii) promptly inform the other Party of any communication received by such Party from, or given by such Party to, the Antitrust Division of the Department of Justice (the “</w:t>
      </w:r>
      <w:r>
        <w:rPr>
          <w:rFonts w:ascii="Arial;Helvetica;sans-serif" w:hAnsi="Arial;Helvetica;sans-serif"/>
          <w:b w:val="false"/>
          <w:i w:val="false"/>
          <w:caps w:val="false"/>
          <w:smallCaps w:val="false"/>
          <w:color w:val="000000"/>
          <w:sz w:val="20"/>
          <w:u w:val="single"/>
        </w:rPr>
        <w:t>DOJ</w:t>
      </w:r>
      <w:r>
        <w:rPr>
          <w:rFonts w:ascii="Arial;Helvetica;sans-serif" w:hAnsi="Arial;Helvetica;sans-serif"/>
          <w:b w:val="false"/>
          <w:i w:val="false"/>
          <w:caps w:val="false"/>
          <w:smallCaps w:val="false"/>
          <w:color w:val="000000"/>
          <w:sz w:val="20"/>
        </w:rPr>
        <w:t>”), the Federal Trade Commission (the “</w:t>
      </w:r>
      <w:r>
        <w:rPr>
          <w:rFonts w:ascii="Arial;Helvetica;sans-serif" w:hAnsi="Arial;Helvetica;sans-serif"/>
          <w:b w:val="false"/>
          <w:i w:val="false"/>
          <w:caps w:val="false"/>
          <w:smallCaps w:val="false"/>
          <w:color w:val="000000"/>
          <w:sz w:val="20"/>
          <w:u w:val="single"/>
        </w:rPr>
        <w:t>FTC</w:t>
      </w:r>
      <w:r>
        <w:rPr>
          <w:rFonts w:ascii="Arial;Helvetica;sans-serif" w:hAnsi="Arial;Helvetica;sans-serif"/>
          <w:b w:val="false"/>
          <w:i w:val="false"/>
          <w:caps w:val="false"/>
          <w:smallCaps w:val="false"/>
          <w:color w:val="000000"/>
          <w:sz w:val="20"/>
        </w:rPr>
        <w:t xml:space="preserve">”)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and comment on (and consider in good faith such comments on) any communication that it gives to, and consult with each other in advance of any meeting, substantive telephone call or conference with, the DOJ, the FTC or any other Governmental Entity, or, in connection with any proceeding by a private party, with any other Person, and unless prohibited by the DOJ, the FTC or other applicable Governmental Entity or other Person, give the other Party the opportunity to attend or participate in any meetings, telephone calls or conferences with the DOJ, the FTC or other Governmental Entity or other Person;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materials required to be provided pursuant to the foregoing clauses (i)-(iii) may be redacted (A) to remove references concerning the valuation of Parent, the Company or any of their respective Subsidiaries, (B) as necessary to comply with contractual arrangements and (C) as necessary to address reasonable privilege or confidentiality concerns;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each of Parent and the Company may, as each deems advisable and necessary, reasonably designate any competitively sensitive material provided to the other under this </w:t>
      </w:r>
      <w:r>
        <w:rPr>
          <w:rFonts w:ascii="Arial;Helvetica;sans-serif" w:hAnsi="Arial;Helvetica;sans-serif"/>
          <w:b w:val="false"/>
          <w:i w:val="false"/>
          <w:caps w:val="false"/>
          <w:smallCaps w:val="false"/>
          <w:color w:val="000000"/>
          <w:sz w:val="20"/>
          <w:u w:val="single"/>
        </w:rPr>
        <w:t>Section 7.2(d)</w:t>
      </w:r>
      <w:r>
        <w:rPr>
          <w:rFonts w:ascii="Arial;Helvetica;sans-serif" w:hAnsi="Arial;Helvetica;sans-serif"/>
          <w:b w:val="false"/>
          <w:i w:val="false"/>
          <w:caps w:val="false"/>
          <w:smallCaps w:val="false"/>
          <w:color w:val="000000"/>
          <w:sz w:val="20"/>
        </w:rPr>
        <w:t xml:space="preserve"> as “Antitrust Counsel Only Material.” Without limiting Parent’s cooperation obligations described in </w:t>
      </w:r>
      <w:r>
        <w:rPr>
          <w:rFonts w:ascii="Arial;Helvetica;sans-serif" w:hAnsi="Arial;Helvetica;sans-serif"/>
          <w:b w:val="false"/>
          <w:i w:val="false"/>
          <w:caps w:val="false"/>
          <w:smallCaps w:val="false"/>
          <w:color w:val="000000"/>
          <w:sz w:val="20"/>
          <w:u w:val="single"/>
        </w:rPr>
        <w:t>Section 7.2(a)</w:t>
      </w:r>
      <w:r>
        <w:rPr>
          <w:rFonts w:ascii="Arial;Helvetica;sans-serif" w:hAnsi="Arial;Helvetica;sans-serif"/>
          <w:b w:val="false"/>
          <w:i w:val="false"/>
          <w:caps w:val="false"/>
          <w:smallCaps w:val="false"/>
          <w:color w:val="000000"/>
          <w:sz w:val="20"/>
        </w:rPr>
        <w:t xml:space="preserve"> and this </w:t>
      </w:r>
      <w:r>
        <w:rPr>
          <w:rFonts w:ascii="Arial;Helvetica;sans-serif" w:hAnsi="Arial;Helvetica;sans-serif"/>
          <w:b w:val="false"/>
          <w:i w:val="false"/>
          <w:caps w:val="false"/>
          <w:smallCaps w:val="false"/>
          <w:color w:val="000000"/>
          <w:sz w:val="20"/>
          <w:u w:val="single"/>
        </w:rPr>
        <w:t>Section 7.2(d)</w:t>
      </w:r>
      <w:r>
        <w:rPr>
          <w:rFonts w:ascii="Arial;Helvetica;sans-serif" w:hAnsi="Arial;Helvetica;sans-serif"/>
          <w:b w:val="false"/>
          <w:i w:val="false"/>
          <w:caps w:val="false"/>
          <w:smallCaps w:val="false"/>
          <w:color w:val="000000"/>
          <w:sz w:val="20"/>
        </w:rPr>
        <w:t xml:space="preserve">, Parent will, subject to the terms and conditions of this Agreement, control the ultimate strategy for securing approvals and expiration of relevant waiting periods under the Antitrust Laws and FDI Laws;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Parent shall consult with the Company and consider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views in good faith. Notwithstanding the foregoing or anything to the contrary in this Agreement, unless this Agreement has been terminated in accordance with its terms, the Company shall not (and shall cause its Subsidiaries not to), without the prior written consent of Parent, (A) withdraw its filing under the HSR Act or (B) offer, negotiate or enter into any commitment or agreement, including any timing agreement, with the DOJ, the FTC or other Governmental Entity to delay the consummation of, or not to close before a certain date,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(e) In furtherance and not in limitation of the foregoing and subject to the provisions of this </w:t>
      </w:r>
      <w:r>
        <w:rPr>
          <w:rFonts w:ascii="Arial;Helvetica;sans-serif" w:hAnsi="Arial;Helvetica;sans-serif"/>
          <w:b w:val="false"/>
          <w:i w:val="false"/>
          <w:caps w:val="false"/>
          <w:smallCaps w:val="false"/>
          <w:color w:val="000000"/>
          <w:sz w:val="20"/>
          <w:u w:val="single"/>
        </w:rPr>
        <w:t>Section 7.2(e)</w:t>
      </w:r>
      <w:r>
        <w:rPr>
          <w:rFonts w:ascii="Arial;Helvetica;sans-serif" w:hAnsi="Arial;Helvetica;sans-serif"/>
          <w:b w:val="false"/>
          <w:i w:val="false"/>
          <w:caps w:val="false"/>
          <w:smallCaps w:val="false"/>
          <w:color w:val="000000"/>
          <w:sz w:val="20"/>
        </w:rPr>
        <w:t xml:space="preserve">, Parent and the Company shall, and shall cause their respective affiliates to, take any and all actions necessary to obtain CFIUS Approval and any other consent, authorization or approval required under other applicable FDI Laws for the consummation of the Transactions. Such actions shall include promptly after the date of this Agreement making any draft and final filings required in connection with the CFIUS Approval (in accordance with the DPA) and under any other applicable FDI Laws, which draft filings shall be made within thirty (30) Business Days hereof, unless the parties agree in writing otherwise, and providing any information requested by CFIUS or any other agency or branch of the U.S. government in connection with the CFIUS review or investigation of the Transactions, or which is requested by any other Governmental Entity in connection with filings under other applicable FDI Laws. Each of Parent and the Company shall, in connection with their efforts to obtain CFIUS Approval and any other consent, authorization or approval required under other applicable FDI Laws for the consummation of the Transactions, (i) cooperate in all respects and consult with each other in connection with the CFIUS Notice and other filings under other applicable FDI Laws, including by allowing the other party to have a reasonable opportunity to review in advance and comment on drafts of filings and submissions, (ii) promptly inform the other party of any communication received by such party from, or given by such party to, CFIUS or any other applicable Governmental Entity, by promptly providing copies to the other party of any such written communications, (iii) permit the other party to review in advance any communication that it gives to, and consult with each other in advance of any meeting, substantive telephone call or conference with, CFIUS or such other applicable Governmental Entity, and (iv) to the extent not prohibited by CFIUS or such other applicable Governmental Entity, give the other party the opportunity to attend and participate in any in-person meetings with CFIUS or such other applicable Governmental Entity, in each case subject to any confidentiality requirements that may be imposed or requested by CFIUS or such other applicable Governmental Entity. With respect to Parent and its affiliates, such actions shall also include providing all such assurances and agreeing to all such conditions, limitations and restrictions as may be necessary to address any national security or other concerns identified by CFIUS or such other applicable Governmental Entity (including entering into a mitigation agreement, national security agreement, or other similar arrangement or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neither Parent nor any of its affiliates shall be required to agree to any mitigation measure, condition, restriction, or undertaking that would reasonably be expected to (w) require the Company or any Company Subsidiary to operate as a U.S. direct or indirect subsidiary of Parent that is organized, structured and financed to be capable of operating as a viable business entity independent from Parent for longer than an interim, temporary basis; (x) involve restrictions on material assets or material businesses of Parent or its affiliates (excluding the Company or any Company Subsidiary) that do not relate to the transactions contemplated by this Agreement or require the divestiture of any material business, assets or operations of Parent or its affiliates; or (y) (i) materially limit ordinary course and customary sharing or use of data between or among Company, Parent, and Parent’s affiliates’ except to the extent reasonably necessary to address national security concerns with respect to identified categories of sensitive data, or (ii) restrict Parent’s ability to substantially integrate the businesses and operations of the Company and its Subsidiaries with the businesses and operations of Parent and its affiliates, except to the extent reasonably necessary to address national security concerns with respect to identified categories of sensitive data, if such restriction would reasonably be expected to have a material adverse effect on Parent’s ownership of the Company or any material Company Subsidiary (it being recognized that, for purposes of this clause (y), that cumulatively reasonable sensitive data storage location requirements, sensitive data security policy and communication policy requirements, key person sensitive data access limitations, and sensitive data compliance policy and monitoring requirements would not impose a material limitation or material adverse effect). Subject to the foregoing, neither Parent nor the Company shall take or permit any of its Subsidiaries or affiliates to take any action that would reasonably be expected to prevent, materially delay or materially impede the CFIUS Approval or any other consent, authorization or approval required under other applicable FDI Laws for the consummation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(f) In connection with and without limiting the foregoing, the Company shall give any notices to third parties required under Material Contracts, and the Company shall use, and cause each of the Company Subsidiaries to use, its best efforts to obtain any third party consents under any such Material Contracts, in each case, that are necessary to consummate the Transactions, including the Merger, including, for the avoidance of doubt, the Material Contracts set forth on Section 7.2(f) of the Company Disclosure Letter. Notwithstanding anything to the contrary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2" w:name="tS7PS"/>
      <w:bookmarkEnd w:id="252"/>
      <w:r>
        <w:rPr>
          <w:rFonts w:ascii="calibri;arial;sans-serif" w:hAnsi="calibri;arial;sans-serif"/>
          <w:b w:val="false"/>
          <w:i w:val="false"/>
          <w:caps w:val="false"/>
          <w:smallCaps w:val="false"/>
          <w:color w:val="000000"/>
          <w:sz w:val="16"/>
        </w:rPr>
        <w:t>​</w:t>
      </w:r>
      <w:bookmarkStart w:id="253" w:name="tS7DI"/>
      <w:bookmarkEnd w:id="2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herein, none of Parent, the Company or any of their respective Subsidiaries shall be required to (or in the case of the Company or any of the Company Subsidiaries, be permitted to) pay any consent or other similar fee, payment or consideration, make any other concession or provide any additional security (including a guaranty), to obtain such third party consents (except, in the case of the Company, if requested by Parent and either (i) reimbursed or indemnified for by Parent or (ii) subject to the occurrence of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(g) During the period from the date of this Agreement until the earlier of the Effective Time or the termination of this Agreement in accordance with its terms, Parent shall not, and shall cause its Subsidiaries not to, take the actions set forth on Section 7.2(g) of the Parent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7.3. </w:t>
      </w:r>
      <w:r>
        <w:rPr>
          <w:rFonts w:ascii="Arial;Helvetica;sans-serif" w:hAnsi="Arial;Helvetica;sans-serif"/>
          <w:b w:val="false"/>
          <w:i w:val="false"/>
          <w:caps w:val="false"/>
          <w:smallCaps w:val="false"/>
          <w:color w:val="000000"/>
          <w:sz w:val="20"/>
          <w:u w:val="single"/>
        </w:rPr>
        <w:t>Publicity</w:t>
      </w:r>
      <w:r>
        <w:rPr>
          <w:rFonts w:ascii="Arial;Helvetica;sans-serif" w:hAnsi="Arial;Helvetica;sans-serif"/>
          <w:b w:val="false"/>
          <w:i w:val="false"/>
          <w:caps w:val="false"/>
          <w:smallCaps w:val="false"/>
          <w:color w:val="000000"/>
          <w:sz w:val="20"/>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shall give due consideration to all reasonable additions, deletions or changes suggested thereto, and shall limit the information contained in such release or announcement to that which is required pursuant to such Law or other requirement;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neither Party shall be required by this </w:t>
      </w:r>
      <w:r>
        <w:rPr>
          <w:rFonts w:ascii="Arial;Helvetica;sans-serif" w:hAnsi="Arial;Helvetica;sans-serif"/>
          <w:b w:val="false"/>
          <w:i w:val="false"/>
          <w:caps w:val="false"/>
          <w:smallCaps w:val="false"/>
          <w:color w:val="000000"/>
          <w:sz w:val="20"/>
          <w:u w:val="single"/>
        </w:rPr>
        <w:t>Section 7.3</w:t>
      </w:r>
      <w:r>
        <w:rPr>
          <w:rFonts w:ascii="Arial;Helvetica;sans-serif" w:hAnsi="Arial;Helvetica;sans-serif"/>
          <w:b w:val="false"/>
          <w:i w:val="false"/>
          <w:caps w:val="false"/>
          <w:smallCaps w:val="false"/>
          <w:color w:val="000000"/>
          <w:sz w:val="20"/>
        </w:rPr>
        <w:t xml:space="preserve"> to provide any such review or comment to the other in connection with the Company’s receipt of  (and the existence of) an Acquisition Proposal or a Change of Recommendation and matters directly related thereto;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each Party and their respective Subsidiaries and Representatives may make statements that are consistent with (but which do not, if such Person is relying on this proviso, contain any more information than was contained in) previous press releases, public disclosures, public statements or agreed internal communications made by Parent or the Company in compliance with this </w:t>
      </w:r>
      <w:r>
        <w:rPr>
          <w:rFonts w:ascii="Arial;Helvetica;sans-serif" w:hAnsi="Arial;Helvetica;sans-serif"/>
          <w:b w:val="false"/>
          <w:i w:val="false"/>
          <w:caps w:val="false"/>
          <w:smallCaps w:val="false"/>
          <w:color w:val="000000"/>
          <w:sz w:val="20"/>
          <w:u w:val="single"/>
        </w:rPr>
        <w:t>Section 7.3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7.4. </w:t>
      </w:r>
      <w:r>
        <w:rPr>
          <w:rFonts w:ascii="Arial;Helvetica;sans-serif" w:hAnsi="Arial;Helvetica;sans-serif"/>
          <w:b w:val="false"/>
          <w:i w:val="false"/>
          <w:caps w:val="false"/>
          <w:smallCaps w:val="false"/>
          <w:color w:val="000000"/>
          <w:sz w:val="20"/>
          <w:u w:val="single"/>
        </w:rPr>
        <w:t>D&amp;O Insurance and Indemnification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(a) For six (6) years from and after the Effective Time, Parent and the Surviving Company shall, and Parent shall cause the Surviving Company to, indemnify and hold harmless all past and present directors and officers of the Company and the Company Subsidiaries (collectively, the “</w:t>
      </w:r>
      <w:r>
        <w:rPr>
          <w:rFonts w:ascii="Arial;Helvetica;sans-serif" w:hAnsi="Arial;Helvetica;sans-serif"/>
          <w:b w:val="false"/>
          <w:i w:val="false"/>
          <w:caps w:val="false"/>
          <w:smallCaps w:val="false"/>
          <w:color w:val="000000"/>
          <w:sz w:val="20"/>
          <w:u w:val="single"/>
        </w:rPr>
        <w:t>Indemnified Parties</w:t>
      </w:r>
      <w:r>
        <w:rPr>
          <w:rFonts w:ascii="Arial;Helvetica;sans-serif" w:hAnsi="Arial;Helvetica;sans-serif"/>
          <w:b w:val="false"/>
          <w:i w:val="false"/>
          <w:caps w:val="false"/>
          <w:smallCaps w:val="false"/>
          <w:color w:val="000000"/>
          <w:sz w:val="20"/>
        </w:rPr>
        <w:t xml:space="preserve">”) against any costs and expenses (including advancing costs prior to the final disposition of any actual or threatened claim, action, suit, proceeding, investigation or any other similar matter to each Indemnified Party to the fullest extent permitted by applicable Law and the Company Governing Documents;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Indemnified Party agrees in advance to return any such funds to which a court of competent jurisdiction determines in a final, nonappealable judgment that such Indemnified Party is not ultimately entitled), judgments, fines, penalties, losses, claims, damages, liabilities and amounts paid in settlement in connection with or relating to any actual or threatened claim, action, suit, proceeding, investigation, or any other similar matter in respect of acts, omissions, facts or events occurring or alleged to have occurred at or prior to the Effective Time (including acts, omissions, facts or events occurring in connection with the approval of this Agreement and the consummation of the Merger or any of the other Transactions), whether asserted or claimed prior to, at or after the Effective Time, in connection with or relating to such Indemnified Parties serving or having served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Indemnified Parties in existence prior to the execution of this Agreement and provided to Parent prior to the execution of this Agreement.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Parties as provided in the respective certificate of incorporation or bylaws (or comparable organizational documents) of the Company or any Company Subsidiary which has been provided to Parent prior to the execution of this Agreement or which is included in the Company SEC Documents filed on or prior to the date hereof, or in any indemnification agreement in existence prior to the execution of this Agreement and provided to Parent prior to the execution of this Agreement, shall survive the Merger and shall continue in full force and effect in accordance with the terms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4" w:name="tS7TS"/>
      <w:bookmarkEnd w:id="25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(b) For six (6) years after the Effective Time, Parent shall cause to be maintained in effect the provisions in (i) the Company Governing Documents and the organizational documents of the Company Subsidiaries and (ii) any indemnification agreement of the Company or a Company Subsidiary with any Indemnified Party in existence prior to the execution of this Agreement and provided to Parent prior to the execution of this Agreement, except to the extent that such agreement provides for an earlier termination,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Party in respect of acts, omissions, facts or events occurring or alleged to have occurred at or prior to the Effective Time (including acts or omissions occurring in connection with the approval of this Agreement and the consummation of the Merger or any of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 liability insurance and fiduciary liability insurance maintained by the Company and the Company Subsidiaries with respect to matters arising at or prior to the Effective Time (including acts, omissions, facts or events occurring in connection with the approval of this Agreement and the consummation of the Merger or any of the other Transactions), which shall be from an insurance carrier with the same or better credit rating than the Company’s current insurance carrier of each respective policy;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Arial;Helvetica;sans-serif" w:hAnsi="Arial;Helvetica;sans-serif"/>
          <w:b w:val="false"/>
          <w:i w:val="false"/>
          <w:caps w:val="false"/>
          <w:smallCaps w:val="false"/>
          <w:color w:val="000000"/>
          <w:sz w:val="20"/>
          <w:u w:val="single"/>
        </w:rPr>
        <w:t>Base Amount</w:t>
      </w:r>
      <w:r>
        <w:rPr>
          <w:rFonts w:ascii="Arial;Helvetica;sans-serif" w:hAnsi="Arial;Helvetica;sans-serif"/>
          <w:b w:val="false"/>
          <w:i w:val="false"/>
          <w:caps w:val="false"/>
          <w:smallCaps w:val="false"/>
          <w:color w:val="000000"/>
          <w:sz w:val="20"/>
        </w:rPr>
        <w:t>”), and if such “tail” insurance is not reasonably available for a cost not exceeding the Base Amount, the Company shall be permitted to purchase as much “tail” insurance coverage as reasonably practicable for the Base Amount. The Company shall in good faith cooperate with Parent prior to the Closing with respect to the procurement of such “tail” insurance. Parent and the Surviving Company shall maintain such “tail” insurance in full force and effect for a period of six (6) years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(d) Parent and the Surviving Company shall advance, and cause to be paid, on a current basis (but no later than thirty (30) days after the submission of invoices) all attorneys’ fees, costs and expenses that may be incurred by any Indemnified Party in enforcing his or her rights under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any Indemnified Party to whom attorneys’ fees, costs or expenses are advanced provides an undertaking (which shall not require any security) to repay such advances if it is ultimately determined by a final nonappealable adjudication that such Indemnified Party is not entitled to indemnification. If any Indemnified Party notifies Parent or the Surviving Company on or prior to the sixth (6th) anniversary of the Closing Date of any matter in respect of which such Indemnified Party may seek indemnification pursuant to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shall continue in effect with respect to such matter until the final disposition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(i) shall survive consummation of the Merger and shall not be terminated or amended in a manner adverse to any Indemnified Party without the written consent of such Indemnified Party, (ii) are intended to be for the benefit of, and shall be enforceable by, each Indemnified Party and his or her heirs, successors, assigns and representatives (each of whom shall be third-party beneficiaries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and (iii) are in addition to, and not in substitution for, any other rights to indemnification, advancement of expenses, exculpation or contribution that any Indemnified Party may have by contract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7.5. </w:t>
      </w:r>
      <w:r>
        <w:rPr>
          <w:rFonts w:ascii="Arial;Helvetica;sans-serif" w:hAnsi="Arial;Helvetica;sans-serif"/>
          <w:b w:val="false"/>
          <w:i w:val="false"/>
          <w:caps w:val="false"/>
          <w:smallCaps w:val="false"/>
          <w:color w:val="000000"/>
          <w:sz w:val="20"/>
          <w:u w:val="single"/>
        </w:rPr>
        <w:t>Takeover Statutes</w:t>
      </w:r>
      <w:r>
        <w:rPr>
          <w:rFonts w:ascii="Arial;Helvetica;sans-serif" w:hAnsi="Arial;Helvetica;sans-serif"/>
          <w:b w:val="false"/>
          <w:i w:val="false"/>
          <w:caps w:val="false"/>
          <w:smallCaps w:val="false"/>
          <w:color w:val="000000"/>
          <w:sz w:val="20"/>
        </w:rPr>
        <w:t xml:space="preserve">. From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use its reasonable best efforts (a) to take all action necessary so that no Takeover Statute is or becomes applicable to this Agreement or any of the Transactions (including, for the avoidance of doubt, the Merger),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this Agreement and the Transactions (including, for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5" w:name="tS7OO"/>
      <w:bookmarkEnd w:id="255"/>
      <w:r>
        <w:rPr>
          <w:rFonts w:ascii="calibri;arial;sans-serif" w:hAnsi="calibri;arial;sans-serif"/>
          <w:b w:val="false"/>
          <w:i w:val="false"/>
          <w:caps w:val="false"/>
          <w:smallCaps w:val="false"/>
          <w:color w:val="000000"/>
          <w:sz w:val="16"/>
        </w:rPr>
        <w:t>​</w:t>
      </w:r>
      <w:bookmarkStart w:id="256" w:name="tS7EM"/>
      <w:bookmarkEnd w:id="25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avoidance of doubt, the Merger). No Change of Recommendation shall change, or be deemed to change, or permit the Company or the Company Board of Directors to change, in any manner or respect the approval of the Company Board of Directors for purposes of causing any Takeover Statute to be inapplicable to this Agreement or any of the Transactions (including, for the avoidance of doubt,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7.6. </w:t>
      </w:r>
      <w:r>
        <w:rPr>
          <w:rFonts w:ascii="Arial;Helvetica;sans-serif" w:hAnsi="Arial;Helvetica;sans-serif"/>
          <w:b w:val="false"/>
          <w:i w:val="false"/>
          <w:caps w:val="false"/>
          <w:smallCaps w:val="false"/>
          <w:color w:val="000000"/>
          <w:sz w:val="20"/>
          <w:u w:val="single"/>
        </w:rPr>
        <w:t>Obligations of Merger Sub</w:t>
      </w:r>
      <w:r>
        <w:rPr>
          <w:rFonts w:ascii="Arial;Helvetica;sans-serif" w:hAnsi="Arial;Helvetica;sans-serif"/>
          <w:b w:val="false"/>
          <w:i w:val="false"/>
          <w:caps w:val="false"/>
          <w:smallCaps w:val="false"/>
          <w:color w:val="000000"/>
          <w:sz w:val="20"/>
        </w:rPr>
        <w:t>. Parent shall take all action necessary to cause Merger Sub to perform its obligations under this Agreement and to consummate the Transactions, including the Merger, upon the terms and subject to the conditions set forth in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7.7. </w:t>
      </w:r>
      <w:r>
        <w:rPr>
          <w:rFonts w:ascii="Arial;Helvetica;sans-serif" w:hAnsi="Arial;Helvetica;sans-serif"/>
          <w:b w:val="false"/>
          <w:i w:val="false"/>
          <w:caps w:val="false"/>
          <w:smallCaps w:val="false"/>
          <w:color w:val="000000"/>
          <w:sz w:val="20"/>
          <w:u w:val="single"/>
        </w:rPr>
        <w:t>Employee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(a) Effective as of the Effective Time and for a period of twelve (12) months thereafter, Parent shall provide, or shall cause the Surviving Company to provide, to each employee of the Company or any Company Subsidiary who continues to be employed by Parent or the Surviving Company or any Subsidiary thereof  (each, a “</w:t>
      </w:r>
      <w:r>
        <w:rPr>
          <w:rFonts w:ascii="Arial;Helvetica;sans-serif" w:hAnsi="Arial;Helvetica;sans-serif"/>
          <w:b w:val="false"/>
          <w:i w:val="false"/>
          <w:caps w:val="false"/>
          <w:smallCaps w:val="false"/>
          <w:color w:val="000000"/>
          <w:sz w:val="20"/>
          <w:u w:val="single"/>
        </w:rPr>
        <w:t>Continuing Employee</w:t>
      </w:r>
      <w:r>
        <w:rPr>
          <w:rFonts w:ascii="Arial;Helvetica;sans-serif" w:hAnsi="Arial;Helvetica;sans-serif"/>
          <w:b w:val="false"/>
          <w:i w:val="false"/>
          <w:caps w:val="false"/>
          <w:smallCaps w:val="false"/>
          <w:color w:val="000000"/>
          <w:sz w:val="20"/>
        </w:rPr>
        <w:t>”), for so long during such period as the applicable Continuing Employee remains so employed, (i) base compensation no less favorable than that provided to such Continuing Employee immediately prior to the Effective Time, (ii) target short-term cash incentive compensation opportunities no less favorable than that provided to such Continuing Employee immediately prior to the Effective Time, (iii) employee benefits (excluding equity incentive compensation, defined benefit pension, retiree medical or welfare benefits, change in control or retention arrangements) that are substantially comparable in the aggregate to either (A) those provided to such Continuing Employee immediately prior to the Effective Time or (B) those provided by Parent or its affiliates to similarly situated employees and (iv) severance benefits that are no less favorable than the greater of the severance benefits provided (A) to such Continuing Employee immediately prior to the Effective Time and (B) by Parent or its affiliates to similarly-situated employees of Parent and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(b) For purposes of vesting, eligibility to participate, level of benefits and benefit accrual under the employee benefit plans of Parent and its Subsidiaries providing benefits to any Continuing Employees after the Effective Time (the “</w:t>
      </w:r>
      <w:r>
        <w:rPr>
          <w:rFonts w:ascii="Arial;Helvetica;sans-serif" w:hAnsi="Arial;Helvetica;sans-serif"/>
          <w:b w:val="false"/>
          <w:i w:val="false"/>
          <w:caps w:val="false"/>
          <w:smallCaps w:val="false"/>
          <w:color w:val="000000"/>
          <w:sz w:val="20"/>
          <w:u w:val="single"/>
        </w:rPr>
        <w:t>New Plans</w:t>
      </w:r>
      <w:r>
        <w:rPr>
          <w:rFonts w:ascii="Arial;Helvetica;sans-serif" w:hAnsi="Arial;Helvetica;sans-serif"/>
          <w:b w:val="false"/>
          <w:i w:val="false"/>
          <w:caps w:val="false"/>
          <w:smallCaps w:val="false"/>
          <w:color w:val="000000"/>
          <w:sz w:val="20"/>
        </w:rPr>
        <w:t xml:space="preserve">”), each Continuing Employee shall, subject to applicable Law and applicable tax qualification requirements, be credited with his or her years of service with the Company and its Subsidiaries and their respective predecessors before the Effective Time (including, for the avoidance of doubt, any service credit provided by the Company or its Subsidiaries to such Continuing Employee in connection with acquisitions occurring prior to the Effective Time);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foregoing shall not apply (x) for any purpose with respect to any equity incentive plan, defined benefit pension plan, postretirement welfare plan, any plan under which credit for prior service was not provided to such Continuing Employee under the analogous Company Benefit Plan immediately prior to the Effective Time (or any plan under which similarly situated employees of Parent and its affiliates do not receive credit for prior service), or any plan that is grandfathered or frozen or (y) to the extent that its application would result in a duplication of benefits. Following the Effective Time, Parent or its affiliate shall use commercially reasonable efforts to (i) ensure that each Continuing Employee shall be immediately eligible to participate, without any waiting time, in any and all New Plans, to the extent that coverage under such New Plan is of the same type as the Company Benefit Plan in which such Continuing Employee participated immediately before the Effective Time (such plans, collectively, the “</w:t>
      </w:r>
      <w:r>
        <w:rPr>
          <w:rFonts w:ascii="Arial;Helvetica;sans-serif" w:hAnsi="Arial;Helvetica;sans-serif"/>
          <w:b w:val="false"/>
          <w:i w:val="false"/>
          <w:caps w:val="false"/>
          <w:smallCaps w:val="false"/>
          <w:color w:val="000000"/>
          <w:sz w:val="20"/>
          <w:u w:val="single"/>
        </w:rPr>
        <w:t>Old Plans</w:t>
      </w:r>
      <w:r>
        <w:rPr>
          <w:rFonts w:ascii="Arial;Helvetica;sans-serif" w:hAnsi="Arial;Helvetica;sans-serif"/>
          <w:b w:val="false"/>
          <w:i w:val="false"/>
          <w:caps w:val="false"/>
          <w:smallCaps w:val="false"/>
          <w:color w:val="000000"/>
          <w:sz w:val="20"/>
        </w:rPr>
        <w:t>”) and (ii) (A) for purposes of each New Plan providing medical, dental, pharmaceutical or vision benefits to any Continuing Employee, cause all pre-existing condition exclusions and actively-at-work requirements of such New Plan to be waived for such Continuing Employee and his or her covered dependents and (B)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(c) If, at least ten (10) Business Days prior to the Effective Time, Parent provides written notice to the Company directing the Company to terminate its tax-qualified defined contribution plan(s) established under Section 401(k) of the Code (the “</w:t>
      </w:r>
      <w:r>
        <w:rPr>
          <w:rFonts w:ascii="Arial;Helvetica;sans-serif" w:hAnsi="Arial;Helvetica;sans-serif"/>
          <w:b w:val="false"/>
          <w:i w:val="false"/>
          <w:caps w:val="false"/>
          <w:smallCaps w:val="false"/>
          <w:color w:val="000000"/>
          <w:sz w:val="20"/>
          <w:u w:val="single"/>
        </w:rPr>
        <w:t>Company 401(k) Plans</w:t>
      </w:r>
      <w:r>
        <w:rPr>
          <w:rFonts w:ascii="Arial;Helvetica;sans-serif" w:hAnsi="Arial;Helvetica;sans-serif"/>
          <w:b w:val="false"/>
          <w:i w:val="false"/>
          <w:caps w:val="false"/>
          <w:smallCaps w:val="false"/>
          <w:color w:val="000000"/>
          <w:sz w:val="20"/>
        </w:rPr>
        <w:t>”), the Company shall terminate the Company 401(k) Plans effective as of the day immediately preceding the day on which the Effective Time occurs (the “</w:t>
      </w:r>
      <w:r>
        <w:rPr>
          <w:rFonts w:ascii="Arial;Helvetica;sans-serif" w:hAnsi="Arial;Helvetica;sans-serif"/>
          <w:b w:val="false"/>
          <w:i w:val="false"/>
          <w:caps w:val="false"/>
          <w:smallCaps w:val="false"/>
          <w:color w:val="000000"/>
          <w:sz w:val="20"/>
          <w:u w:val="single"/>
        </w:rPr>
        <w:t>401(k) Termination Date</w:t>
      </w:r>
      <w:r>
        <w:rPr>
          <w:rFonts w:ascii="Arial;Helvetica;sans-serif" w:hAnsi="Arial;Helvetica;sans-serif"/>
          <w:b w:val="false"/>
          <w:i w:val="false"/>
          <w:caps w:val="false"/>
          <w:smallCaps w:val="false"/>
          <w:color w:val="000000"/>
          <w:sz w:val="20"/>
        </w:rPr>
        <w:t xml:space="preserve">”). In the event that Parent requests that the Company 401(k) Plans be terminated, the Company shall provide Parent with evidence reasonably satisfactory to Parent that such 401(k) plan(s) have been terminated pursuant to resolution of the Company’s Board of Directors (or other authorized committee) at least two (2) Business Days prior to the day on which the Effective Time occurs;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prior to terminating the Company 401(k) Plans, the Company shall provide Parent with the form and substance of any applicable resolutions for review and approval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7" w:name="tS7R1"/>
      <w:bookmarkEnd w:id="257"/>
      <w:r>
        <w:rPr>
          <w:rFonts w:ascii="calibri;arial;sans-serif" w:hAnsi="calibri;arial;sans-serif"/>
          <w:b w:val="false"/>
          <w:i w:val="false"/>
          <w:caps w:val="false"/>
          <w:smallCaps w:val="false"/>
          <w:color w:val="000000"/>
          <w:sz w:val="16"/>
        </w:rPr>
        <w:t>​</w:t>
      </w:r>
      <w:bookmarkStart w:id="258" w:name="tS7SL"/>
      <w:bookmarkEnd w:id="258"/>
      <w:r>
        <w:rPr>
          <w:rFonts w:ascii="calibri;arial;sans-serif" w:hAnsi="calibri;arial;sans-serif"/>
          <w:b w:val="false"/>
          <w:i w:val="false"/>
          <w:caps w:val="false"/>
          <w:smallCaps w:val="false"/>
          <w:color w:val="000000"/>
          <w:sz w:val="16"/>
        </w:rPr>
        <w:t>​</w:t>
      </w:r>
      <w:bookmarkStart w:id="259" w:name="tS7DE"/>
      <w:bookmarkEnd w:id="259"/>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 to be unreasonably withheld, conditioned or delayed). If the Company 401(k) Plans are terminated pursuant to this </w:t>
      </w:r>
      <w:r>
        <w:rPr>
          <w:rFonts w:ascii="Arial;Helvetica;sans-serif" w:hAnsi="Arial;Helvetica;sans-serif"/>
          <w:b w:val="false"/>
          <w:i w:val="false"/>
          <w:caps w:val="false"/>
          <w:smallCaps w:val="false"/>
          <w:color w:val="000000"/>
          <w:sz w:val="20"/>
          <w:u w:val="single"/>
        </w:rPr>
        <w:t>Section 7.7(c)</w:t>
      </w:r>
      <w:r>
        <w:rPr>
          <w:rFonts w:ascii="Arial;Helvetica;sans-serif" w:hAnsi="Arial;Helvetica;sans-serif"/>
          <w:b w:val="false"/>
          <w:i w:val="false"/>
          <w:caps w:val="false"/>
          <w:smallCaps w:val="false"/>
          <w:color w:val="000000"/>
          <w:sz w:val="20"/>
        </w:rPr>
        <w:t>, then as soon as reasonably practicable following the 401(k) Termination Date, Parent shall permit each Continuing Employee who was eligible to participate in the Company 401(k) Plans immediately prior to the 401(k) Termination Date to participate in 401(k) plans of Parent or its affiliates, and shall permit each such Continuing Employee to elect to make rollover contributions of  “eligible rollover distributions” ​(within the meaning of Section 402(c)(4) of the Code) in cash in an amount equal to the entire eligible rollover distribution distributable to such Continuing Employee from the Company 401(k) Plans to the 401(k) plans of Parent or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(d) Between the date hereof and the Effective Time, any broad-based written communication materials (including website postings) from the Company or its affiliates to their employees with respect to the Transactions or employment, compensation or benefits matters addressed in this Agreement or related, directly or indirectly, to the Transactions or employment thereafter shall be provided to Parent for review and the Company shall consider any comments to such communications in good faith;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foregoing shall not apply with respect to any such broad-based written communication material that is consistent in all material respects with any material previously reviewed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(e) Parent shall, or shall cause its Subsidiaries to, assume, honor and fulfill all of the Company Benefit Plans in accordance with their terms as in effect immediately prior to the date hereof or as subsequently amended if and as permitted pursuant to the terms of such Company Benefit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(f) Nothing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Notwithstanding any other provision in this Agreement to the contrary, nothing in this </w:t>
      </w:r>
      <w:r>
        <w:rPr>
          <w:rFonts w:ascii="Arial;Helvetica;sans-serif" w:hAnsi="Arial;Helvetica;sans-serif"/>
          <w:b w:val="false"/>
          <w:i w:val="false"/>
          <w:caps w:val="false"/>
          <w:smallCaps w:val="false"/>
          <w:color w:val="000000"/>
          <w:sz w:val="20"/>
          <w:u w:val="single"/>
        </w:rPr>
        <w:t>Section 7.7</w:t>
      </w:r>
      <w:r>
        <w:rPr>
          <w:rFonts w:ascii="Arial;Helvetica;sans-serif" w:hAnsi="Arial;Helvetica;sans-serif"/>
          <w:b w:val="false"/>
          <w:i w:val="false"/>
          <w:caps w:val="false"/>
          <w:smallCaps w:val="false"/>
          <w:color w:val="000000"/>
          <w:sz w:val="20"/>
        </w:rPr>
        <w:t xml:space="preserve"> shall be deemed or construed to be an amendment or other modification of any Company Benefit Plan or employee benefit plan of Parent or Merger Sub or their affiliates. Notwithstanding any other provision in this Agreement to the contrary, nothing in this </w:t>
      </w:r>
      <w:r>
        <w:rPr>
          <w:rFonts w:ascii="Arial;Helvetica;sans-serif" w:hAnsi="Arial;Helvetica;sans-serif"/>
          <w:b w:val="false"/>
          <w:i w:val="false"/>
          <w:caps w:val="false"/>
          <w:smallCaps w:val="false"/>
          <w:color w:val="000000"/>
          <w:sz w:val="20"/>
          <w:u w:val="single"/>
        </w:rPr>
        <w:t>Section 7.7</w:t>
      </w:r>
      <w:r>
        <w:rPr>
          <w:rFonts w:ascii="Arial;Helvetica;sans-serif" w:hAnsi="Arial;Helvetica;sans-serif"/>
          <w:b w:val="false"/>
          <w:i w:val="false"/>
          <w:caps w:val="false"/>
          <w:smallCaps w:val="false"/>
          <w:color w:val="000000"/>
          <w:sz w:val="20"/>
        </w:rPr>
        <w:t xml:space="preserve"> shall create any third-party rights in any current or former employee or other service provider of the Company or its affiliates (or any beneficiaries or dependents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7.8. </w:t>
      </w:r>
      <w:r>
        <w:rPr>
          <w:rFonts w:ascii="Arial;Helvetica;sans-serif" w:hAnsi="Arial;Helvetica;sans-serif"/>
          <w:b w:val="false"/>
          <w:i w:val="false"/>
          <w:caps w:val="false"/>
          <w:smallCaps w:val="false"/>
          <w:color w:val="000000"/>
          <w:sz w:val="20"/>
          <w:u w:val="single"/>
        </w:rPr>
        <w:t>Rule 16b-3</w:t>
      </w:r>
      <w:r>
        <w:rPr>
          <w:rFonts w:ascii="Arial;Helvetica;sans-serif" w:hAnsi="Arial;Helvetica;sans-serif"/>
          <w:b w:val="false"/>
          <w:i w:val="false"/>
          <w:caps w:val="false"/>
          <w:smallCaps w:val="false"/>
          <w:color w:val="000000"/>
          <w:sz w:val="20"/>
        </w:rPr>
        <w:t xml:space="preserve">. Prior to the Effective Time, the Company shall take all such steps as may be reasonably necessary or advisable hereto to cause any dispositions of Company equity securities (including derivative securities) or acquisitions of Parent equity securities (including derivative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7.9. </w:t>
      </w:r>
      <w:r>
        <w:rPr>
          <w:rFonts w:ascii="Arial;Helvetica;sans-serif" w:hAnsi="Arial;Helvetica;sans-serif"/>
          <w:b w:val="false"/>
          <w:i w:val="false"/>
          <w:caps w:val="false"/>
          <w:smallCaps w:val="false"/>
          <w:color w:val="000000"/>
          <w:sz w:val="20"/>
          <w:u w:val="single"/>
        </w:rPr>
        <w:t>Stockholder Litigation</w:t>
      </w:r>
      <w:r>
        <w:rPr>
          <w:rFonts w:ascii="Arial;Helvetica;sans-serif" w:hAnsi="Arial;Helvetica;sans-serif"/>
          <w:b w:val="false"/>
          <w:i w:val="false"/>
          <w:caps w:val="false"/>
          <w:smallCaps w:val="false"/>
          <w:color w:val="000000"/>
          <w:sz w:val="20"/>
        </w:rPr>
        <w:t xml:space="preserve">. From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provide Parent prompt (and in any event within forty-eight (48) hours) notice of any litigation brought by any stockholder of the Company or purported stockholder of the Company against the Company, any of its Subsidiaries and/or any of their respective directors or officers relating to the Merger or any of the other Transactions or this Agreement, and shall keep Parent reasonably informed on a prompt and timely basis with respect to the status thereof. The Company shall give Parent the opportunity to participate (at Parent’s expense, and subject to a customary joint defense agreement) in, but not control, the defense or settlement of any such litigation and reasonably cooperate with Parent in conducting the defense or settlement of such litigation, and no such settlement shall be agreed without Parent’s prior written consent, which consent shall not be unreasonably withheld, conditioned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litigation or which imposes an injunction or other equitable relief upon Parent or any of its affiliates (including the Surviving Company and its Subsidiaries). In the event of, and to the extent of, any conflict or overlap between the provisions of this </w:t>
      </w:r>
      <w:r>
        <w:rPr>
          <w:rFonts w:ascii="Arial;Helvetica;sans-serif" w:hAnsi="Arial;Helvetica;sans-serif"/>
          <w:b w:val="false"/>
          <w:i w:val="false"/>
          <w:caps w:val="false"/>
          <w:smallCaps w:val="false"/>
          <w:color w:val="000000"/>
          <w:sz w:val="20"/>
          <w:u w:val="single"/>
        </w:rPr>
        <w:t>Section 7.9</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6.1</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(but without otherwise limiting any of the Parties’ obligations under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7.9</w:t>
      </w:r>
      <w:r>
        <w:rPr>
          <w:rFonts w:ascii="Arial;Helvetica;sans-serif" w:hAnsi="Arial;Helvetica;sans-serif"/>
          <w:b w:val="false"/>
          <w:i w:val="false"/>
          <w:caps w:val="false"/>
          <w:smallCaps w:val="false"/>
          <w:color w:val="000000"/>
          <w:sz w:val="20"/>
        </w:rPr>
        <w:t xml:space="preserve"> shall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7.10. </w:t>
      </w:r>
      <w:r>
        <w:rPr>
          <w:rFonts w:ascii="Arial;Helvetica;sans-serif" w:hAnsi="Arial;Helvetica;sans-serif"/>
          <w:b w:val="false"/>
          <w:i w:val="false"/>
          <w:caps w:val="false"/>
          <w:smallCaps w:val="false"/>
          <w:color w:val="000000"/>
          <w:sz w:val="20"/>
          <w:u w:val="single"/>
        </w:rPr>
        <w:t>Delisting</w:t>
      </w:r>
      <w:r>
        <w:rPr>
          <w:rFonts w:ascii="Arial;Helvetica;sans-serif" w:hAnsi="Arial;Helvetica;sans-serif"/>
          <w:b w:val="false"/>
          <w:i w:val="false"/>
          <w:caps w:val="false"/>
          <w:smallCaps w:val="false"/>
          <w:color w:val="000000"/>
          <w:sz w:val="20"/>
        </w:rPr>
        <w:t xml:space="preserve">. Each of the Parties agrees to cooperate with the other Parties in taking, or causing to be taken, all actions reasonably necessary to delist the Company Common Stock from the New York Stock Exchange and terminate its registration under the Exchange Act;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delisting and termination shall not be effective until at or after the Effective Time. If the Surviving Company may be required to file any quarterly or annual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0" w:name="tS7DR"/>
      <w:bookmarkEnd w:id="260"/>
      <w:r>
        <w:rPr>
          <w:rFonts w:ascii="calibri;arial;sans-serif" w:hAnsi="calibri;arial;sans-serif"/>
          <w:b w:val="false"/>
          <w:i w:val="false"/>
          <w:caps w:val="false"/>
          <w:smallCaps w:val="false"/>
          <w:color w:val="000000"/>
          <w:sz w:val="16"/>
        </w:rPr>
        <w:t>​</w:t>
      </w:r>
      <w:bookmarkStart w:id="261" w:name="tS7PS1"/>
      <w:bookmarkEnd w:id="26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report pursuant to the Exchange Act by a filing deadline that is imposed by the Exchange Act and which falls on a date within the ten (10) days following the Closing Date, the Company shall use its reasonable best efforts to file such quarterly or annual report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7.11. </w:t>
      </w:r>
      <w:r>
        <w:rPr>
          <w:rFonts w:ascii="Arial;Helvetica;sans-serif" w:hAnsi="Arial;Helvetica;sans-serif"/>
          <w:b w:val="false"/>
          <w:i w:val="false"/>
          <w:caps w:val="false"/>
          <w:smallCaps w:val="false"/>
          <w:color w:val="000000"/>
          <w:sz w:val="20"/>
          <w:u w:val="single"/>
        </w:rPr>
        <w:t>Director Resignations</w:t>
      </w:r>
      <w:r>
        <w:rPr>
          <w:rFonts w:ascii="Arial;Helvetica;sans-serif" w:hAnsi="Arial;Helvetica;sans-serif"/>
          <w:b w:val="false"/>
          <w:i w:val="false"/>
          <w:caps w:val="false"/>
          <w:smallCaps w:val="false"/>
          <w:color w:val="000000"/>
          <w:sz w:val="20"/>
        </w:rPr>
        <w:t>. Prior to the Closing, the Company shall use its reasonable best efforts to cause to be delivered to Parent resignations executed by each director of the Company in office as of immediately prior to the Effective Time and effective upon the Effective Time, and the Company shall cooperate with Parent in preparing for the replacement, upon the Effective Time, of directors and officers of the Company Subsidiaries with those Persons designated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7.12. </w:t>
      </w:r>
      <w:r>
        <w:rPr>
          <w:rFonts w:ascii="Arial;Helvetica;sans-serif" w:hAnsi="Arial;Helvetica;sans-serif"/>
          <w:b w:val="false"/>
          <w:i w:val="false"/>
          <w:caps w:val="false"/>
          <w:smallCaps w:val="false"/>
          <w:color w:val="000000"/>
          <w:sz w:val="20"/>
          <w:u w:val="single"/>
        </w:rPr>
        <w:t>Proxy Statement; Company Stockholders’ Meeting</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(a) As promptly as reasonably practicable following the date of this Agreement, the Company shall prepare (and Parent shall reasonably and in good faith cooperate with such preparation) and file with the SEC the preliminary Proxy Statement. The Company will use its reasonable best efforts to cause such filing to occur no later than twenty-five (25) Business Days following the date of this Agreement. Each of the Company and Parent shall furnish all information concerning itself and its affiliates that is reasonably requested or required to be included in the Proxy Statement or that is customarily included in proxy statements prepared in connection with transactions of the type contemplated by this Agreement, and each of the Company and Parent covenants that none of the information supplied or to be supplied by it for inclusion or incorporation in the Proxy Statement will, at the date it or any amendment or supplement thereto is filed with the SEC or is mailed to the Company Stockholders, as applicable, or at the time of the Company Stockholders’ Meeting, contain any untrue statement of a material fact or omit to state any material fact necessary in order to make the statements made therein, in the light of the circumstances under which they were made, not misleading. Parent shall provide the Company such assistance and cooperation which the Company reasonably requests in preparation of the information related to Parent or Merger Sub to be included in the Proxy Statement. Each of the Company and Parent shall use its respective reasonable best efforts to respond as promptly as practicable to any comments of the SEC with respect to the Proxy Statement. The Company shall promptly notify Parent upon the receipt of any comments from the SEC or its staff or any request from the SEC or its staff for amendments or supplements to the Proxy Statement and shall supply Parent with copies of all correspondence with the SEC or its staff with respect to the Proxy Statement. The Company shall give Parent and its counsel a reasonable opportunity to review and comment on the Proxy Statement, including all amendments and supplements thereto, prior to filing such documents with the SEC or disseminating them to holders of shares of Company Common Stock and a reasonable opportunity to review and comment on all responses to requests for additional information, and shall consider any comments proposed by Parent in good faith. The Company will cause the definitive Proxy Statement to be mailed to the Company Stockholders as promptly as practicable after the date on which the Company learns that the Proxy Statement will not be reviewed or that the SEC staff has no further comments thereon. If, at any time prior to the Company Stockholders’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a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an appropriate amendment or supplement describing such information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(b) Unless this Agreement is terminated in accordance with its terms, the Company shall, as promptly as reasonably practicable after the date hereof and in consultation with Parent, duly hold a meeting of its stockholders for the purpose of obtaining the Company Stockholder Approval (the “</w:t>
      </w:r>
      <w:r>
        <w:rPr>
          <w:rFonts w:ascii="Arial;Helvetica;sans-serif" w:hAnsi="Arial;Helvetica;sans-serif"/>
          <w:b w:val="false"/>
          <w:i w:val="false"/>
          <w:caps w:val="false"/>
          <w:smallCaps w:val="false"/>
          <w:color w:val="000000"/>
          <w:sz w:val="20"/>
          <w:u w:val="single"/>
        </w:rPr>
        <w:t>Company Stockholders’ Meeting</w:t>
      </w:r>
      <w:r>
        <w:rPr>
          <w:rFonts w:ascii="Arial;Helvetica;sans-serif" w:hAnsi="Arial;Helvetica;sans-serif"/>
          <w:b w:val="false"/>
          <w:i w:val="false"/>
          <w:caps w:val="false"/>
          <w:smallCaps w:val="false"/>
          <w:color w:val="000000"/>
          <w:sz w:val="20"/>
        </w:rPr>
        <w:t xml:space="preserve">”) with a record date and meeting date to be selected after reasonable consultation with Parent, and, subject to a Change of Recommendation in accordance with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xml:space="preserve">, the Company shall use its reasonable best efforts to obtain the Company Stockholder Approval. Within ten (10) Business Days after the date of this Agreement (and at reasonable times thereafter, upon the request of Parent), the Company shall conduct a “broker search” in accordance with Rule 14a-13 of the Exchange Act for a record date for the Company Stockholders’ Meeting that is twenty (20) Business Days after the date of such “broker search.” The Company shall not postpone or adjourn the Company Stockholders’ Meeting without the prior written consent of Parent;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if at any time following the dissemination of the Proxy Statement, either the Company or Parent reasonably determines in good faith that the Company Stockholder Approval is unlikely to be obtained at the Company Stockholders’ Meeting, including due to an absence of quorum, then on no more than two (2) occasions (for each of the Company and Parent) and prior to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2" w:name="tS7FC"/>
      <w:bookmarkEnd w:id="26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vote contemplated having been taken, each of the Company and Parent shall have the right to require an adjournment or postponement of the Company Stockholders’ Meeting for the purpose of soliciting additional votes in favor of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no such adjournment or postponement shall delay the Company Stockholders’ Meeting (in each case) by more than ten (10) days from the prior-scheduled date or to a date on or after the fifth (5th) Business Day preceding the Outside Date. Notwithstanding the foregoing, the Company may postpone or adjourn the Company Stockholders’ Meeting if  (i) the Company is required to postpone or adjourn the Company Stockholders’ Meeting by applicable Law or the rules or requirements of the New York Stock Exchange, or (ii) the Company Board of Directors or any authorized committee thereof shall have determined in good faith (after consultation with outside legal counsel) that it is necessary or appropriate to postpone or adjourn the Company Stockholders’ Meeting in order to give Company Stockholders sufficient time to evaluate any information or disclosure that the Company has sent or otherwise made available to such holders by issuing a press release, filing materials with the SEC or otherwise (including in connection with any Change of Recommendation) (in each case so long as any such information or disclosure was made in compliance with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Company shall be permitted to postpone or adjourn the Company Stockholders’ Meeting pursuant to this clause (ii) on no more than two (2) occasions and no such adjournments or postponements shall delay the Company Stockholders’ Meeting by more than fifteen (15) days (in the aggregate;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days need not run consecutively) from the prior-scheduled date or to a date on or after the fifth (5th) Business Day preceding the Outside Date. Unless there has been a Change of Recommendation in accordance with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the Company shall promptly provide Parent with all voting tabulation reports relating to the Company Stockholders’ Meeting that have been prepared by the Company or the Company’s transfer agent, proxy solicitor or other Representative, and shall otherwise keep Parent reasonably informed regarding the status of the solicitation and any material oral or written communications from or to Company Stockholders with respect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7.13. </w:t>
      </w:r>
      <w:r>
        <w:rPr>
          <w:rFonts w:ascii="Arial;Helvetica;sans-serif" w:hAnsi="Arial;Helvetica;sans-serif"/>
          <w:b w:val="false"/>
          <w:i w:val="false"/>
          <w:caps w:val="false"/>
          <w:smallCaps w:val="false"/>
          <w:color w:val="000000"/>
          <w:sz w:val="20"/>
          <w:u w:val="single"/>
        </w:rPr>
        <w:t>Financing Cooperation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(a) Prior to the earlier of the Effective Time and the termination of this Agreement, the Company shall, and shall cause the Company Subsidiaries and their respective Representatives to, provide such reasonable cooperation in connection with any financing by Parent or any of its Subsidiaries in connection with the Transactions as may be requested by Parent, Merger Sub or their Representatives. Without limiting the generality of the foregoing, the Company shall, and shall cause the Company Subsidiaries and their respective Representatives to, upon request (i) furnish the report of the Company’s auditor on the most recently available audited consolidated financial statements of the Company and the Company Subsidiaries and use its reasonable best efforts to obtain the consent of such auditor to the use of such report in accordance with normal custom and practice and use reasonable best efforts to cause such auditor to provide customary comfort letters to the underwriters, initial purchasers or placement agents, as applicable, in connection with any such financing; (ii) furnish any additional financial statements, schedules or other financial data relating to the Company and the Company Subsidiaries as may be reasonably requested by Parent and required in connection with any such financing (including, if applicable, any such statements, schedules or data to be used in the preparation of pro forma financial statements), but in each case, only to the extent that such additional financial statements, schedules or other financial data are prepared by the Company or the Company Subsidiaries in the ordinary course of business and readily available; (iii) provide a reasonable amount of direct contact between (A) senior management and advisors, including auditors, of the Company and (B) the proposed lenders, underwriters, initial purchasers or placement agents, as applicable, and/or Parent’s auditors in connection with, any such financing, at reasonable times and upon reasonable advance notice,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access does not unreasonably interfere with the operations of the business of the Company and the Company Subsidiaries; (iv) make available the employees and advisors of the Company and the Company Subsidiaries to provide reasonable assistance with Parent’s preparation of business projections, financing documents and offer materials in connection with any such financing, at reasonable times and upon reasonable advance notice,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access does not unreasonably interfere with the operations of the business of the Company and the Company Subsidiaries; (v) use its reasonable best efforts to obtain the cooperation and assistance of counsel to the Company and the Company Subsidiaries in providing customary legal opinions; (vi) provide information, documents (including information and documents required in connection with applicable “know your customer” and anti-money laundering rules and regulations, including the U.S.A. Patriot Act of 2001), authorization letters, opinions and certificates, enter into agreements (including supplemental indentures) and take other actions that, in each case, are customary in connection with any such financing or reasonably necessary or desirable to permit Parent to fulfill conditions or obligations under the related financing documents,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agreements entered into shall be conditioned upon, and shall not take effect until, the Effective Time; (vii) reasonably assist in the preparation of one or more confidential information memoranda, prospectuses, offering memoranda and other marketing and syndication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3" w:name="tARVI2"/>
      <w:bookmarkEnd w:id="263"/>
      <w:r>
        <w:rPr>
          <w:rFonts w:ascii="calibri;arial;sans-serif" w:hAnsi="calibri;arial;sans-serif"/>
          <w:b w:val="false"/>
          <w:i w:val="false"/>
          <w:caps w:val="false"/>
          <w:smallCaps w:val="false"/>
          <w:color w:val="000000"/>
          <w:sz w:val="16"/>
        </w:rPr>
        <w:t>​</w:t>
      </w:r>
      <w:bookmarkStart w:id="264" w:name="tS8CT"/>
      <w:bookmarkEnd w:id="264"/>
      <w:r>
        <w:rPr>
          <w:rFonts w:ascii="calibri;arial;sans-serif" w:hAnsi="calibri;arial;sans-serif"/>
          <w:b w:val="false"/>
          <w:i w:val="false"/>
          <w:caps w:val="false"/>
          <w:smallCaps w:val="false"/>
          <w:color w:val="000000"/>
          <w:sz w:val="16"/>
        </w:rPr>
        <w:t>​</w:t>
      </w:r>
      <w:bookmarkStart w:id="265" w:name="tS8CT1"/>
      <w:bookmarkEnd w:id="265"/>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materials reasonably requested by Parent; (viii) permit Parent’s reasonable use of the Company’s and the Company Subsidiaries’ logos for syndication and underwriting, as applicable, of any such financing; (ix) use commercially reasonable efforts to assist in procuring any necessary rating agency ratings or approvals; and (x) not commence or effect any offering, placement or arrangement of any debt securities or bank financing competing with the proposed Parent financing (and not permit any such offering, placement or arrangements to occur on its behalf).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anything in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to the contrary, in fulfilling its obligations pursuant to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(i) none of the Company, the Company Subsidiaries or their respective Representatives shall be required to pay any commitment or other fee, provide any security or incur any other liability in connection with any financing prior to the Effective Time and (ii) Parent shall, promptly upon request by the Company, reimburse the Company for all reasonable and documented out-of-pocket costs incurred by the Company or any of the Company Subsidiaries in connection with such cooperation. Parent shall indemnify and hold harmless the Company and the Company Subsidiaries from and against any and all losses or damages actually suffered or incurred by them directly in connection with the arrangement of any such financing (other than to the extent resulting from (A) the willful misconduct, gross negligence or bad faith of the Company or any of the Company Subsidiaries or any of their respective Representatives acting on their behalf, (B) the material breach by the Company of its obligations under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or (C) information provided by the Company, the Company Subsidiaries or their respective Representatives acting on their behalf for use in connection with any such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(c) Prior to the earlier of the Effective Time and the termination of this Agreement, Parent shall, upon request by the Company, keep the Company reasonably informed at reasonable time intervals regarding the progress and status of any financing arrangements in connection with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(d) For the avoidance of doubt, the obligation of Parent and Merger Sub to close the transactions contemplated by this Agreement is not conditioned upon the consummation of any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CONDITIONS TO CONSUMMATION OF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8.1. </w:t>
      </w:r>
      <w:r>
        <w:rPr>
          <w:rFonts w:ascii="Arial;Helvetica;sans-serif" w:hAnsi="Arial;Helvetica;sans-serif"/>
          <w:b w:val="false"/>
          <w:i w:val="false"/>
          <w:caps w:val="false"/>
          <w:smallCaps w:val="false"/>
          <w:color w:val="000000"/>
          <w:sz w:val="20"/>
          <w:u w:val="single"/>
        </w:rPr>
        <w:t>Conditions to Each Party’s Obligations to Effect the Merger</w:t>
      </w:r>
      <w:r>
        <w:rPr>
          <w:rFonts w:ascii="Arial;Helvetica;sans-serif" w:hAnsi="Arial;Helvetica;sans-serif"/>
          <w:b w:val="false"/>
          <w:i w:val="false"/>
          <w:caps w:val="false"/>
          <w:smallCaps w:val="false"/>
          <w:color w:val="000000"/>
          <w:sz w:val="20"/>
        </w:rPr>
        <w:t>. The respective obligations of each Party to effect the Merger shall be subject to the satisfaction on or prior to the Closing Date of each of the following conditions, any and all of which may be waived in whole or in part by written agreement of Parent, Merger Sub and the Company, to the extent permitted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Company Stockholder Approval</w:t>
      </w:r>
      <w:r>
        <w:rPr>
          <w:rFonts w:ascii="Arial;Helvetica;sans-serif" w:hAnsi="Arial;Helvetica;sans-serif"/>
          <w:b w:val="false"/>
          <w:i w:val="false"/>
          <w:caps w:val="false"/>
          <w:smallCaps w:val="false"/>
          <w:color w:val="000000"/>
          <w:sz w:val="20"/>
        </w:rPr>
        <w:t>. The Company Stockholder Approval shall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No Legal Prohibition</w:t>
      </w:r>
      <w:r>
        <w:rPr>
          <w:rFonts w:ascii="Arial;Helvetica;sans-serif" w:hAnsi="Arial;Helvetica;sans-serif"/>
          <w:b w:val="false"/>
          <w:i w:val="false"/>
          <w:caps w:val="false"/>
          <w:smallCaps w:val="false"/>
          <w:color w:val="000000"/>
          <w:sz w:val="20"/>
        </w:rPr>
        <w:t>. No Governmental Entity of competent jurisdiction shall have (i) enacted, issued or promulgated any Law that is in effect or (ii) issued or granted any order or injunction (whether temporary, preliminary or permanent) that is in effect, in each case which has the effect of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Regulatory Approvals</w:t>
      </w:r>
      <w:r>
        <w:rPr>
          <w:rFonts w:ascii="Arial;Helvetica;sans-serif" w:hAnsi="Arial;Helvetica;sans-serif"/>
          <w:b w:val="false"/>
          <w:i w:val="false"/>
          <w:caps w:val="false"/>
          <w:smallCaps w:val="false"/>
          <w:color w:val="000000"/>
          <w:sz w:val="20"/>
        </w:rPr>
        <w:t>. (i) Any waiting period (and extensions thereof) applicable to the Transactions under the HSR Act and any agreements or commitments with a Governmental Entity not to consummate the Transactions, shall have expired or been terminated, (ii) any other required approvals, consents, or clearances under any Antitrust Laws or FDI Laws of the jurisdictions set forth in Section 8.1(c) of the Company Disclosure Letter shall have been obtained and (iii) the CFIUS Approval shall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8.2. </w:t>
      </w:r>
      <w:r>
        <w:rPr>
          <w:rFonts w:ascii="Arial;Helvetica;sans-serif" w:hAnsi="Arial;Helvetica;sans-serif"/>
          <w:b w:val="false"/>
          <w:i w:val="false"/>
          <w:caps w:val="false"/>
          <w:smallCaps w:val="false"/>
          <w:color w:val="000000"/>
          <w:sz w:val="20"/>
          <w:u w:val="single"/>
        </w:rPr>
        <w:t>Conditions to the Obligations of Parent and Merger Sub</w:t>
      </w:r>
      <w:r>
        <w:rPr>
          <w:rFonts w:ascii="Arial;Helvetica;sans-serif" w:hAnsi="Arial;Helvetica;sans-serif"/>
          <w:b w:val="false"/>
          <w:i w:val="false"/>
          <w:caps w:val="false"/>
          <w:smallCaps w:val="false"/>
          <w:color w:val="000000"/>
          <w:sz w:val="20"/>
        </w:rPr>
        <w:t>. The obligations of Parent and Merger Sub to effect the Merger are also subject to the satisfaction on or prior to the Closing Date of each of the following conditions, any and all of which may be waived in whole or in part by Parent or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Representations and Warranties</w:t>
      </w:r>
      <w:r>
        <w:rPr>
          <w:rFonts w:ascii="Arial;Helvetica;sans-serif" w:hAnsi="Arial;Helvetica;sans-serif"/>
          <w:b w:val="false"/>
          <w:i w:val="false"/>
          <w:caps w:val="false"/>
          <w:smallCaps w:val="false"/>
          <w:color w:val="000000"/>
          <w:sz w:val="20"/>
        </w:rPr>
        <w:t xml:space="preserve">. (i) The representations and warranties of the Company set forth in </w:t>
      </w:r>
      <w:r>
        <w:rPr>
          <w:rFonts w:ascii="Arial;Helvetica;sans-serif" w:hAnsi="Arial;Helvetica;sans-serif"/>
          <w:b w:val="false"/>
          <w:i w:val="false"/>
          <w:caps w:val="false"/>
          <w:smallCaps w:val="false"/>
          <w:color w:val="000000"/>
          <w:sz w:val="20"/>
          <w:u w:val="single"/>
        </w:rPr>
        <w:t>Section 4.1(a)</w:t>
      </w:r>
      <w:r>
        <w:rPr>
          <w:rFonts w:ascii="Arial;Helvetica;sans-serif" w:hAnsi="Arial;Helvetica;sans-serif"/>
          <w:b w:val="false"/>
          <w:i w:val="false"/>
          <w:caps w:val="false"/>
          <w:smallCaps w:val="false"/>
          <w:color w:val="000000"/>
          <w:sz w:val="20"/>
        </w:rPr>
        <w:t xml:space="preserve"> (other than the second sentence thereof), </w:t>
      </w:r>
      <w:r>
        <w:rPr>
          <w:rFonts w:ascii="Arial;Helvetica;sans-serif" w:hAnsi="Arial;Helvetica;sans-serif"/>
          <w:b w:val="false"/>
          <w:i w:val="false"/>
          <w:caps w:val="false"/>
          <w:smallCaps w:val="false"/>
          <w:color w:val="000000"/>
          <w:sz w:val="20"/>
          <w:u w:val="single"/>
        </w:rPr>
        <w:t>Section 4.1(c)</w:t>
      </w:r>
      <w:r>
        <w:rPr>
          <w:rFonts w:ascii="Arial;Helvetica;sans-serif" w:hAnsi="Arial;Helvetica;sans-serif"/>
          <w:b w:val="false"/>
          <w:i w:val="false"/>
          <w:caps w:val="false"/>
          <w:smallCaps w:val="false"/>
          <w:color w:val="000000"/>
          <w:sz w:val="20"/>
        </w:rPr>
        <w:t xml:space="preserve"> (other than the last sentence thereof), </w:t>
      </w:r>
      <w:r>
        <w:rPr>
          <w:rFonts w:ascii="Arial;Helvetica;sans-serif" w:hAnsi="Arial;Helvetica;sans-serif"/>
          <w:b w:val="false"/>
          <w:i w:val="false"/>
          <w:caps w:val="false"/>
          <w:smallCaps w:val="false"/>
          <w:color w:val="000000"/>
          <w:sz w:val="20"/>
          <w:u w:val="single"/>
        </w:rPr>
        <w:t>Section 4.2(b)</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4.2(c)</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4.3</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4.26</w:t>
      </w:r>
      <w:r>
        <w:rPr>
          <w:rFonts w:ascii="Arial;Helvetica;sans-serif" w:hAnsi="Arial;Helvetica;sans-serif"/>
          <w:b w:val="false"/>
          <w:i w:val="false"/>
          <w:caps w:val="false"/>
          <w:smallCaps w:val="false"/>
          <w:color w:val="000000"/>
          <w:sz w:val="20"/>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the Company set forth in </w:t>
      </w:r>
      <w:r>
        <w:rPr>
          <w:rFonts w:ascii="Arial;Helvetica;sans-serif" w:hAnsi="Arial;Helvetica;sans-serif"/>
          <w:b w:val="false"/>
          <w:i w:val="false"/>
          <w:caps w:val="false"/>
          <w:smallCaps w:val="false"/>
          <w:color w:val="000000"/>
          <w:sz w:val="20"/>
          <w:u w:val="single"/>
        </w:rPr>
        <w:t>Section 4.2(a)</w:t>
      </w:r>
      <w:r>
        <w:rPr>
          <w:rFonts w:ascii="Arial;Helvetica;sans-serif" w:hAnsi="Arial;Helvetica;sans-serif"/>
          <w:b w:val="false"/>
          <w:i w:val="false"/>
          <w:caps w:val="false"/>
          <w:smallCaps w:val="false"/>
          <w:color w:val="000000"/>
          <w:sz w:val="20"/>
        </w:rPr>
        <w:t xml:space="preserve"> shall be true and correct other than for de minimis inaccuracies as of the date hereof and shall be true and correct other than for de minimis inaccuracies as of the Closing as though made on and as of the Closing (except, in each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6" w:name="tS8CT2"/>
      <w:bookmarkEnd w:id="266"/>
      <w:r>
        <w:rPr>
          <w:rFonts w:ascii="calibri;arial;sans-serif" w:hAnsi="calibri;arial;sans-serif"/>
          <w:b w:val="false"/>
          <w:i w:val="false"/>
          <w:caps w:val="false"/>
          <w:smallCaps w:val="false"/>
          <w:color w:val="000000"/>
          <w:sz w:val="16"/>
        </w:rPr>
        <w:t>​</w:t>
      </w:r>
      <w:bookmarkStart w:id="267" w:name="tARIX"/>
      <w:bookmarkEnd w:id="267"/>
      <w:r>
        <w:rPr>
          <w:rFonts w:ascii="calibri;arial;sans-serif" w:hAnsi="calibri;arial;sans-serif"/>
          <w:b w:val="false"/>
          <w:i w:val="false"/>
          <w:caps w:val="false"/>
          <w:smallCaps w:val="false"/>
          <w:color w:val="000000"/>
          <w:sz w:val="16"/>
        </w:rPr>
        <w:t>​</w:t>
      </w:r>
      <w:bookmarkStart w:id="268" w:name="tS9TT"/>
      <w:bookmarkEnd w:id="26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case, representations and warranties that by their terms speak specifically as of another date, in which case as of such date); (iii) the representations and warranties of the Company set forth in </w:t>
      </w:r>
      <w:r>
        <w:rPr>
          <w:rFonts w:ascii="Arial;Helvetica;sans-serif" w:hAnsi="Arial;Helvetica;sans-serif"/>
          <w:b w:val="false"/>
          <w:i w:val="false"/>
          <w:caps w:val="false"/>
          <w:smallCaps w:val="false"/>
          <w:color w:val="000000"/>
          <w:sz w:val="20"/>
          <w:u w:val="single"/>
        </w:rPr>
        <w:t>Section 4.8(a)</w:t>
      </w:r>
      <w:r>
        <w:rPr>
          <w:rFonts w:ascii="Arial;Helvetica;sans-serif" w:hAnsi="Arial;Helvetica;sans-serif"/>
          <w:b w:val="false"/>
          <w:i w:val="false"/>
          <w:caps w:val="false"/>
          <w:smallCaps w:val="false"/>
          <w:color w:val="000000"/>
          <w:sz w:val="20"/>
        </w:rPr>
        <w:t xml:space="preserve"> shall be true and correct in all respects as of the date hereof and shall be true and correct in all respects as of the Closing as though made on and as of the Closing; and (iv) the other representations and warranties of the Company set forth in this Agreement (without giving effect to any qualification as to materiality or Company Material Adverse Effect contained therein) shall be true and correct as of the date hereof or shall be true and correct as of the Closing as though made on and as of the Closing (except, in each case, representations and warranties that by their terms speak specifically as of another date, in which case as of such date), except, with respect to this clause (iv),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of Obligations</w:t>
      </w:r>
      <w:r>
        <w:rPr>
          <w:rFonts w:ascii="Arial;Helvetica;sans-serif" w:hAnsi="Arial;Helvetica;sans-serif"/>
          <w:b w:val="false"/>
          <w:i w:val="false"/>
          <w:caps w:val="false"/>
          <w:smallCaps w:val="false"/>
          <w:color w:val="000000"/>
          <w:sz w:val="20"/>
        </w:rPr>
        <w:t>. The Company shall have performed and complied, in each case, in all material respects with the obligations, covenants and agreements required to be performed or complied with by it under this Agreement at or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No Material Adverse Effect</w:t>
      </w:r>
      <w:r>
        <w:rPr>
          <w:rFonts w:ascii="Arial;Helvetica;sans-serif" w:hAnsi="Arial;Helvetica;sans-serif"/>
          <w:b w:val="false"/>
          <w:i w:val="false"/>
          <w:caps w:val="false"/>
          <w:smallCaps w:val="false"/>
          <w:color w:val="000000"/>
          <w:sz w:val="20"/>
        </w:rPr>
        <w:t>. No Company Material Adverse Effect shall have occurred since the date of this Agreement that is continuing.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Company Officer’s Certificate</w:t>
      </w:r>
      <w:r>
        <w:rPr>
          <w:rFonts w:ascii="Arial;Helvetica;sans-serif" w:hAnsi="Arial;Helvetica;sans-serif"/>
          <w:b w:val="false"/>
          <w:i w:val="false"/>
          <w:caps w:val="false"/>
          <w:smallCaps w:val="false"/>
          <w:color w:val="000000"/>
          <w:sz w:val="20"/>
        </w:rPr>
        <w:t xml:space="preserve">. Parent and Merger Sub shall have received from the Company a certificate, dated as of the Closing Date and signed by an executive officer of the Company, certifying to the effect that the conditions set forth in </w:t>
      </w:r>
      <w:r>
        <w:rPr>
          <w:rFonts w:ascii="Arial;Helvetica;sans-serif" w:hAnsi="Arial;Helvetica;sans-serif"/>
          <w:b w:val="false"/>
          <w:i w:val="false"/>
          <w:caps w:val="false"/>
          <w:smallCaps w:val="false"/>
          <w:color w:val="000000"/>
          <w:sz w:val="20"/>
          <w:u w:val="single"/>
        </w:rPr>
        <w:t>Section 8.2(a)</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8.2(b)</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8.2(c)</w:t>
      </w:r>
      <w:r>
        <w:rPr>
          <w:rFonts w:ascii="Arial;Helvetica;sans-serif" w:hAnsi="Arial;Helvetica;sans-serif"/>
          <w:b w:val="false"/>
          <w:i w:val="false"/>
          <w:caps w:val="false"/>
          <w:smallCaps w:val="false"/>
          <w:color w:val="000000"/>
          <w:sz w:val="20"/>
        </w:rPr>
        <w:t xml:space="preserve"> have been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8.3. </w:t>
      </w:r>
      <w:r>
        <w:rPr>
          <w:rFonts w:ascii="Arial;Helvetica;sans-serif" w:hAnsi="Arial;Helvetica;sans-serif"/>
          <w:b w:val="false"/>
          <w:i w:val="false"/>
          <w:caps w:val="false"/>
          <w:smallCaps w:val="false"/>
          <w:color w:val="000000"/>
          <w:sz w:val="20"/>
          <w:u w:val="single"/>
        </w:rPr>
        <w:t>Conditions to the Obligations of the Company</w:t>
      </w:r>
      <w:r>
        <w:rPr>
          <w:rFonts w:ascii="Arial;Helvetica;sans-serif" w:hAnsi="Arial;Helvetica;sans-serif"/>
          <w:b w:val="false"/>
          <w:i w:val="false"/>
          <w:caps w:val="false"/>
          <w:smallCaps w:val="false"/>
          <w:color w:val="000000"/>
          <w:sz w:val="20"/>
        </w:rPr>
        <w:t>. The obligations of the Company to effect the Merger are also subject to the satisfaction on or prior to the Closing Date of each of the following conditions, any and all of which may be waived in whole or in part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Representations and Warranties</w:t>
      </w:r>
      <w:r>
        <w:rPr>
          <w:rFonts w:ascii="Arial;Helvetica;sans-serif" w:hAnsi="Arial;Helvetica;sans-serif"/>
          <w:b w:val="false"/>
          <w:i w:val="false"/>
          <w:caps w:val="false"/>
          <w:smallCaps w:val="false"/>
          <w:color w:val="000000"/>
          <w:sz w:val="20"/>
        </w:rPr>
        <w:t xml:space="preserve">. (i) The representations and warranties of Parent and Merger Sub set forth in </w:t>
      </w:r>
      <w:r>
        <w:rPr>
          <w:rFonts w:ascii="Arial;Helvetica;sans-serif" w:hAnsi="Arial;Helvetica;sans-serif"/>
          <w:b w:val="false"/>
          <w:i w:val="false"/>
          <w:caps w:val="false"/>
          <w:smallCaps w:val="false"/>
          <w:color w:val="000000"/>
          <w:sz w:val="20"/>
          <w:u w:val="single"/>
        </w:rPr>
        <w:t>Section 5.1</w:t>
      </w:r>
      <w:r>
        <w:rPr>
          <w:rFonts w:ascii="Arial;Helvetica;sans-serif" w:hAnsi="Arial;Helvetica;sans-serif"/>
          <w:b w:val="false"/>
          <w:i w:val="false"/>
          <w:caps w:val="false"/>
          <w:smallCaps w:val="false"/>
          <w:color w:val="000000"/>
          <w:sz w:val="20"/>
        </w:rPr>
        <w:t xml:space="preserve"> (other than the third sentence thereof) and </w:t>
      </w:r>
      <w:r>
        <w:rPr>
          <w:rFonts w:ascii="Arial;Helvetica;sans-serif" w:hAnsi="Arial;Helvetica;sans-serif"/>
          <w:b w:val="false"/>
          <w:i w:val="false"/>
          <w:caps w:val="false"/>
          <w:smallCaps w:val="false"/>
          <w:color w:val="000000"/>
          <w:sz w:val="20"/>
          <w:u w:val="single"/>
        </w:rPr>
        <w:t>Section 5.3</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5.8</w:t>
      </w:r>
      <w:r>
        <w:rPr>
          <w:rFonts w:ascii="Arial;Helvetica;sans-serif" w:hAnsi="Arial;Helvetica;sans-serif"/>
          <w:b w:val="false"/>
          <w:i w:val="false"/>
          <w:caps w:val="false"/>
          <w:smallCaps w:val="false"/>
          <w:color w:val="000000"/>
          <w:sz w:val="20"/>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Parent and Merger Sub set forth in </w:t>
      </w:r>
      <w:r>
        <w:rPr>
          <w:rFonts w:ascii="Arial;Helvetica;sans-serif" w:hAnsi="Arial;Helvetica;sans-serif"/>
          <w:b w:val="false"/>
          <w:i w:val="false"/>
          <w:caps w:val="false"/>
          <w:smallCaps w:val="false"/>
          <w:color w:val="000000"/>
          <w:sz w:val="20"/>
          <w:u w:val="single"/>
        </w:rPr>
        <w:t>Section 5.2</w:t>
      </w:r>
      <w:r>
        <w:rPr>
          <w:rFonts w:ascii="Arial;Helvetica;sans-serif" w:hAnsi="Arial;Helvetica;sans-serif"/>
          <w:b w:val="false"/>
          <w:i w:val="false"/>
          <w:caps w:val="false"/>
          <w:smallCaps w:val="false"/>
          <w:color w:val="000000"/>
          <w:sz w:val="20"/>
        </w:rPr>
        <w:t xml:space="preserve"> shall be true and correct other than for de minimis inaccuracies as of the date hereof and shall be true and correct other than for de minimis inaccuracies as of the Closing as if made on and as of the Closing (except, in each case, for representations and warranties that speak specifically of another date, in which case as of such date) and (iii) the other representations and warranties of Parent and Merger Sub set forth in this Agreement (without giving effect to any qualification as to materiality contained therein) shall be true and correct as of the date of this Agreement and shall be true and correct as of the Closing as though made on and as of the Closing (except, in each case, representations and warranties that by their terms speak specifically as of another date, in which case as of such date), except where any failures of any such representations and warranties to be so true and correct (without giving effect to any qualification as to materiality contained therein) have not had and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of Obligations</w:t>
      </w:r>
      <w:r>
        <w:rPr>
          <w:rFonts w:ascii="Arial;Helvetica;sans-serif" w:hAnsi="Arial;Helvetica;sans-serif"/>
          <w:b w:val="false"/>
          <w:i w:val="false"/>
          <w:caps w:val="false"/>
          <w:smallCaps w:val="false"/>
          <w:color w:val="000000"/>
          <w:sz w:val="20"/>
        </w:rPr>
        <w:t>. Parent and Merger Sub shall have performed and complied, in each case, in all material respects with the obligations, covenants and agreements required to be performed or complied with by them under this Agreement at or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Parent Officers’ Certificate</w:t>
      </w:r>
      <w:r>
        <w:rPr>
          <w:rFonts w:ascii="Arial;Helvetica;sans-serif" w:hAnsi="Arial;Helvetica;sans-serif"/>
          <w:b w:val="false"/>
          <w:i w:val="false"/>
          <w:caps w:val="false"/>
          <w:smallCaps w:val="false"/>
          <w:color w:val="000000"/>
          <w:sz w:val="20"/>
        </w:rPr>
        <w:t xml:space="preserve">. The Company shall have received from Parent a certificate, dated as of the Closing Date and signed by an executive officer of Parent, certifying to the effect that the conditions set forth in </w:t>
      </w:r>
      <w:r>
        <w:rPr>
          <w:rFonts w:ascii="Arial;Helvetica;sans-serif" w:hAnsi="Arial;Helvetica;sans-serif"/>
          <w:b w:val="false"/>
          <w:i w:val="false"/>
          <w:caps w:val="false"/>
          <w:smallCaps w:val="false"/>
          <w:color w:val="000000"/>
          <w:sz w:val="20"/>
          <w:u w:val="single"/>
        </w:rPr>
        <w:t>Section 8.3(a)</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8.3(b)</w:t>
      </w:r>
      <w:r>
        <w:rPr>
          <w:rFonts w:ascii="Arial;Helvetica;sans-serif" w:hAnsi="Arial;Helvetica;sans-serif"/>
          <w:b w:val="false"/>
          <w:i w:val="false"/>
          <w:caps w:val="false"/>
          <w:smallCaps w:val="false"/>
          <w:color w:val="000000"/>
          <w:sz w:val="20"/>
        </w:rPr>
        <w:t xml:space="preserve"> have been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TERMINATION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9.1. </w:t>
      </w:r>
      <w:r>
        <w:rPr>
          <w:rFonts w:ascii="Arial;Helvetica;sans-serif" w:hAnsi="Arial;Helvetica;sans-serif"/>
          <w:b w:val="false"/>
          <w:i w:val="false"/>
          <w:caps w:val="false"/>
          <w:smallCaps w:val="false"/>
          <w:color w:val="000000"/>
          <w:sz w:val="20"/>
          <w:u w:val="single"/>
        </w:rPr>
        <w:t>Termination</w:t>
      </w:r>
      <w:r>
        <w:rPr>
          <w:rFonts w:ascii="Arial;Helvetica;sans-serif" w:hAnsi="Arial;Helvetica;sans-serif"/>
          <w:b w:val="false"/>
          <w:i w:val="false"/>
          <w:caps w:val="false"/>
          <w:smallCaps w:val="false"/>
          <w:color w:val="000000"/>
          <w:sz w:val="20"/>
        </w:rPr>
        <w:t>. This Agreement may be terminated and the Merger and the other Transactions may be abandoned, at any time before the Effective Time, as follows (with any termination by Parent also being an effective termination by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9" w:name="tS9EO"/>
      <w:bookmarkEnd w:id="2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(a) by mutual written consent of Parent and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(b) by the Company, in the event that (i) the Company is not then in material breach of this Agreement and (ii) (A) Parent and/or Merger Sub shall have breached, failed to perform or violated their respective covenants or agreements under this Agreement, or (B) any of the representations and warranties of Parent or Merger Sub set forth in this Agreement shall have become inaccurate, and in either case of clause (A) or (B) where such breach, failure to perform, violation or inaccuracy (1) would result in the failure of any of the conditions set forth in </w:t>
      </w:r>
      <w:r>
        <w:rPr>
          <w:rFonts w:ascii="Arial;Helvetica;sans-serif" w:hAnsi="Arial;Helvetica;sans-serif"/>
          <w:b w:val="false"/>
          <w:i w:val="false"/>
          <w:caps w:val="false"/>
          <w:smallCaps w:val="false"/>
          <w:color w:val="000000"/>
          <w:sz w:val="20"/>
          <w:u w:val="single"/>
        </w:rPr>
        <w:t>Section 8.3(a)</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8.3(b)</w:t>
      </w:r>
      <w:r>
        <w:rPr>
          <w:rFonts w:ascii="Arial;Helvetica;sans-serif" w:hAnsi="Arial;Helvetica;sans-serif"/>
          <w:b w:val="false"/>
          <w:i w:val="false"/>
          <w:caps w:val="false"/>
          <w:smallCaps w:val="false"/>
          <w:color w:val="000000"/>
          <w:sz w:val="20"/>
        </w:rPr>
        <w:t xml:space="preserve"> to be satisfied, and (2)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(c) by Parent, in the event that (i) neither Parent nor Merger Sub is then in material breach of this Agreement and (ii) (A) the Company shall have breached, failed to perform or violated its covenants or agreements under this Agreement or (B) any of the representations and warranties of the Company set forth in this Agreement shall have become inaccurate, and in either case of clause (A) or (B) where such breach, failure to perform, violation or inaccuracy (1) would result in the failure of any of the conditions set forth in </w:t>
      </w:r>
      <w:r>
        <w:rPr>
          <w:rFonts w:ascii="Arial;Helvetica;sans-serif" w:hAnsi="Arial;Helvetica;sans-serif"/>
          <w:b w:val="false"/>
          <w:i w:val="false"/>
          <w:caps w:val="false"/>
          <w:smallCaps w:val="false"/>
          <w:color w:val="000000"/>
          <w:sz w:val="20"/>
          <w:u w:val="single"/>
        </w:rPr>
        <w:t>Section 8.2(a)</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8.2(b)</w:t>
      </w:r>
      <w:r>
        <w:rPr>
          <w:rFonts w:ascii="Arial;Helvetica;sans-serif" w:hAnsi="Arial;Helvetica;sans-serif"/>
          <w:b w:val="false"/>
          <w:i w:val="false"/>
          <w:caps w:val="false"/>
          <w:smallCaps w:val="false"/>
          <w:color w:val="000000"/>
          <w:sz w:val="20"/>
        </w:rPr>
        <w:t xml:space="preserve"> to be satisfied, and (2)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or Merger Sub of such breach, failure to perform, violation or inaccuracy;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(d) by either Parent or the Company, in the event that the Effective Time has not occurred on or before the date that is twelve (12) months after the date hereof  (the “</w:t>
      </w:r>
      <w:r>
        <w:rPr>
          <w:rFonts w:ascii="Arial;Helvetica;sans-serif" w:hAnsi="Arial;Helvetica;sans-serif"/>
          <w:b w:val="false"/>
          <w:i w:val="false"/>
          <w:caps w:val="false"/>
          <w:smallCaps w:val="false"/>
          <w:color w:val="000000"/>
          <w:sz w:val="20"/>
          <w:u w:val="single"/>
        </w:rPr>
        <w:t>Outside Date</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 if, on the Outside Date, all of the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other than the conditions set forth in </w:t>
      </w:r>
      <w:r>
        <w:rPr>
          <w:rFonts w:ascii="Arial;Helvetica;sans-serif" w:hAnsi="Arial;Helvetica;sans-serif"/>
          <w:b w:val="false"/>
          <w:i w:val="false"/>
          <w:caps w:val="false"/>
          <w:smallCaps w:val="false"/>
          <w:color w:val="000000"/>
          <w:sz w:val="20"/>
          <w:u w:val="single"/>
        </w:rPr>
        <w:t>Section 8.1(b)</w:t>
      </w:r>
      <w:r>
        <w:rPr>
          <w:rFonts w:ascii="Arial;Helvetica;sans-serif" w:hAnsi="Arial;Helvetica;sans-serif"/>
          <w:b w:val="false"/>
          <w:i w:val="false"/>
          <w:caps w:val="false"/>
          <w:smallCaps w:val="false"/>
          <w:color w:val="000000"/>
          <w:sz w:val="20"/>
        </w:rPr>
        <w:t xml:space="preserve"> (to the extent any such injunction or order is in respect of, or any such Law is, the HSR Act or any other Antitrust Law or any FDI Law) or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xml:space="preserve"> and those conditions that by their nature are to be satisfied on the Closing Date (if such conditions would be satisfied or validly waived were the Closing Date to occur at such time), shall have been satisfied or waived, then the Outside Date shall automatically be extended for all purposes hereunder by a period of three (3) months (in which case, such date shall become the Outside Date for all purposes of this Agreement); and (ii) the right to terminate this Agreement pursuant to this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shall not be available to any Party whose action or failure to fulfill any obligation under this Agreement has been a proximate cause of the failure of the Effective Time to occur by the Outside Date and such action or failure to fulfill such obligation constitutes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(e) by Parent, if, prior to obtaining the Company Stockholder Approval, (i) a Change of Recommendation has occurred or (ii) the Company has materially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(f) by either the Company or Parent if a Governmental Entity of competent jurisdiction shall have issued a final, non-appealable order, injunction, decree or ruling in each case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(g) by the Company, prior to obtaining the Company Stockholder Approval, in order to effect a Change of Recommendation and substantially concurrently enter into a definitive agreement providing for a Superior Proposal;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 the Company has complied with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and (ii) immediately prior to or substantially concurrently with (and as a condition to) the termination of this Agreement, the Company pays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(h) by either the Company or Parent, if the Company Stockholders’ Meeting (including any adjournments or postponements thereof) shall have concluded and the Company Stockholder Approval shall not have been obtained;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(i) by either the Company or Parent following a CFIUS Turndown;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right to terminate this Agreement under this </w:t>
      </w:r>
      <w:r>
        <w:rPr>
          <w:rFonts w:ascii="Arial;Helvetica;sans-serif" w:hAnsi="Arial;Helvetica;sans-serif"/>
          <w:b w:val="false"/>
          <w:i w:val="false"/>
          <w:caps w:val="false"/>
          <w:smallCaps w:val="false"/>
          <w:color w:val="000000"/>
          <w:sz w:val="20"/>
          <w:u w:val="single"/>
        </w:rPr>
        <w:t>Section 9.1(i)</w:t>
      </w:r>
      <w:r>
        <w:rPr>
          <w:rFonts w:ascii="Arial;Helvetica;sans-serif" w:hAnsi="Arial;Helvetica;sans-serif"/>
          <w:b w:val="false"/>
          <w:i w:val="false"/>
          <w:caps w:val="false"/>
          <w:smallCaps w:val="false"/>
          <w:color w:val="000000"/>
          <w:sz w:val="20"/>
        </w:rPr>
        <w:t xml:space="preserve"> shall not be available to any Party whose action or failure to fulfill its obligations pursuant to </w:t>
      </w:r>
      <w:r>
        <w:rPr>
          <w:rFonts w:ascii="Arial;Helvetica;sans-serif" w:hAnsi="Arial;Helvetica;sans-serif"/>
          <w:b w:val="false"/>
          <w:i w:val="false"/>
          <w:caps w:val="false"/>
          <w:smallCaps w:val="false"/>
          <w:color w:val="000000"/>
          <w:sz w:val="20"/>
          <w:u w:val="single"/>
        </w:rPr>
        <w:t>Section 7.2(e)</w:t>
      </w:r>
      <w:r>
        <w:rPr>
          <w:rFonts w:ascii="Arial;Helvetica;sans-serif" w:hAnsi="Arial;Helvetica;sans-serif"/>
          <w:b w:val="false"/>
          <w:i w:val="false"/>
          <w:caps w:val="false"/>
          <w:smallCaps w:val="false"/>
          <w:color w:val="000000"/>
          <w:sz w:val="20"/>
        </w:rPr>
        <w:t xml:space="preserve"> has been a proximate cause of the CFIUS Turndown and such action or failure to fulfill such obligations constitutes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9.2. </w:t>
      </w:r>
      <w:r>
        <w:rPr>
          <w:rFonts w:ascii="Arial;Helvetica;sans-serif" w:hAnsi="Arial;Helvetica;sans-serif"/>
          <w:b w:val="false"/>
          <w:i w:val="false"/>
          <w:caps w:val="false"/>
          <w:smallCaps w:val="false"/>
          <w:color w:val="000000"/>
          <w:sz w:val="20"/>
          <w:u w:val="single"/>
        </w:rPr>
        <w:t>Effect of Termination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(a) In the event of the valid termination of this Agreement as provided in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written notice thereof shall forthwith be given to the other Party or Parties specifying the provision hereof pursuant to which such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termination is made, and this Agreement shall forthwith become null and void and there shall be no liability on the part of Parent, Merger Sub or the Company, except that the Confidentiality Agreement,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10.3</w:t>
      </w:r>
      <w:r>
        <w:rPr>
          <w:rFonts w:ascii="Arial;Helvetica;sans-serif" w:hAnsi="Arial;Helvetica;sans-serif"/>
          <w:b w:val="false"/>
          <w:i w:val="false"/>
          <w:caps w:val="false"/>
          <w:smallCaps w:val="false"/>
          <w:color w:val="000000"/>
          <w:sz w:val="20"/>
        </w:rPr>
        <w:t xml:space="preserve"> through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shall survive such termination;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nothing herein shall relieve any Party from liability (including damages) for Fraud or Willful Breach of this Agreement prior to such termination (which damages may include loss of the economic benefits of the transactions contemplated by this Agreement to holders of Company Common Stock and Company Equity Awards entitled to receive the Merger Consideration, as applicable, pursuant to Section 261(a)(1) of the DGCL and subject to </w:t>
      </w:r>
      <w:r>
        <w:rPr>
          <w:rFonts w:ascii="Arial;Helvetica;sans-serif" w:hAnsi="Arial;Helvetica;sans-serif"/>
          <w:b w:val="false"/>
          <w:i w:val="false"/>
          <w:caps w:val="false"/>
          <w:smallCaps w:val="false"/>
          <w:color w:val="000000"/>
          <w:sz w:val="20"/>
          <w:u w:val="single"/>
        </w:rPr>
        <w:t>Section 10.8(a)</w:t>
      </w:r>
      <w:r>
        <w:rPr>
          <w:rFonts w:ascii="Arial;Helvetica;sans-serif" w:hAnsi="Arial;Helvetica;sans-serif"/>
          <w:b w:val="false"/>
          <w:i w:val="false"/>
          <w:caps w:val="false"/>
          <w:smallCaps w:val="false"/>
          <w:color w:val="000000"/>
          <w:sz w:val="20"/>
        </w:rPr>
        <w:t>). For purposes of this Agreement, “</w:t>
      </w:r>
      <w:r>
        <w:rPr>
          <w:rFonts w:ascii="Arial;Helvetica;sans-serif" w:hAnsi="Arial;Helvetica;sans-serif"/>
          <w:b w:val="false"/>
          <w:i w:val="false"/>
          <w:caps w:val="false"/>
          <w:smallCaps w:val="false"/>
          <w:color w:val="000000"/>
          <w:sz w:val="20"/>
          <w:u w:val="single"/>
        </w:rPr>
        <w:t>Willful Breach</w:t>
      </w:r>
      <w:r>
        <w:rPr>
          <w:rFonts w:ascii="Arial;Helvetica;sans-serif" w:hAnsi="Arial;Helvetica;sans-serif"/>
          <w:b w:val="false"/>
          <w:i w:val="false"/>
          <w:caps w:val="false"/>
          <w:smallCaps w:val="false"/>
          <w:color w:val="000000"/>
          <w:sz w:val="20"/>
        </w:rPr>
        <w:t>” shall mean a deliberate action taken or deliberate failure to act that the breaching party intentionally takes (or intentionally fails to take) and actually knows would, or would reasonably be expected to, be or cause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(i) If  (A) Parent terminates this Agreement pursuant to </w:t>
      </w:r>
      <w:r>
        <w:rPr>
          <w:rFonts w:ascii="Arial;Helvetica;sans-serif" w:hAnsi="Arial;Helvetica;sans-serif"/>
          <w:b w:val="false"/>
          <w:i w:val="false"/>
          <w:caps w:val="false"/>
          <w:smallCaps w:val="false"/>
          <w:color w:val="000000"/>
          <w:sz w:val="20"/>
          <w:u w:val="single"/>
        </w:rPr>
        <w:t>Section 9.1(h)</w:t>
      </w:r>
      <w:r>
        <w:rPr>
          <w:rFonts w:ascii="Arial;Helvetica;sans-serif" w:hAnsi="Arial;Helvetica;sans-serif"/>
          <w:b w:val="false"/>
          <w:i w:val="false"/>
          <w:caps w:val="false"/>
          <w:smallCaps w:val="false"/>
          <w:color w:val="000000"/>
          <w:sz w:val="20"/>
        </w:rPr>
        <w:t>, (B) after the date hereof and prior to the date of the Company Stockholders’ Meeting at which the Company Stockholder Approval was not obtained, an Acquisition Proposal was publicly disclosed (whether by the Company or a third party) and not publicly withdrawn at least three (3) Business Days prior to the date of the applicable Company Stockholders’ Meeting, and (C) 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a fee of  $32,350,000 in cash (the “</w:t>
      </w:r>
      <w:r>
        <w:rPr>
          <w:rFonts w:ascii="Arial;Helvetica;sans-serif" w:hAnsi="Arial;Helvetica;sans-serif"/>
          <w:b w:val="false"/>
          <w:i w:val="false"/>
          <w:caps w:val="false"/>
          <w:smallCaps w:val="false"/>
          <w:color w:val="000000"/>
          <w:sz w:val="20"/>
          <w:u w:val="single"/>
        </w:rPr>
        <w:t>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(ii) If  (A) after the date hereof and prior to the termination of this Agreement, an Acquisition Proposal is made to the Company Board of Directors or the Company’s management or becomes publicly disclosed (whether by the Company or a third party) and not withdrawn (publicly, if publicly disclosed) prior to such termination, (B) (1) Parent or the Company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if the Company is the terminating Party under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Parent is not at such time prohibited from terminating this Agreement by the terms of </w:t>
      </w:r>
      <w:r>
        <w:rPr>
          <w:rFonts w:ascii="Arial;Helvetica;sans-serif" w:hAnsi="Arial;Helvetica;sans-serif"/>
          <w:b w:val="false"/>
          <w:i w:val="false"/>
          <w:caps w:val="false"/>
          <w:smallCaps w:val="false"/>
          <w:color w:val="000000"/>
          <w:sz w:val="20"/>
          <w:u w:val="single"/>
        </w:rPr>
        <w:t>Section 9.1(d)(ii)</w:t>
      </w:r>
      <w:r>
        <w:rPr>
          <w:rFonts w:ascii="Arial;Helvetica;sans-serif" w:hAnsi="Arial;Helvetica;sans-serif"/>
          <w:b w:val="false"/>
          <w:i w:val="false"/>
          <w:caps w:val="false"/>
          <w:smallCaps w:val="false"/>
          <w:color w:val="000000"/>
          <w:sz w:val="20"/>
        </w:rPr>
        <w:t>) or (2) Parent terminates this Agreement pursuant to (x) </w:t>
      </w:r>
      <w:r>
        <w:rPr>
          <w:rFonts w:ascii="Arial;Helvetica;sans-serif" w:hAnsi="Arial;Helvetica;sans-serif"/>
          <w:b w:val="false"/>
          <w:i w:val="false"/>
          <w:caps w:val="false"/>
          <w:smallCaps w:val="false"/>
          <w:color w:val="000000"/>
          <w:sz w:val="20"/>
          <w:u w:val="single"/>
        </w:rPr>
        <w:t>Section 9.1(c)(ii)(A)</w:t>
      </w:r>
      <w:r>
        <w:rPr>
          <w:rFonts w:ascii="Arial;Helvetica;sans-serif" w:hAnsi="Arial;Helvetica;sans-serif"/>
          <w:b w:val="false"/>
          <w:i w:val="false"/>
          <w:caps w:val="false"/>
          <w:smallCaps w:val="false"/>
          <w:color w:val="000000"/>
          <w:sz w:val="20"/>
        </w:rPr>
        <w:t xml:space="preserve"> due to a breach of, or a failure to perform or comply with, one or more covenants or agreements under this Agreement by the Company following the making of such Acquisition Proposal or (y) </w:t>
      </w:r>
      <w:r>
        <w:rPr>
          <w:rFonts w:ascii="Arial;Helvetica;sans-serif" w:hAnsi="Arial;Helvetica;sans-serif"/>
          <w:b w:val="false"/>
          <w:i w:val="false"/>
          <w:caps w:val="false"/>
          <w:smallCaps w:val="false"/>
          <w:color w:val="000000"/>
          <w:sz w:val="20"/>
          <w:u w:val="single"/>
        </w:rPr>
        <w:t>Section 9.1(e)(ii)</w:t>
      </w:r>
      <w:r>
        <w:rPr>
          <w:rFonts w:ascii="Arial;Helvetica;sans-serif" w:hAnsi="Arial;Helvetica;sans-serif"/>
          <w:b w:val="false"/>
          <w:i w:val="false"/>
          <w:caps w:val="false"/>
          <w:smallCaps w:val="false"/>
          <w:color w:val="000000"/>
          <w:sz w:val="20"/>
        </w:rPr>
        <w:t xml:space="preserve"> (but in the case of this clause (y), only if the Company has Willfully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and (C) 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(iii) If Parent terminates this Agreement pursuant to (A) </w:t>
      </w:r>
      <w:r>
        <w:rPr>
          <w:rFonts w:ascii="Arial;Helvetica;sans-serif" w:hAnsi="Arial;Helvetica;sans-serif"/>
          <w:b w:val="false"/>
          <w:i w:val="false"/>
          <w:caps w:val="false"/>
          <w:smallCaps w:val="false"/>
          <w:color w:val="000000"/>
          <w:sz w:val="20"/>
          <w:u w:val="single"/>
        </w:rPr>
        <w:t>Section 9.1(e)(i)</w:t>
      </w:r>
      <w:r>
        <w:rPr>
          <w:rFonts w:ascii="Arial;Helvetica;sans-serif" w:hAnsi="Arial;Helvetica;sans-serif"/>
          <w:b w:val="false"/>
          <w:i w:val="false"/>
          <w:caps w:val="false"/>
          <w:smallCaps w:val="false"/>
          <w:color w:val="000000"/>
          <w:sz w:val="20"/>
        </w:rPr>
        <w:t xml:space="preserve"> or (B) </w:t>
      </w:r>
      <w:r>
        <w:rPr>
          <w:rFonts w:ascii="Arial;Helvetica;sans-serif" w:hAnsi="Arial;Helvetica;sans-serif"/>
          <w:b w:val="false"/>
          <w:i w:val="false"/>
          <w:caps w:val="false"/>
          <w:smallCaps w:val="false"/>
          <w:color w:val="000000"/>
          <w:sz w:val="20"/>
          <w:u w:val="single"/>
        </w:rPr>
        <w:t>Section 9.1(e)(ii)</w:t>
      </w:r>
      <w:r>
        <w:rPr>
          <w:rFonts w:ascii="Arial;Helvetica;sans-serif" w:hAnsi="Arial;Helvetica;sans-serif"/>
          <w:b w:val="false"/>
          <w:i w:val="false"/>
          <w:caps w:val="false"/>
          <w:smallCaps w:val="false"/>
          <w:color w:val="000000"/>
          <w:sz w:val="20"/>
        </w:rPr>
        <w:t xml:space="preserve"> (but in the case of this clause (B), only if the Company has Willfully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within five (5) Business Days after such termination,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(iv) If the Company terminates this Agreement pursuant to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substantially concurrently with or prior to (and as a condition to) such termination,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(v) In the event any amount is payable by the Company pursuant to the preceding clauses (i), (ii), (iii), or (iv), such amount shall be paid by wire transfer of immediately available funds to an account designated in writing by Parent. Parent shall promptly provide wire transfer instructions in writing to the Company upon request (and in any event with sufficient time to allow the Company to pay or cause to be paid to Parent any Termination Fee payable hereunder within the time periods required by this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For the avoidance of doubt, in no event shall the Company be obligated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(vi) Solely for purposes of </w:t>
      </w:r>
      <w:r>
        <w:rPr>
          <w:rFonts w:ascii="Arial;Helvetica;sans-serif" w:hAnsi="Arial;Helvetica;sans-serif"/>
          <w:b w:val="false"/>
          <w:i w:val="false"/>
          <w:caps w:val="false"/>
          <w:smallCaps w:val="false"/>
          <w:color w:val="000000"/>
          <w:sz w:val="20"/>
          <w:u w:val="single"/>
        </w:rPr>
        <w:t>Section 9.2(b)(i)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9.2(b)(ii)</w:t>
      </w:r>
      <w:r>
        <w:rPr>
          <w:rFonts w:ascii="Arial;Helvetica;sans-serif" w:hAnsi="Arial;Helvetica;sans-serif"/>
          <w:b w:val="false"/>
          <w:i w:val="false"/>
          <w:caps w:val="false"/>
          <w:smallCaps w:val="false"/>
          <w:color w:val="000000"/>
          <w:sz w:val="20"/>
        </w:rPr>
        <w:t xml:space="preserve">, the term “Acquisition Proposal” shall have the meaning assigned to such term in </w:t>
      </w:r>
      <w:r>
        <w:rPr>
          <w:rFonts w:ascii="Arial;Helvetica;sans-serif" w:hAnsi="Arial;Helvetica;sans-serif"/>
          <w:b w:val="false"/>
          <w:i w:val="false"/>
          <w:caps w:val="false"/>
          <w:smallCaps w:val="false"/>
          <w:color w:val="000000"/>
          <w:sz w:val="20"/>
          <w:u w:val="single"/>
        </w:rPr>
        <w:t>Section 1.1</w:t>
      </w:r>
      <w:r>
        <w:rPr>
          <w:rFonts w:ascii="Arial;Helvetica;sans-serif" w:hAnsi="Arial;Helvetica;sans-serif"/>
          <w:b w:val="false"/>
          <w:i w:val="false"/>
          <w:caps w:val="false"/>
          <w:smallCaps w:val="false"/>
          <w:color w:val="000000"/>
          <w:sz w:val="20"/>
        </w:rPr>
        <w:t xml:space="preserve">, except that all references to “fifteen percent (15%)” and “eighty-five percent (85%)” therein shall be deemed to be references to “fifty percent (50%).”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Regulatory 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(i) If the Company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(or Parent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and at the time of such termination by Parent, the Company was not prohibited from terminating this Agreement pursuant to the terms of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and at the time of such termination, all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are satisfied or validly waived, other than (A) conditions that by their nature are to be satisfied on the Closing Date (if such conditions would be satisfied or validly waived were the Closing Date to occur at such time) and (B) any condition set forth in </w:t>
      </w:r>
      <w:r>
        <w:rPr>
          <w:rFonts w:ascii="Arial;Helvetica;sans-serif" w:hAnsi="Arial;Helvetica;sans-serif"/>
          <w:b w:val="false"/>
          <w:i w:val="false"/>
          <w:caps w:val="false"/>
          <w:smallCaps w:val="false"/>
          <w:color w:val="000000"/>
          <w:sz w:val="20"/>
          <w:u w:val="single"/>
        </w:rPr>
        <w:t>Section 8.1(b)</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within five (5) Business Days after such termination, Parent shall pay to the Company a fee of $32,350,000 in cash (the “</w:t>
      </w:r>
      <w:r>
        <w:rPr>
          <w:rFonts w:ascii="Arial;Helvetica;sans-serif" w:hAnsi="Arial;Helvetica;sans-serif"/>
          <w:b w:val="false"/>
          <w:i w:val="false"/>
          <w:caps w:val="false"/>
          <w:smallCaps w:val="false"/>
          <w:color w:val="000000"/>
          <w:sz w:val="20"/>
          <w:u w:val="single"/>
        </w:rPr>
        <w:t>Regulatory 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(ii) If the Company terminates this Agreement pursuant to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xml:space="preserve"> (or Parent terminates this Agreement pursuant to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xml:space="preserve"> and at the time of such termination by Parent, the Company was not prohibited from terminating this Agreement pursuant to the terms of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within five (5) Business Days after such termination, Parent shall pay to the Company the Regulatory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(iii) In the event any amount is payable by Parent pursuant to the preceding clauses (i) or (ii), such amount shall be paid by wire transfer of immediately available funds to an account designated in writing by the Company. The Company shall promptly provide wire transfer instructions in writing to Parent upon request (and in any event with sufficient time to allow Parent to pay or cause to be paid to the Company any Regulatory Termination Fee payable hereunder within the time periods required by this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For the avoidance of doubt, in no event shall Parent be obligated to pay the Regulatory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Party acknowledges that the agreements contained in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are an integral part of the Transactions and that, without these agreements, the Parties hereto would not enter into this Agreement. Each Party further acknowledges that each of the Termination Fee and Regulatory Termination Fee is not a penalty, but rather is liquidated damages in a reasonable amount that will compensate Parent and Merger Sub or the Company, as the case may be, in the circumstances in which the Termination Fee or Regulatory Termination Fee (as applicable)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xml:space="preserve">, or Parent fails to pay in a timely manner any amount due pursuant to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xml:space="preserve">, then (i) the applicable Party with the payment obligation shall reimburse the other Party for all reasonable, documented, out-of-pocket costs and expenses (including disbursements and fees of counsel) incurred in the collection of such overdue amounts, including in connection with any related claims, actions or proceedings commenced and (ii) the applicable Party with the payment obligation shall pay to the other Party the interest on the amounts payable pursuant to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xml:space="preserve">, as applicable, from and including the date payment of such amounts was due to but excluding the date of actual payment at the prime rate set forth in the </w:t>
      </w:r>
      <w:r>
        <w:rPr>
          <w:rFonts w:ascii="Arial;Helvetica;sans-serif" w:hAnsi="Arial;Helvetica;sans-serif"/>
          <w:b w:val="false"/>
          <w:i/>
          <w:caps w:val="false"/>
          <w:smallCaps w:val="false"/>
          <w:color w:val="000000"/>
          <w:sz w:val="20"/>
        </w:rPr>
        <w:t>Wall Street Journal</w:t>
      </w:r>
      <w:r>
        <w:rPr>
          <w:rFonts w:ascii="Arial;Helvetica;sans-serif" w:hAnsi="Arial;Helvetica;sans-serif"/>
          <w:b w:val="false"/>
          <w:i w:val="false"/>
          <w:caps w:val="false"/>
          <w:smallCaps w:val="false"/>
          <w:color w:val="000000"/>
          <w:sz w:val="20"/>
        </w:rPr>
        <w:t xml:space="preserve"> in effect on the date such payment was required to be made. Notwithstanding anything to the contrary in this Agreement, (1) upon Parent’s receipt of the full Termination Fee (and any other amounts contemplated by this </w:t>
      </w:r>
      <w:r>
        <w:rPr>
          <w:rFonts w:ascii="Arial;Helvetica;sans-serif" w:hAnsi="Arial;Helvetica;sans-serif"/>
          <w:b w:val="false"/>
          <w:i w:val="false"/>
          <w:caps w:val="false"/>
          <w:smallCaps w:val="false"/>
          <w:color w:val="000000"/>
          <w:sz w:val="20"/>
          <w:u w:val="single"/>
        </w:rPr>
        <w:t>Section 9.2(d)</w:t>
      </w:r>
      <w:r>
        <w:rPr>
          <w:rFonts w:ascii="Arial;Helvetica;sans-serif" w:hAnsi="Arial;Helvetica;sans-serif"/>
          <w:b w:val="false"/>
          <w:i w:val="false"/>
          <w:caps w:val="false"/>
          <w:smallCaps w:val="false"/>
          <w:color w:val="000000"/>
          <w:sz w:val="20"/>
        </w:rPr>
        <w:t xml:space="preserve">) pursuant to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Arial;Helvetica;sans-serif" w:hAnsi="Arial;Helvetica;sans-serif"/>
          <w:b w:val="false"/>
          <w:i w:val="false"/>
          <w:caps w:val="false"/>
          <w:smallCaps w:val="false"/>
          <w:color w:val="000000"/>
          <w:sz w:val="20"/>
          <w:u w:val="single"/>
        </w:rPr>
        <w:t>Section 9.2(a)</w:t>
      </w:r>
      <w:r>
        <w:rPr>
          <w:rFonts w:ascii="Arial;Helvetica;sans-serif" w:hAnsi="Arial;Helvetica;sans-serif"/>
          <w:b w:val="false"/>
          <w:i w:val="false"/>
          <w:caps w:val="false"/>
          <w:smallCaps w:val="false"/>
          <w:color w:val="000000"/>
          <w:sz w:val="20"/>
        </w:rPr>
        <w:t xml:space="preserve">) and (2) upon the Company’s receipt of the full Regulatory Termination Fee (and any other amounts contemplated by this </w:t>
      </w:r>
      <w:r>
        <w:rPr>
          <w:rFonts w:ascii="Arial;Helvetica;sans-serif" w:hAnsi="Arial;Helvetica;sans-serif"/>
          <w:b w:val="false"/>
          <w:i w:val="false"/>
          <w:caps w:val="false"/>
          <w:smallCaps w:val="false"/>
          <w:color w:val="000000"/>
          <w:sz w:val="20"/>
          <w:u w:val="single"/>
        </w:rPr>
        <w:t>Section 9.2(d)</w:t>
      </w:r>
      <w:r>
        <w:rPr>
          <w:rFonts w:ascii="Arial;Helvetica;sans-serif" w:hAnsi="Arial;Helvetica;sans-serif"/>
          <w:b w:val="false"/>
          <w:i w:val="false"/>
          <w:caps w:val="false"/>
          <w:smallCaps w:val="false"/>
          <w:color w:val="000000"/>
          <w:sz w:val="20"/>
        </w:rPr>
        <w:t xml:space="preserve">) pursuant to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in circumstances in which the Regulatory Termination Fee is payable, none of Parent, any Parent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Arial;Helvetica;sans-serif" w:hAnsi="Arial;Helvetica;sans-serif"/>
          <w:b w:val="false"/>
          <w:i w:val="false"/>
          <w:caps w:val="false"/>
          <w:smallCaps w:val="false"/>
          <w:color w:val="000000"/>
          <w:sz w:val="20"/>
          <w:u w:val="single"/>
        </w:rPr>
        <w:t>Section 9.2(a)</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0" w:name="tARX"/>
      <w:bookmarkEnd w:id="270"/>
      <w:r>
        <w:rPr>
          <w:rFonts w:ascii="calibri;arial;sans-serif" w:hAnsi="calibri;arial;sans-serif"/>
          <w:b w:val="false"/>
          <w:i w:val="false"/>
          <w:caps w:val="false"/>
          <w:smallCaps w:val="false"/>
          <w:color w:val="000000"/>
          <w:sz w:val="16"/>
        </w:rPr>
        <w:t>​</w:t>
      </w:r>
      <w:bookmarkStart w:id="271" w:name="tS1AA"/>
      <w:bookmarkEnd w:id="271"/>
      <w:r>
        <w:rPr>
          <w:rFonts w:ascii="calibri;arial;sans-serif" w:hAnsi="calibri;arial;sans-serif"/>
          <w:b w:val="false"/>
          <w:i w:val="false"/>
          <w:caps w:val="false"/>
          <w:smallCaps w:val="false"/>
          <w:color w:val="000000"/>
          <w:sz w:val="16"/>
        </w:rPr>
        <w:t>​</w:t>
      </w:r>
      <w:bookmarkStart w:id="272" w:name="tS1NO"/>
      <w:bookmarkEnd w:id="272"/>
      <w:r>
        <w:rPr>
          <w:rFonts w:ascii="calibri;arial;sans-serif" w:hAnsi="calibri;arial;sans-serif"/>
          <w:b w:val="false"/>
          <w:i w:val="false"/>
          <w:caps w:val="false"/>
          <w:smallCaps w:val="false"/>
          <w:color w:val="000000"/>
          <w:sz w:val="16"/>
        </w:rPr>
        <w:t>​</w:t>
      </w:r>
      <w:bookmarkStart w:id="273" w:name="tS1EE"/>
      <w:bookmarkEnd w:id="273"/>
      <w:r>
        <w:rPr>
          <w:rFonts w:ascii="calibri;arial;sans-serif" w:hAnsi="calibri;arial;sans-serif"/>
          <w:b w:val="false"/>
          <w:i w:val="false"/>
          <w:caps w:val="false"/>
          <w:smallCaps w:val="false"/>
          <w:color w:val="000000"/>
          <w:sz w:val="16"/>
        </w:rPr>
        <w:t>​</w:t>
      </w:r>
      <w:bookmarkStart w:id="274" w:name="tS1TT"/>
      <w:bookmarkEnd w:id="274"/>
      <w:r>
        <w:rPr>
          <w:rFonts w:ascii="calibri;arial;sans-serif" w:hAnsi="calibri;arial;sans-serif"/>
          <w:b w:val="false"/>
          <w:i w:val="false"/>
          <w:caps w:val="false"/>
          <w:smallCaps w:val="false"/>
          <w:color w:val="000000"/>
          <w:sz w:val="16"/>
        </w:rPr>
        <w:t>​</w:t>
      </w:r>
      <w:bookmarkStart w:id="275" w:name="tS1NA"/>
      <w:bookmarkEnd w:id="27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10.1. </w:t>
      </w:r>
      <w:r>
        <w:rPr>
          <w:rFonts w:ascii="Arial;Helvetica;sans-serif" w:hAnsi="Arial;Helvetica;sans-serif"/>
          <w:b w:val="false"/>
          <w:i w:val="false"/>
          <w:caps w:val="false"/>
          <w:smallCaps w:val="false"/>
          <w:color w:val="000000"/>
          <w:sz w:val="20"/>
          <w:u w:val="single"/>
        </w:rPr>
        <w:t>Amendment and Modification; Waiver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(a) Subject to applicable Law and except as otherwise provided in this Agreement, this Agreement may be amended, modified and supplemented by written agreement of each of the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10.2. </w:t>
      </w:r>
      <w:r>
        <w:rPr>
          <w:rFonts w:ascii="Arial;Helvetica;sans-serif" w:hAnsi="Arial;Helvetica;sans-serif"/>
          <w:b w:val="false"/>
          <w:i w:val="false"/>
          <w:caps w:val="false"/>
          <w:smallCaps w:val="false"/>
          <w:color w:val="000000"/>
          <w:sz w:val="20"/>
          <w:u w:val="single"/>
        </w:rPr>
        <w:t>Non-Survival of Representations and Warranties</w:t>
      </w:r>
      <w:r>
        <w:rPr>
          <w:rFonts w:ascii="Arial;Helvetica;sans-serif" w:hAnsi="Arial;Helvetica;sans-serif"/>
          <w:b w:val="false"/>
          <w:i w:val="false"/>
          <w:caps w:val="false"/>
          <w:smallCaps w:val="false"/>
          <w:color w:val="000000"/>
          <w:sz w:val="20"/>
        </w:rPr>
        <w:t xml:space="preserve">. None of the representations and warranties in this Agreement or in any schedule, instrument or other document delivered pursuant to this Agreement shall survive the Effective Time. This </w:t>
      </w:r>
      <w:r>
        <w:rPr>
          <w:rFonts w:ascii="Arial;Helvetica;sans-serif" w:hAnsi="Arial;Helvetica;sans-serif"/>
          <w:b w:val="false"/>
          <w:i w:val="false"/>
          <w:caps w:val="false"/>
          <w:smallCaps w:val="false"/>
          <w:color w:val="000000"/>
          <w:sz w:val="20"/>
          <w:u w:val="single"/>
        </w:rPr>
        <w:t>Section 10.2</w:t>
      </w:r>
      <w:r>
        <w:rPr>
          <w:rFonts w:ascii="Arial;Helvetica;sans-serif" w:hAnsi="Arial;Helvetica;sans-serif"/>
          <w:b w:val="false"/>
          <w:i w:val="false"/>
          <w:caps w:val="false"/>
          <w:smallCaps w:val="false"/>
          <w:color w:val="000000"/>
          <w:sz w:val="20"/>
        </w:rPr>
        <w:t xml:space="preserve"> shall not limit any covenant or agreement of the Parties which by its terms contemplates performance after the Effective Time or termination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10.3. </w:t>
      </w:r>
      <w:r>
        <w:rPr>
          <w:rFonts w:ascii="Arial;Helvetica;sans-serif" w:hAnsi="Arial;Helvetica;sans-serif"/>
          <w:b w:val="false"/>
          <w:i w:val="false"/>
          <w:caps w:val="false"/>
          <w:smallCaps w:val="false"/>
          <w:color w:val="000000"/>
          <w:sz w:val="20"/>
          <w:u w:val="single"/>
        </w:rPr>
        <w:t>Expenses</w:t>
      </w:r>
      <w:r>
        <w:rPr>
          <w:rFonts w:ascii="Arial;Helvetica;sans-serif" w:hAnsi="Arial;Helvetica;sans-serif"/>
          <w:b w:val="false"/>
          <w:i w:val="false"/>
          <w:caps w:val="false"/>
          <w:smallCaps w:val="false"/>
          <w:color w:val="000000"/>
          <w:sz w:val="20"/>
        </w:rPr>
        <w:t>. Except as otherwise expressly provided in this Agreement, all costs and expenses incurred in connection with this Agreement and the Transactions shall be paid by the Party incurring such costs and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10.4. </w:t>
      </w:r>
      <w:r>
        <w:rPr>
          <w:rFonts w:ascii="Arial;Helvetica;sans-serif" w:hAnsi="Arial;Helvetica;sans-serif"/>
          <w:b w:val="false"/>
          <w:i w:val="false"/>
          <w:caps w:val="false"/>
          <w:smallCaps w:val="false"/>
          <w:color w:val="000000"/>
          <w:sz w:val="20"/>
          <w:u w:val="single"/>
        </w:rPr>
        <w:t>Transfer Taxes and Non-Resident Capital Gain Taxes</w:t>
      </w:r>
      <w:r>
        <w:rPr>
          <w:rFonts w:ascii="Arial;Helvetica;sans-serif" w:hAnsi="Arial;Helvetica;sans-serif"/>
          <w:b w:val="false"/>
          <w:i w:val="false"/>
          <w:caps w:val="false"/>
          <w:smallCaps w:val="false"/>
          <w:color w:val="000000"/>
          <w:sz w:val="20"/>
        </w:rPr>
        <w:t xml:space="preserve">. Subject to </w:t>
      </w:r>
      <w:r>
        <w:rPr>
          <w:rFonts w:ascii="Arial;Helvetica;sans-serif" w:hAnsi="Arial;Helvetica;sans-serif"/>
          <w:b w:val="false"/>
          <w:i w:val="false"/>
          <w:caps w:val="false"/>
          <w:smallCaps w:val="false"/>
          <w:color w:val="000000"/>
          <w:sz w:val="20"/>
          <w:u w:val="single"/>
        </w:rPr>
        <w:t>Section 3.2(b)(i)</w:t>
      </w:r>
      <w:r>
        <w:rPr>
          <w:rFonts w:ascii="Arial;Helvetica;sans-serif" w:hAnsi="Arial;Helvetica;sans-serif"/>
          <w:b w:val="false"/>
          <w:i w:val="false"/>
          <w:caps w:val="false"/>
          <w:smallCaps w:val="false"/>
          <w:color w:val="000000"/>
          <w:sz w:val="20"/>
        </w:rPr>
        <w:t>, any Transfer Taxes imposed in connection with the Transactions for which the Company or Parent is liable under applicable Tax Law shall be borne by the Company or Parent to the extent provided by applicable Tax Law. The Parties shall not file, or cause to be filed, any Tax Return or Ruling Request, in each case relating to Non-Resident Capital Gain Taxes imposed in connection with the Transactions, unless the Parties mutually agree in writing to make any such filing. If the Parties so consent, the Parties shall cooperate in good faith in preparing and filing any such Tax Return or Ruling Request, and no such Tax Return or Ruling Request shall be filed or submitted without each Party’s prior written consent. Neither Party shall seek guidance, directly or indirectly, from any Governmental Entity as to the Non-Resident Capital Gain Tax treatment of the Transactions without the prior written consent of the other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10.5. </w:t>
      </w:r>
      <w:r>
        <w:rPr>
          <w:rFonts w:ascii="Arial;Helvetica;sans-serif" w:hAnsi="Arial;Helvetica;sans-serif"/>
          <w:b w:val="false"/>
          <w:i w:val="false"/>
          <w:caps w:val="false"/>
          <w:smallCaps w:val="false"/>
          <w:color w:val="000000"/>
          <w:sz w:val="20"/>
          <w:u w:val="single"/>
        </w:rPr>
        <w:t>Notices</w:t>
      </w:r>
      <w:r>
        <w:rPr>
          <w:rFonts w:ascii="Arial;Helvetica;sans-serif" w:hAnsi="Arial;Helvetica;sans-serif"/>
          <w:b w:val="false"/>
          <w:i w:val="false"/>
          <w:caps w:val="false"/>
          <w:smallCaps w:val="false"/>
          <w:color w:val="000000"/>
          <w:sz w:val="20"/>
        </w:rPr>
        <w:t>. All notices and other communications hereunder shall be in writing and shall be deemed given if delivered personally (notice deemed given upon receipt),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to Parent, Merger Sub or Parent Topco,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MMS USA Holdings, Inc. </w:t>
        <w:br/>
        <w:t xml:space="preserve">133 avenue des Champs Elysées </w:t>
        <w:br/>
        <w:t xml:space="preserve">75008 Paris </w:t>
        <w:br/>
        <w:t>France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anne-gabrielle.heilbronner@publicisgroupe.com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016000" distR="0" simplePos="0" locked="0" layoutInCell="1" allowOverlap="1" relativeHeight="1147">
                <wp:simplePos x="0" y="0"/>
                <wp:positionH relativeFrom="column">
                  <wp:align>left</wp:align>
                </wp:positionH>
                <wp:positionV relativeFrom="line">
                  <wp:align>top</wp:align>
                </wp:positionV>
                <wp:extent cx="673100" cy="350520"/>
                <wp:effectExtent l="0" t="0" r="0" b="0"/>
                <wp:wrapSquare wrapText="right"/>
                <wp:docPr id="1144" name="Frame1104"/>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1pt;mso-wrap-distance-bottom:0pt;margin-top:1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Anne-Gabrielle Heilbronner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016000" distR="0" simplePos="0" locked="0" layoutInCell="1" allowOverlap="1" relativeHeight="1148">
                <wp:simplePos x="0" y="0"/>
                <wp:positionH relativeFrom="column">
                  <wp:align>left</wp:align>
                </wp:positionH>
                <wp:positionV relativeFrom="line">
                  <wp:align>top</wp:align>
                </wp:positionV>
                <wp:extent cx="673100" cy="350520"/>
                <wp:effectExtent l="0" t="0" r="0" b="0"/>
                <wp:wrapSquare wrapText="right"/>
                <wp:docPr id="1145" name="Frame1105"/>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1pt;mso-wrap-distance-bottom:0pt;margin-top:1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a copy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Wachtell, Lipton, Rosen &amp; Katz </w:t>
        <w:br/>
        <w:t xml:space="preserve">51 West 52nd Street </w:t>
        <w:br/>
        <w:t>New York, New York 10019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6" w:name="tS1IW"/>
      <w:bookmarkEnd w:id="276"/>
      <w:r>
        <w:rPr>
          <w:rFonts w:ascii="calibri;arial;sans-serif" w:hAnsi="calibri;arial;sans-serif"/>
          <w:b w:val="false"/>
          <w:i w:val="false"/>
          <w:caps w:val="false"/>
          <w:smallCaps w:val="false"/>
          <w:color w:val="000000"/>
          <w:sz w:val="16"/>
        </w:rPr>
        <w:t>​</w:t>
      </w:r>
      <w:bookmarkStart w:id="277" w:name="tS1CT"/>
      <w:bookmarkEnd w:id="2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AOEmmerich@wlrk.com </w:t>
        <w:br/>
        <w:t>HClark@wlrk.com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016000" distR="0" simplePos="0" locked="0" layoutInCell="1" allowOverlap="1" relativeHeight="1149">
                <wp:simplePos x="0" y="0"/>
                <wp:positionH relativeFrom="column">
                  <wp:align>left</wp:align>
                </wp:positionH>
                <wp:positionV relativeFrom="line">
                  <wp:posOffset>635</wp:posOffset>
                </wp:positionV>
                <wp:extent cx="673100" cy="350520"/>
                <wp:effectExtent l="0" t="0" r="0" b="0"/>
                <wp:wrapSquare wrapText="right"/>
                <wp:docPr id="1146" name="Frame1106"/>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pt;mso-wrap-distance-bottom:0pt;margin-top:0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Adam O. Emmerich </w:t>
        <w:br/>
        <w:t xml:space="preserve">Hannah Clark </w:t>
      </w:r>
      <w:r>
        <mc:AlternateContent>
          <mc:Choice Requires="wps">
            <w:drawing>
              <wp:anchor behindDoc="0" distT="11430" distB="0" distL="1016000" distR="0" simplePos="0" locked="0" layoutInCell="1" allowOverlap="1" relativeHeight="1150">
                <wp:simplePos x="0" y="0"/>
                <wp:positionH relativeFrom="column">
                  <wp:align>left</wp:align>
                </wp:positionH>
                <wp:positionV relativeFrom="line">
                  <wp:align>top</wp:align>
                </wp:positionV>
                <wp:extent cx="673100" cy="350520"/>
                <wp:effectExtent l="0" t="0" r="0" b="0"/>
                <wp:wrapSquare wrapText="right"/>
                <wp:docPr id="1147" name="Frame1107"/>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to the Company, to: </w:t>
      </w:r>
    </w:p>
    <w:p>
      <w:pPr>
        <w:pStyle w:val="TextBody"/>
        <w:bidi w:val="0"/>
        <w:spacing w:lineRule="atLeast" w:line="23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Holdings Inc. </w:t>
        <w:br/>
        <w:t xml:space="preserve">LiveRamp, Inc. </w:t>
        <w:br/>
        <w:t xml:space="preserve">225 Bush Street, 17th Floor </w:t>
        <w:br/>
        <w:t xml:space="preserve">San Francisco, CA 94104 </w:t>
        <w:br/>
        <w:t xml:space="preserve">USA </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lauren.dillard@liveramp.com </w:t>
        <w:br/>
        <w:t xml:space="preserve">jerry.jones@liveramp.com </w:t>
        <w:br/>
        <w:t xml:space="preserve">david.eisenberg@liveramp.com </w:t>
      </w:r>
      <w:r>
        <mc:AlternateContent>
          <mc:Choice Requires="wps">
            <w:drawing>
              <wp:anchor behindDoc="0" distT="11430" distB="0" distL="1016000" distR="0" simplePos="0" locked="0" layoutInCell="1" allowOverlap="1" relativeHeight="1151">
                <wp:simplePos x="0" y="0"/>
                <wp:positionH relativeFrom="column">
                  <wp:align>left</wp:align>
                </wp:positionH>
                <wp:positionV relativeFrom="line">
                  <wp:align>top</wp:align>
                </wp:positionV>
                <wp:extent cx="673100" cy="350520"/>
                <wp:effectExtent l="0" t="0" r="0" b="0"/>
                <wp:wrapSquare wrapText="right"/>
                <wp:docPr id="1148" name="Frame1108"/>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Lauren Dillard </w:t>
        <w:br/>
        <w:t xml:space="preserve">Jerry Jones </w:t>
        <w:br/>
        <w:t>David Eisenberg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2">
                <wp:simplePos x="0" y="0"/>
                <wp:positionH relativeFrom="column">
                  <wp:align>left</wp:align>
                </wp:positionH>
                <wp:positionV relativeFrom="line">
                  <wp:align>top</wp:align>
                </wp:positionV>
                <wp:extent cx="673100" cy="350520"/>
                <wp:effectExtent l="0" t="0" r="0" b="0"/>
                <wp:wrapSquare wrapText="right"/>
                <wp:docPr id="1149" name="Frame1109"/>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a copy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Sullivan &amp; Cromwell LLP </w:t>
        <w:br/>
        <w:t xml:space="preserve">550 Hamilton Avenue </w:t>
        <w:br/>
        <w:t xml:space="preserve">Palo Alto, California 94301 </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ringler@sullcrom.com </w:t>
        <w:br/>
        <w:t xml:space="preserve">jonesp@sullcrom.com </w:t>
        <w:br/>
        <w:t>traversg@sullcrom.com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3">
                <wp:simplePos x="0" y="0"/>
                <wp:positionH relativeFrom="column">
                  <wp:align>left</wp:align>
                </wp:positionH>
                <wp:positionV relativeFrom="line">
                  <wp:align>top</wp:align>
                </wp:positionV>
                <wp:extent cx="673100" cy="350520"/>
                <wp:effectExtent l="0" t="0" r="0" b="0"/>
                <wp:wrapSquare wrapText="right"/>
                <wp:docPr id="1150" name="Frame1110"/>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Mike Ringler </w:t>
        <w:br/>
        <w:t xml:space="preserve">Peter Jones </w:t>
        <w:br/>
        <w:t>Greg Travers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4">
                <wp:simplePos x="0" y="0"/>
                <wp:positionH relativeFrom="column">
                  <wp:align>left</wp:align>
                </wp:positionH>
                <wp:positionV relativeFrom="line">
                  <wp:align>top</wp:align>
                </wp:positionV>
                <wp:extent cx="673100" cy="350520"/>
                <wp:effectExtent l="0" t="0" r="0" b="0"/>
                <wp:wrapSquare wrapText="right"/>
                <wp:docPr id="1151" name="Frame1111"/>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10.6. </w:t>
      </w:r>
      <w:r>
        <w:rPr>
          <w:rFonts w:ascii="Arial;Helvetica;sans-serif" w:hAnsi="Arial;Helvetica;sans-serif"/>
          <w:b w:val="false"/>
          <w:i w:val="false"/>
          <w:caps w:val="false"/>
          <w:smallCaps w:val="false"/>
          <w:color w:val="000000"/>
          <w:sz w:val="20"/>
          <w:u w:val="single"/>
        </w:rPr>
        <w:t>Interpretation</w:t>
      </w:r>
      <w:r>
        <w:rPr>
          <w:rFonts w:ascii="Arial;Helvetica;sans-serif" w:hAnsi="Arial;Helvetica;sans-serif"/>
          <w:b w:val="false"/>
          <w:i w:val="false"/>
          <w:caps w:val="false"/>
          <w:smallCaps w:val="false"/>
          <w:color w:val="000000"/>
          <w:sz w:val="20"/>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If any action under this Agreement is required to be done or taken on a day that is not a Business Day, then such action shall be required to be done or taken on the first succeeding Business Day thereafter. Any Law defined or referred to herein or in any agreement or instrument that is referred to herein means such Law as from time to time amended, modified or supplemented, including (in the case of statutes) by succession of comparable successor Laws. Words describing the singular number shall be deemed to include the plural and vice versa, words denoting any gender shall be deemed to include all genders, and words denoting natural persons shall be deemed to include business entities and vice versa. The words “hereof”, “herein” and words of similar import shall, unless otherwise stated, be construed to refer to this Agreement as a whole and not to any particular provision of this Agreement. The word “dollars” or symbol “$” refers to U.S. dollars.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10.7. </w:t>
      </w:r>
      <w:r>
        <w:rPr>
          <w:rFonts w:ascii="Arial;Helvetica;sans-serif" w:hAnsi="Arial;Helvetica;sans-serif"/>
          <w:b w:val="false"/>
          <w:i w:val="false"/>
          <w:caps w:val="false"/>
          <w:smallCaps w:val="false"/>
          <w:color w:val="000000"/>
          <w:sz w:val="20"/>
          <w:u w:val="single"/>
        </w:rPr>
        <w:t>Counterparts</w:t>
      </w:r>
      <w:r>
        <w:rPr>
          <w:rFonts w:ascii="Arial;Helvetica;sans-serif" w:hAnsi="Arial;Helvetica;sans-serif"/>
          <w:b w:val="false"/>
          <w:i w:val="false"/>
          <w:caps w:val="false"/>
          <w:smallCaps w:val="false"/>
          <w:color w:val="000000"/>
          <w:sz w:val="20"/>
        </w:rPr>
        <w:t xml:space="preserve">. This Agreement may be executed manually or by electronic transmission by the Parties, in any number of counterparts, each of which shall be considered one and the same agreement and shall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8" w:name="tS1EA"/>
      <w:bookmarkEnd w:id="278"/>
      <w:r>
        <w:rPr>
          <w:rFonts w:ascii="calibri;arial;sans-serif" w:hAnsi="calibri;arial;sans-serif"/>
          <w:b w:val="false"/>
          <w:i w:val="false"/>
          <w:caps w:val="false"/>
          <w:smallCaps w:val="false"/>
          <w:color w:val="000000"/>
          <w:sz w:val="16"/>
        </w:rPr>
        <w:t>​</w:t>
      </w:r>
      <w:bookmarkStart w:id="279" w:name="tS1SI"/>
      <w:bookmarkEnd w:id="279"/>
      <w:r>
        <w:rPr>
          <w:rFonts w:ascii="calibri;arial;sans-serif" w:hAnsi="calibri;arial;sans-serif"/>
          <w:b w:val="false"/>
          <w:i w:val="false"/>
          <w:caps w:val="false"/>
          <w:smallCaps w:val="false"/>
          <w:color w:val="000000"/>
          <w:sz w:val="16"/>
        </w:rPr>
        <w:t>​</w:t>
      </w:r>
      <w:bookmarkStart w:id="280" w:name="tS1GL"/>
      <w:bookmarkEnd w:id="280"/>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become effective when a counterpart hereof shall have been signed by each of the Parties and delivered to the other Parties. The exchange of a fully executed Agreement (in counterparts or otherwise) by electronic transmission in .pdf format shall be sufficient to bind the Parties to the terms and conditions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10.8. </w:t>
      </w:r>
      <w:r>
        <w:rPr>
          <w:rFonts w:ascii="Arial;Helvetica;sans-serif" w:hAnsi="Arial;Helvetica;sans-serif"/>
          <w:b w:val="false"/>
          <w:i w:val="false"/>
          <w:caps w:val="false"/>
          <w:smallCaps w:val="false"/>
          <w:color w:val="000000"/>
          <w:sz w:val="20"/>
          <w:u w:val="single"/>
        </w:rPr>
        <w:t>Entire Agreement; Third-Party Beneficiaries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Parent and Merger Sub shall be permitted to take the actions contemplated by this Agreement) and understandings, both written and oral, among the Parties or any of them with respect to the subject matter hereof and thereof. Notwithstanding the foregoing, (i) if the Closing occurs, the holders of Company Common Stock and Company Equity Awards shall be third party beneficiaries of the right to receive the applicable Merger Consideration as set forth in </w:t>
      </w:r>
      <w:r>
        <w:rPr>
          <w:rFonts w:ascii="Arial;Helvetica;sans-serif" w:hAnsi="Arial;Helvetica;sans-serif"/>
          <w:b w:val="false"/>
          <w:i w:val="false"/>
          <w:caps w:val="false"/>
          <w:smallCaps w:val="false"/>
          <w:color w:val="000000"/>
          <w:sz w:val="20"/>
          <w:u w:val="single"/>
        </w:rPr>
        <w:t>Article II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in each case after the Effective Time and (ii) if the Closing does not occur, the Company shall have the right, pursuant to Section 261(a)(2) of the DGCL, as representative on behalf of holders of Company Common Stock and Company Equity Awards, to pursue claims for damages for any Fraud or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w:t>
      </w:r>
      <w:r>
        <w:rPr>
          <w:rFonts w:ascii="Arial;Helvetica;sans-serif" w:hAnsi="Arial;Helvetica;sans-serif"/>
          <w:b w:val="false"/>
          <w:i w:val="false"/>
          <w:caps w:val="false"/>
          <w:smallCaps w:val="false"/>
          <w:color w:val="000000"/>
          <w:sz w:val="20"/>
          <w:u w:val="single"/>
        </w:rPr>
        <w:t>Article II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as applicable, including loss of premium offered to such holders, in each case, pursuant to Section 261(a)(1) of the DGCL), in each case, pursuant to and in accordance with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or Company Equity Awards of record as of any date determined by the Company or (y) retained by the Company for the use and benefit of the Company on behalf of the holders of Company Common Stock and Company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(b) Except for clauses (i) and (ii) of </w:t>
      </w:r>
      <w:r>
        <w:rPr>
          <w:rFonts w:ascii="Arial;Helvetica;sans-serif" w:hAnsi="Arial;Helvetica;sans-serif"/>
          <w:b w:val="false"/>
          <w:i w:val="false"/>
          <w:caps w:val="false"/>
          <w:smallCaps w:val="false"/>
          <w:color w:val="000000"/>
          <w:sz w:val="20"/>
          <w:u w:val="single"/>
        </w:rPr>
        <w:t>Section 10.8(a)</w:t>
      </w:r>
      <w:r>
        <w:rPr>
          <w:rFonts w:ascii="Arial;Helvetica;sans-serif" w:hAnsi="Arial;Helvetica;sans-serif"/>
          <w:b w:val="false"/>
          <w:i w:val="false"/>
          <w:caps w:val="false"/>
          <w:smallCaps w:val="false"/>
          <w:color w:val="000000"/>
          <w:sz w:val="20"/>
        </w:rPr>
        <w:t xml:space="preserve">, and as provided in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(which is for the benefit of the Indemnified Parties), nothing in this Agreement (including the Company Disclosure Letter and the Parent Disclosure Letter) or in the Confidentiality Agreement, express or implied, is intended to confer upon any Person other than the Parties any rights or remedies hereunder or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10.9. </w:t>
      </w:r>
      <w:r>
        <w:rPr>
          <w:rFonts w:ascii="Arial;Helvetica;sans-serif" w:hAnsi="Arial;Helvetica;sans-serif"/>
          <w:b w:val="false"/>
          <w:i w:val="false"/>
          <w:caps w:val="false"/>
          <w:smallCaps w:val="false"/>
          <w:color w:val="000000"/>
          <w:sz w:val="20"/>
          <w:u w:val="single"/>
        </w:rPr>
        <w:t>Severability</w:t>
      </w:r>
      <w:r>
        <w:rPr>
          <w:rFonts w:ascii="Arial;Helvetica;sans-serif" w:hAnsi="Arial;Helvetica;sans-serif"/>
          <w:b w:val="false"/>
          <w:i w:val="false"/>
          <w:caps w:val="false"/>
          <w:smallCaps w:val="false"/>
          <w:color w:val="000000"/>
          <w:sz w:val="20"/>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is fulfilled to the extent possible.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10.10. </w:t>
      </w:r>
      <w:r>
        <w:rPr>
          <w:rFonts w:ascii="Arial;Helvetica;sans-serif" w:hAnsi="Arial;Helvetica;sans-serif"/>
          <w:b w:val="false"/>
          <w:i w:val="false"/>
          <w:caps w:val="false"/>
          <w:smallCaps w:val="false"/>
          <w:color w:val="000000"/>
          <w:sz w:val="20"/>
          <w:u w:val="single"/>
        </w:rPr>
        <w:t>Governing Law; Jurisdiction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(a) This Agreement, and all claims, causes of action (whether in contract, tort or statute) or other matters that may directly or indirectly result from, arise out of, be in connection with or relating to this Agreement or the other agreements delivered in connection herewith, or the execution or performance of this Agreement or such other agreements, or the Merger or the other Transactions (the “</w:t>
      </w:r>
      <w:r>
        <w:rPr>
          <w:rFonts w:ascii="Arial;Helvetica;sans-serif" w:hAnsi="Arial;Helvetica;sans-serif"/>
          <w:b w:val="false"/>
          <w:i w:val="false"/>
          <w:caps w:val="false"/>
          <w:smallCaps w:val="false"/>
          <w:color w:val="000000"/>
          <w:sz w:val="20"/>
          <w:u w:val="single"/>
        </w:rPr>
        <w:t>Relevant Matters</w:t>
      </w:r>
      <w:r>
        <w:rPr>
          <w:rFonts w:ascii="Arial;Helvetica;sans-serif" w:hAnsi="Arial;Helvetica;sans-serif"/>
          <w:b w:val="false"/>
          <w:i w:val="false"/>
          <w:caps w:val="false"/>
          <w:smallCaps w:val="false"/>
          <w:color w:val="000000"/>
          <w:sz w:val="20"/>
        </w:rPr>
        <w:t>”) shall be governed by, and construed in accordance with, the Laws of the State of Delaware, without giving effect to conflicts of laws principles that would result in the application of the Law of any other state or other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1" w:name="tS1WO"/>
      <w:bookmarkEnd w:id="281"/>
      <w:r>
        <w:rPr>
          <w:rFonts w:ascii="calibri;arial;sans-serif" w:hAnsi="calibri;arial;sans-serif"/>
          <w:b w:val="false"/>
          <w:i w:val="false"/>
          <w:caps w:val="false"/>
          <w:smallCaps w:val="false"/>
          <w:color w:val="000000"/>
          <w:sz w:val="16"/>
        </w:rPr>
        <w:t>​</w:t>
      </w:r>
      <w:bookmarkStart w:id="282" w:name="tS1AN"/>
      <w:bookmarkEnd w:id="282"/>
      <w:r>
        <w:rPr>
          <w:rFonts w:ascii="calibri;arial;sans-serif" w:hAnsi="calibri;arial;sans-serif"/>
          <w:b w:val="false"/>
          <w:i w:val="false"/>
          <w:caps w:val="false"/>
          <w:smallCaps w:val="false"/>
          <w:color w:val="000000"/>
          <w:sz w:val="16"/>
        </w:rPr>
        <w:t>​</w:t>
      </w:r>
      <w:bookmarkStart w:id="283" w:name="tS1ER"/>
      <w:bookmarkEnd w:id="283"/>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and unconditionally consents to service of process inside or outside the territorial jurisdiction of the courts referred to in this </w:t>
      </w:r>
      <w:r>
        <w:rPr>
          <w:rFonts w:ascii="Arial;Helvetica;sans-serif" w:hAnsi="Arial;Helvetica;sans-serif"/>
          <w:b w:val="false"/>
          <w:i w:val="false"/>
          <w:caps w:val="false"/>
          <w:smallCaps w:val="false"/>
          <w:color w:val="000000"/>
          <w:sz w:val="20"/>
          <w:u w:val="single"/>
        </w:rPr>
        <w:t>Section 10.10(b)</w:t>
      </w:r>
      <w:r>
        <w:rPr>
          <w:rFonts w:ascii="Arial;Helvetica;sans-serif" w:hAnsi="Arial;Helvetica;sans-serif"/>
          <w:b w:val="false"/>
          <w:i w:val="false"/>
          <w:caps w:val="false"/>
          <w:smallCaps w:val="false"/>
          <w:color w:val="000000"/>
          <w:sz w:val="20"/>
        </w:rPr>
        <w:t xml:space="preserve"> in the manner provided for notices in </w:t>
      </w:r>
      <w:r>
        <w:rPr>
          <w:rFonts w:ascii="Arial;Helvetica;sans-serif" w:hAnsi="Arial;Helvetica;sans-serif"/>
          <w:b w:val="false"/>
          <w:i w:val="false"/>
          <w:caps w:val="false"/>
          <w:smallCaps w:val="false"/>
          <w:color w:val="000000"/>
          <w:sz w:val="20"/>
          <w:u w:val="single"/>
        </w:rPr>
        <w:t>Section 10.5</w:t>
      </w:r>
      <w:r>
        <w:rPr>
          <w:rFonts w:ascii="Arial;Helvetica;sans-serif" w:hAnsi="Arial;Helvetica;sans-serif"/>
          <w:b w:val="false"/>
          <w:i w:val="false"/>
          <w:caps w:val="false"/>
          <w:smallCaps w:val="false"/>
          <w:color w:val="000000"/>
          <w:sz w:val="20"/>
        </w:rPr>
        <w:t>. Nothing in this Agreement will affect the right of any Party to this Agreement to serve process in any other manner permitted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10.11. </w:t>
      </w:r>
      <w:r>
        <w:rPr>
          <w:rFonts w:ascii="Arial;Helvetica;sans-serif" w:hAnsi="Arial;Helvetica;sans-serif"/>
          <w:b w:val="false"/>
          <w:i w:val="false"/>
          <w:caps w:val="false"/>
          <w:smallCaps w:val="false"/>
          <w:color w:val="000000"/>
          <w:sz w:val="20"/>
          <w:u w:val="single"/>
        </w:rPr>
        <w:t>Waiver of Jury Trial</w:t>
      </w:r>
      <w:r>
        <w:rPr>
          <w:rFonts w:ascii="Arial;Helvetica;sans-serif" w:hAnsi="Arial;Helvetica;sans-serif"/>
          <w:b w:val="false"/>
          <w:i w:val="false"/>
          <w:caps w:val="false"/>
          <w:smallCaps w:val="false"/>
          <w:color w:val="000000"/>
          <w:sz w:val="20"/>
        </w:rPr>
        <w:t xml:space="preserve">. EACH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Helvetica;sans-serif" w:hAnsi="Arial;Helvetica;sans-serif"/>
          <w:b w:val="false"/>
          <w:i w:val="false"/>
          <w:caps w:val="false"/>
          <w:smallCaps w:val="false"/>
          <w:color w:val="000000"/>
          <w:sz w:val="20"/>
          <w:u w:val="single"/>
        </w:rPr>
        <w:t>SECTION 10.11</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10.12. </w:t>
      </w:r>
      <w:r>
        <w:rPr>
          <w:rFonts w:ascii="Arial;Helvetica;sans-serif" w:hAnsi="Arial;Helvetica;sans-serif"/>
          <w:b w:val="false"/>
          <w:i w:val="false"/>
          <w:caps w:val="false"/>
          <w:smallCaps w:val="false"/>
          <w:color w:val="000000"/>
          <w:sz w:val="20"/>
          <w:u w:val="single"/>
        </w:rPr>
        <w:t>Assignment</w:t>
      </w:r>
      <w:r>
        <w:rPr>
          <w:rFonts w:ascii="Arial;Helvetica;sans-serif" w:hAnsi="Arial;Helvetica;sans-serif"/>
          <w:b w:val="false"/>
          <w:i w:val="false"/>
          <w:caps w:val="false"/>
          <w:smallCaps w:val="false"/>
          <w:color w:val="000000"/>
          <w:sz w:val="20"/>
        </w:rPr>
        <w:t>. Neither this Agreement, nor any of the rights, interests or obligations hereunder, shall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permitted assigns.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10.13. </w:t>
      </w:r>
      <w:r>
        <w:rPr>
          <w:rFonts w:ascii="Arial;Helvetica;sans-serif" w:hAnsi="Arial;Helvetica;sans-serif"/>
          <w:b w:val="false"/>
          <w:i w:val="false"/>
          <w:caps w:val="false"/>
          <w:smallCaps w:val="false"/>
          <w:color w:val="000000"/>
          <w:sz w:val="20"/>
          <w:u w:val="single"/>
        </w:rPr>
        <w:t>Enforcement; Remedies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Arial;Helvetica;sans-serif" w:hAnsi="Arial;Helvetica;sans-serif"/>
          <w:b w:val="false"/>
          <w:i w:val="false"/>
          <w:caps w:val="false"/>
          <w:smallCaps w:val="false"/>
          <w:color w:val="000000"/>
          <w:sz w:val="20"/>
          <w:u w:val="single"/>
        </w:rPr>
        <w:t>Article IX</w:t>
      </w:r>
      <w:r>
        <w:rPr>
          <w:rFonts w:ascii="Arial;Helvetica;sans-serif" w:hAnsi="Arial;Helvetica;sans-serif"/>
          <w:b w:val="false"/>
          <w:i w:val="false"/>
          <w:caps w:val="false"/>
          <w:smallCaps w:val="false"/>
          <w:color w:val="000000"/>
          <w:sz w:val="20"/>
        </w:rPr>
        <w:t>, each Party shall be entitled to an injunction or injunctions to prevent or remedy any breaches or threatened breaches of this Agreement by any other Party, to a decree or order of specific performance specifically enforcing the terms and provisions of this Agreement (including the Parties’ obligations to consummate the Merger and the other Transactions) and to any further equitable relief.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(c) The Parties’ rights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are an integral part of the Transactions and each Party hereby waives any objections to any remedy referred to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such Party shall not be required to obtain, furnish, post or provide any bond or other security in connection with or as a condition to obtaining any such remedy.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former, current or future holders of any equity, controlling persons, directors, officers, agents and attorneys, affiliates (other than Parent as an affiliate of Merger Sub or Merger Sub as an affiliate of Parent), Representatives, members, managers, general or limited partners, stockholders or assignees of any of the Company, Parent or Merger Sub shall have any liability for any obligations or liabilities of the Parties to this Agreement or for any claim (whether in tort, contract or otherwise)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4" w:name="tS1PT"/>
      <w:bookmarkEnd w:id="28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in respect of, or by reason of, the transactions contemplated hereby or in respect of any oral representations made or alleged to be made in connection herewith;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this </w:t>
      </w:r>
      <w:r>
        <w:rPr>
          <w:rFonts w:ascii="Arial;Helvetica;sans-serif" w:hAnsi="Arial;Helvetica;sans-serif"/>
          <w:b w:val="false"/>
          <w:i w:val="false"/>
          <w:caps w:val="false"/>
          <w:smallCaps w:val="false"/>
          <w:color w:val="000000"/>
          <w:sz w:val="20"/>
          <w:u w:val="single"/>
        </w:rPr>
        <w:t>Section 10.13(c)</w:t>
      </w:r>
      <w:r>
        <w:rPr>
          <w:rFonts w:ascii="Arial;Helvetica;sans-serif" w:hAnsi="Arial;Helvetica;sans-serif"/>
          <w:b w:val="false"/>
          <w:i w:val="false"/>
          <w:caps w:val="false"/>
          <w:smallCaps w:val="false"/>
          <w:color w:val="000000"/>
          <w:sz w:val="20"/>
        </w:rPr>
        <w:t xml:space="preserve"> shall not limit claims for Fraud.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10.14. </w:t>
      </w:r>
      <w:r>
        <w:rPr>
          <w:rFonts w:ascii="Arial;Helvetica;sans-serif" w:hAnsi="Arial;Helvetica;sans-serif"/>
          <w:b w:val="false"/>
          <w:i w:val="false"/>
          <w:caps w:val="false"/>
          <w:smallCaps w:val="false"/>
          <w:color w:val="000000"/>
          <w:sz w:val="20"/>
          <w:u w:val="single"/>
        </w:rPr>
        <w:t>Parent Topco Guarantee</w:t>
      </w:r>
      <w:r>
        <w:rPr>
          <w:rFonts w:ascii="Arial;Helvetica;sans-serif" w:hAnsi="Arial;Helvetica;sans-serif"/>
          <w:b w:val="false"/>
          <w:i w:val="false"/>
          <w:caps w:val="false"/>
          <w:smallCaps w:val="false"/>
          <w:color w:val="000000"/>
          <w:sz w:val="20"/>
        </w:rPr>
        <w:t xml:space="preserve">. Parent Topco hereby guarantees to the Company the full and timely performance of all of the obligations of Parent under this Agreement, including the payment obligations of Parent pursuant to </w:t>
      </w:r>
      <w:r>
        <w:rPr>
          <w:rFonts w:ascii="Arial;Helvetica;sans-serif" w:hAnsi="Arial;Helvetica;sans-serif"/>
          <w:b w:val="false"/>
          <w:i w:val="false"/>
          <w:caps w:val="false"/>
          <w:smallCaps w:val="false"/>
          <w:color w:val="000000"/>
          <w:sz w:val="20"/>
          <w:u w:val="single"/>
        </w:rPr>
        <w:t>Section 3.1(a)</w:t>
      </w:r>
      <w:r>
        <w:rPr>
          <w:rFonts w:ascii="Arial;Helvetica;sans-serif" w:hAnsi="Arial;Helvetica;sans-serif"/>
          <w:b w:val="false"/>
          <w:i w:val="false"/>
          <w:caps w:val="false"/>
          <w:smallCaps w:val="false"/>
          <w:color w:val="000000"/>
          <w:sz w:val="20"/>
        </w:rPr>
        <w:t xml:space="preserve"> (collectively, the “Guaranteed Obligations”). This is a guarantee of performance, and not merely of collection, and Parent Topco acknowledges and agrees that this guarantee is full and unconditional, and no amendment, modification, release or extinguishment of Parent’s obligations or liabilities, whether by decree in any bankruptcy proceeding or otherwise, shall affect the continuing validity and enforceability of this guarantee. Parent Topco hereby waives, for the benefit of the Company, (a) any right to require the Company, as a condition of performance by Parent Topco, to proceed in any action against Parent or pursue any other remedies whatsoever and (b) any defenses or benefits that may be derived from or afforded by any Law that limit the liability of or exonerate guarantors or sureties, other than defense of performance in full of the Guaranteed Obligations. If all or any part of any payment to or for the benefit of the Company in respect of a Guaranteed Obligation is invalidated, declared to be fraudulent or preferential or set aside and, in each such case, required for any reason to be repaid or paid to a trustee, receiver or other third party, the Guaranteed Obligations that otherwise would have been satisfied by that payment or partial payment will be revived and will continue in full force and effect as if that payment had not been made. Parent Topco understands and acknowledges that the Company is relying on this guarantee and the representations and warranties set forth in the immediately following sentence in entering into this Agreement. Parent Topco hereby represents and warrants that (i) it has full power and authority to execute and deliver this Agreement (solely for the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to carry out its obligations hereunder and make any payments required to be made hereby, (ii) the execution and delivery by Parent Topco of this Agreement (solely for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and the performance by Parent Topco of its obligations hereunder, have been duly authorized by all requisite corporate action on the part of Parent Topco and (iii) this Agreement has been duly executed and delivered by Parent Topco (solely for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and constitutes a legal, valid and binding obligation of Parent Topco, enforceable against Parent Topco in accordance with its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(Remainder of Page Intentionally Left Blank)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IN WITNESS WHEREOF, Parent, Merger Sub and the Company have caused this Agreement to be signed by their respective officers thereunto duly authorized as of the date first written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MMS USA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Robert W. Vyverberg</w:t>
      </w:r>
      <w:r>
        <mc:AlternateContent>
          <mc:Choice Requires="wps">
            <w:drawing>
              <wp:anchor behindDoc="0" distT="101600" distB="0" distL="3048000" distR="0" simplePos="0" locked="0" layoutInCell="1" allowOverlap="1" relativeHeight="1155">
                <wp:simplePos x="0" y="0"/>
                <wp:positionH relativeFrom="column">
                  <wp:align>left</wp:align>
                </wp:positionH>
                <wp:positionV relativeFrom="line">
                  <wp:align>top</wp:align>
                </wp:positionV>
                <wp:extent cx="254000" cy="350520"/>
                <wp:effectExtent l="0" t="0" r="0" b="0"/>
                <wp:wrapSquare wrapText="right"/>
                <wp:docPr id="1152" name="Frame1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pPr>
                      <w:r>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Name: Robert W. Vyverberg </w:t>
        <w:br/>
        <w:t>Title:  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COVEY MERGER SUB,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Tom J. Caffrey </w:t>
      </w:r>
      <w:r>
        <mc:AlternateContent>
          <mc:Choice Requires="wps">
            <w:drawing>
              <wp:anchor behindDoc="0" distT="101600" distB="0" distL="3048000" distR="0" simplePos="0" locked="0" layoutInCell="1" allowOverlap="1" relativeHeight="1156">
                <wp:simplePos x="0" y="0"/>
                <wp:positionH relativeFrom="column">
                  <wp:align>left</wp:align>
                </wp:positionH>
                <wp:positionV relativeFrom="line">
                  <wp:align>top</wp:align>
                </wp:positionV>
                <wp:extent cx="254000" cy="350520"/>
                <wp:effectExtent l="0" t="0" r="0" b="0"/>
                <wp:wrapSquare wrapText="right"/>
                <wp:docPr id="1153" name="Frame1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pPr>
                      <w:r>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Name: Tom J. Caffrey </w:t>
        <w:br/>
        <w:t>Title:   President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[Signature Page to Agreement and Plan of Merger]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874"/>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Scott Howe </w:t>
      </w:r>
      <w:r>
        <mc:AlternateContent>
          <mc:Choice Requires="wps">
            <w:drawing>
              <wp:anchor behindDoc="0" distT="101600" distB="0" distL="3048000" distR="0" simplePos="0" locked="0" layoutInCell="1" allowOverlap="1" relativeHeight="1157">
                <wp:simplePos x="0" y="0"/>
                <wp:positionH relativeFrom="column">
                  <wp:align>left</wp:align>
                </wp:positionH>
                <wp:positionV relativeFrom="line">
                  <wp:align>top</wp:align>
                </wp:positionV>
                <wp:extent cx="254000" cy="304800"/>
                <wp:effectExtent l="0" t="0" r="0" b="0"/>
                <wp:wrapSquare wrapText="right"/>
                <wp:docPr id="1154" name="Frame1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Name: Scott Howe </w:t>
        <w:br/>
        <w:t>Title:  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[Signature Page to Agreement and Plan of Merger]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 xml:space="preserve">PUBLICIS GROUPE S.A. </w:t>
      </w:r>
      <w:r>
        <w:rPr>
          <w:rFonts w:ascii="Arial;Helvetica;sans-serif" w:hAnsi="Arial;Helvetica;sans-serif"/>
          <w:b w:val="false"/>
          <w:i w:val="false"/>
          <w:caps w:val="false"/>
          <w:smallCaps w:val="false"/>
          <w:color w:val="000000"/>
          <w:sz w:val="20"/>
        </w:rPr>
        <w:br/>
        <w:t xml:space="preserve">(solely for the purposes of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Arthur Sadoun </w:t>
      </w:r>
      <w:r>
        <mc:AlternateContent>
          <mc:Choice Requires="wps">
            <w:drawing>
              <wp:anchor behindDoc="0" distT="101600" distB="0" distL="3048000" distR="0" simplePos="0" locked="0" layoutInCell="1" allowOverlap="1" relativeHeight="1158">
                <wp:simplePos x="0" y="0"/>
                <wp:positionH relativeFrom="column">
                  <wp:align>left</wp:align>
                </wp:positionH>
                <wp:positionV relativeFrom="line">
                  <wp:align>top</wp:align>
                </wp:positionV>
                <wp:extent cx="254000" cy="304800"/>
                <wp:effectExtent l="0" t="0" r="0" b="0"/>
                <wp:wrapSquare wrapText="right"/>
                <wp:docPr id="1155" name="Frame111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Name: Arthur Sadoun </w:t>
        <w:br/>
        <w:t>Title:   Chairman and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[Signature Page to Agreement and Plan of Merger]</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A-A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Surviving Company Certificate of Incorporation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CERTIFICATE OF INCORPORATION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the undersigned, for the purpose of incorporating and organizing a corporation under the General Corporation Law of the State of Delaware, do hereby execute this Certificate of Incorporation and do hereby certify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name of the corporation is LiveRamp Holdings, Inc. (the “</w:t>
      </w:r>
      <w:r>
        <w:rPr>
          <w:rFonts w:ascii="Arial;Helvetica;sans-serif" w:hAnsi="Arial;Helvetica;sans-serif"/>
          <w:b w:val="false"/>
          <w:i w:val="false"/>
          <w:caps w:val="false"/>
          <w:smallCaps w:val="false"/>
          <w:color w:val="000000"/>
          <w:sz w:val="20"/>
          <w:u w:val="single"/>
        </w:rPr>
        <w:t>Corporation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address, including street, number, city, and county, of the registered office of the Corporation in the State of Delaware is The Corporation Trust Company, 1209 Orange Street, City of Wilmington, County of New Castle, State of Delaware 19801; and the name of the registered agent of the Corporation in the State of Delaware at such address is the Corporation Trust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purpose of the Corporation shall be to engage in any lawful act or activity for which corporations may be organized and incorporated under the General Corporation Law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1. The Corporation shall be authorized to issue 1,000 shares of capital stock, all of which 1,000 shares shall be shares of common stock, par value $0.001 per share (the “</w:t>
      </w:r>
      <w:r>
        <w:rPr>
          <w:rFonts w:ascii="Arial;Helvetica;sans-serif" w:hAnsi="Arial;Helvetica;sans-serif"/>
          <w:b w:val="false"/>
          <w:i w:val="false"/>
          <w:caps w:val="false"/>
          <w:smallCaps w:val="false"/>
          <w:color w:val="000000"/>
          <w:sz w:val="20"/>
          <w:u w:val="single"/>
        </w:rPr>
        <w:t>Common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one or more directors may be removed, with or without cause, by the vote or written consent of the holders of a majority of the issued and outstanding shares of capital stock of the Corporation entitled to be voted in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In furtherance and not in limitation of those powers conferred by law, the board of directors of the Corporation (the “</w:t>
      </w:r>
      <w:r>
        <w:rPr>
          <w:rFonts w:ascii="Arial;Helvetica;sans-serif" w:hAnsi="Arial;Helvetica;sans-serif"/>
          <w:b w:val="false"/>
          <w:i w:val="false"/>
          <w:caps w:val="false"/>
          <w:smallCaps w:val="false"/>
          <w:color w:val="000000"/>
          <w:sz w:val="20"/>
          <w:u w:val="single"/>
        </w:rPr>
        <w:t>Board</w:t>
      </w:r>
      <w:r>
        <w:rPr>
          <w:rFonts w:ascii="Arial;Helvetica;sans-serif" w:hAnsi="Arial;Helvetica;sans-serif"/>
          <w:b w:val="false"/>
          <w:i w:val="false"/>
          <w:caps w:val="false"/>
          <w:smallCaps w:val="false"/>
          <w:color w:val="000000"/>
          <w:sz w:val="20"/>
        </w:rPr>
        <w:t>”) is expressly authorized and empowered to make, alter and repeal the by-laws of the Corporation (the “</w:t>
      </w:r>
      <w:r>
        <w:rPr>
          <w:rFonts w:ascii="Arial;Helvetica;sans-serif" w:hAnsi="Arial;Helvetica;sans-serif"/>
          <w:b w:val="false"/>
          <w:i w:val="false"/>
          <w:caps w:val="false"/>
          <w:smallCaps w:val="false"/>
          <w:color w:val="000000"/>
          <w:sz w:val="20"/>
          <w:u w:val="single"/>
        </w:rPr>
        <w:t>By-Laws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A-A-1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whomsoever by and pursuant to this Certificate of Incorporation in its present form or as hereafter amended are granted subject to the right reserved in this Article.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director or officer of the Corporation shall not be personally liable to the Corporation or its stockholders for monetary damages for breach of fiduciary duty as a director or officer, as applicable, except to the extent such exemption from liability, or limitation thereof, is not permitted under the General Corporation Law of the State of Delaware. If the General Corporation Law of the State of Delaware is hereafter amended to authorize corporate action further eliminating or limiting the personal liability of directors or officers, as applicable, then the liability of a director or officer, as applicable, shall be eliminated or limited to the fullest extent permitted by the General Corporation Law of the State of Delaware, as so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repeal or modification of the foregoing provisions of this Article IX by the stockholders shall not adversely affect any right or protection of a director or officer of the Corporation existing at the time of such repeal or modification.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person who was or is a party or is threatened to be a party to any threatened, pending or completed action, suit or proceeding, whether civil, criminal, administrative or investigative (including any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the laws of the State of Delaware, against expenses (including the attorneys’ fees), judgments, fines and amounts paid in settlement, actually and reasonably incurred by him, in connection with the defense or settlement of such action, suit, investigation or proceeding. The indemnification expressly provided by statute in a specific case shall not be deemed exclusive of any other rights to which any person indemnified may be entitled under any lawful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A-A-2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601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A-B</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Surviving Company Bylaws</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BY-LAWS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of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dated as of  [           ]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5" w:name="TOC12"/>
      <w:bookmarkEnd w:id="28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10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ABLE OF</w:t>
      </w:r>
      <w:r>
        <w:rPr>
          <w:rFonts w:ascii="Arial;Helvetica;sans-serif" w:hAnsi="Arial;Helvetica;sans-serif"/>
          <w:b/>
          <w:i w:val="false"/>
          <w:caps w:val="false"/>
          <w:smallCaps w:val="false"/>
          <w:color w:val="000000"/>
          <w:sz w:val="40"/>
        </w:rPr>
        <w:t xml:space="preserve"> 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7928"/>
        <w:gridCol w:w="109"/>
        <w:gridCol w:w="109"/>
        <w:gridCol w:w="109"/>
        <w:gridCol w:w="109"/>
        <w:gridCol w:w="77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1">
              <w:r>
                <w:rPr>
                  <w:rStyle w:val="InternetLink"/>
                </w:rPr>
                <w:t xml:space="preserve">ARTICLE I OFFICES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1">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RO">
              <w:r>
                <w:rPr>
                  <w:rStyle w:val="InternetLink"/>
                </w:rPr>
                <w:t xml:space="preserve">SECTION 1. REGISTERED OFFICE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RO">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OO">
              <w:r>
                <w:rPr>
                  <w:rStyle w:val="InternetLink"/>
                </w:rPr>
                <w:t xml:space="preserve">SECTION 2. OTHER OFFICES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OO">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II2">
              <w:r>
                <w:rPr>
                  <w:rStyle w:val="InternetLink"/>
                </w:rPr>
                <w:t xml:space="preserve">ARTICLE II MEETINGS OF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II2">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AM">
              <w:r>
                <w:rPr>
                  <w:rStyle w:val="InternetLink"/>
                </w:rPr>
                <w:t xml:space="preserve">SECTION 1. ANNUAL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AM">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SM">
              <w:r>
                <w:rPr>
                  <w:rStyle w:val="InternetLink"/>
                </w:rPr>
                <w:t xml:space="preserve">SECTION 2. SPECIAL MEETINGS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SM">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VE">
              <w:r>
                <w:rPr>
                  <w:rStyle w:val="InternetLink"/>
                </w:rPr>
                <w:t xml:space="preserve">SECTION 3. VOTING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VE">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QE">
              <w:r>
                <w:rPr>
                  <w:rStyle w:val="InternetLink"/>
                </w:rPr>
                <w:t xml:space="preserve">SECTION 4. QUORUM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QE">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5NO1">
              <w:r>
                <w:rPr>
                  <w:rStyle w:val="InternetLink"/>
                </w:rPr>
                <w:t xml:space="preserve">SECTION 5. NOTICE OF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5NO1">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6AW">
              <w:r>
                <w:rPr>
                  <w:rStyle w:val="InternetLink"/>
                </w:rPr>
                <w:t xml:space="preserve">SECTION 6. ACTION WITHOUT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6AW">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I3">
              <w:r>
                <w:rPr>
                  <w:rStyle w:val="InternetLink"/>
                </w:rPr>
                <w:t xml:space="preserve">ARTICLE III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I3">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NA1">
              <w:r>
                <w:rPr>
                  <w:rStyle w:val="InternetLink"/>
                </w:rPr>
                <w:t xml:space="preserve">SECTION 1. NUMBER AND TERM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NA1">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RA">
              <w:r>
                <w:rPr>
                  <w:rStyle w:val="InternetLink"/>
                </w:rPr>
                <w:t xml:space="preserve">SECTION 2. RESIGNATIONS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RA">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3VI">
              <w:r>
                <w:rPr>
                  <w:rStyle w:val="InternetLink"/>
                </w:rPr>
                <w:t xml:space="preserve">SECTION 3. VACANCIES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3VI">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4RE">
              <w:r>
                <w:rPr>
                  <w:rStyle w:val="InternetLink"/>
                </w:rPr>
                <w:t xml:space="preserve">SECTION 4. REMOVAL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4RE">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5CT">
              <w:r>
                <w:rPr>
                  <w:rStyle w:val="InternetLink"/>
                </w:rPr>
                <w:t xml:space="preserve">SECTION 5. COMMITTEES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5CT">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6MT">
              <w:r>
                <w:rPr>
                  <w:rStyle w:val="InternetLink"/>
                </w:rPr>
                <w:t xml:space="preserve">SECTION 6. MEETINGS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6MT">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7QA">
              <w:r>
                <w:rPr>
                  <w:rStyle w:val="InternetLink"/>
                </w:rPr>
                <w:t xml:space="preserve">SECTION 7. QUORUM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7QA">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8CD">
              <w:r>
                <w:rPr>
                  <w:rStyle w:val="InternetLink"/>
                </w:rPr>
                <w:t xml:space="preserve">SECTION 8. COMPENSATION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8CD">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9AW">
              <w:r>
                <w:rPr>
                  <w:rStyle w:val="InternetLink"/>
                </w:rPr>
                <w:t xml:space="preserve">SECTION 9. ACTION WITHOUT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9AW">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V1">
              <w:r>
                <w:rPr>
                  <w:rStyle w:val="InternetLink"/>
                </w:rPr>
                <w:t xml:space="preserve">ARTICLE IV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V1">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OT">
              <w:r>
                <w:rPr>
                  <w:rStyle w:val="InternetLink"/>
                </w:rPr>
                <w:t xml:space="preserve">SECTION 1. OFFICERS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OT">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MD">
              <w:r>
                <w:rPr>
                  <w:rStyle w:val="InternetLink"/>
                </w:rPr>
                <w:t xml:space="preserve">SECTION 2. MANAGING DIRECTOR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MD">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3VP">
              <w:r>
                <w:rPr>
                  <w:rStyle w:val="InternetLink"/>
                </w:rPr>
                <w:t xml:space="preserve">SECTION 3. VICE PRESIDENTS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3VP">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4TT">
              <w:r>
                <w:rPr>
                  <w:rStyle w:val="InternetLink"/>
                </w:rPr>
                <w:t xml:space="preserve">SECTION 4. TREASURER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4TT">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5ST">
              <w:r>
                <w:rPr>
                  <w:rStyle w:val="InternetLink"/>
                </w:rPr>
                <w:t xml:space="preserve">SECTION 5. SECRETARY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5ST">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6AT">
              <w:r>
                <w:rPr>
                  <w:rStyle w:val="InternetLink"/>
                </w:rPr>
                <w:t xml:space="preserve">SECTION 6. ASSISTANT TREASURERS AND ASSISTANT SECRETARIES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6AT">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V1">
              <w:r>
                <w:rPr>
                  <w:rStyle w:val="InternetLink"/>
                </w:rPr>
                <w:t xml:space="preserve">ARTICLE V MISCELLANEOUS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V1">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CO">
              <w:r>
                <w:rPr>
                  <w:rStyle w:val="InternetLink"/>
                </w:rPr>
                <w:t xml:space="preserve">SECTION 1. CERTIFICATES OF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CO">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LC">
              <w:r>
                <w:rPr>
                  <w:rStyle w:val="InternetLink"/>
                </w:rPr>
                <w:t xml:space="preserve">SECTION 2. LOST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LC">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TO2">
              <w:r>
                <w:rPr>
                  <w:rStyle w:val="InternetLink"/>
                </w:rPr>
                <w:t xml:space="preserve">SECTION 3. TRANSFER OF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TO2">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SR1">
              <w:r>
                <w:rPr>
                  <w:rStyle w:val="InternetLink"/>
                </w:rPr>
                <w:t xml:space="preserve">SECTION 4. STOCKHOLDERS RECORD DATE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SR1">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5DD">
              <w:r>
                <w:rPr>
                  <w:rStyle w:val="InternetLink"/>
                </w:rPr>
                <w:t xml:space="preserve">SECTION 5. DIVIDENDS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5DD">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6FY">
              <w:r>
                <w:rPr>
                  <w:rStyle w:val="InternetLink"/>
                </w:rPr>
                <w:t xml:space="preserve">SECTION 6. FISCAL YEAR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6FY">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7CA">
              <w:r>
                <w:rPr>
                  <w:rStyle w:val="InternetLink"/>
                </w:rPr>
                <w:t xml:space="preserve">SECTION 7. CHECKS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7CA">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8NA">
              <w:r>
                <w:rPr>
                  <w:rStyle w:val="InternetLink"/>
                </w:rPr>
                <w:t xml:space="preserve">SECTION 8. NOTICE AND WAIVER OF NOTICE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8NA">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9CS">
              <w:r>
                <w:rPr>
                  <w:rStyle w:val="InternetLink"/>
                </w:rPr>
                <w:t xml:space="preserve">SECTION 9. CORPORATE SEAL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9CS">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VI3">
              <w:r>
                <w:rPr>
                  <w:rStyle w:val="InternetLink"/>
                </w:rPr>
                <w:t xml:space="preserve">ARTICLE VI INDEMNIFICATION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VI3">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RT">
              <w:r>
                <w:rPr>
                  <w:rStyle w:val="InternetLink"/>
                </w:rPr>
                <w:t xml:space="preserve">SECTION 1. RIGHT TO INDEMNIFICATION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RT">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IT">
              <w:r>
                <w:rPr>
                  <w:rStyle w:val="InternetLink"/>
                </w:rPr>
                <w:t xml:space="preserve">SECTION 2. INSURANCE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IT">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AO">
              <w:r>
                <w:rPr>
                  <w:rStyle w:val="InternetLink"/>
                </w:rPr>
                <w:t xml:space="preserve">SECTION 3. ADVANCEMENT OF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AO">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NO1">
              <w:r>
                <w:rPr>
                  <w:rStyle w:val="InternetLink"/>
                </w:rPr>
                <w:t>SECTION 4. </w:t>
              </w:r>
            </w:hyperlink>
            <w:hyperlink w:anchor="tS4NO1">
              <w:r>
                <w:rPr>
                  <w:rStyle w:val="InternetLink"/>
                  <w:caps/>
                </w:rPr>
                <w:t>Non-Exclusivity of Rights</w:t>
              </w:r>
            </w:hyperlink>
            <w:hyperlink w:anchor="tS4N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NO1">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VI4">
              <w:r>
                <w:rPr>
                  <w:rStyle w:val="InternetLink"/>
                </w:rPr>
                <w:t xml:space="preserve">ARTICLE VII AMENDMENTS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VI4">
              <w:r>
                <w:rPr>
                  <w:rStyle w:val="InternetLink"/>
                </w:rPr>
                <w:t>A-B-8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6" w:name="tARI1"/>
      <w:bookmarkEnd w:id="286"/>
      <w:r>
        <w:rPr>
          <w:rFonts w:ascii="calibri;arial;sans-serif" w:hAnsi="calibri;arial;sans-serif"/>
          <w:b w:val="false"/>
          <w:i w:val="false"/>
          <w:caps w:val="false"/>
          <w:smallCaps w:val="false"/>
          <w:color w:val="000000"/>
          <w:sz w:val="16"/>
        </w:rPr>
        <w:t>​</w:t>
      </w:r>
      <w:bookmarkStart w:id="287" w:name="tS1RO"/>
      <w:bookmarkEnd w:id="287"/>
      <w:r>
        <w:rPr>
          <w:rFonts w:ascii="calibri;arial;sans-serif" w:hAnsi="calibri;arial;sans-serif"/>
          <w:b w:val="false"/>
          <w:i w:val="false"/>
          <w:caps w:val="false"/>
          <w:smallCaps w:val="false"/>
          <w:color w:val="000000"/>
          <w:sz w:val="16"/>
        </w:rPr>
        <w:t>​</w:t>
      </w:r>
      <w:bookmarkStart w:id="288" w:name="tS2OO"/>
      <w:bookmarkEnd w:id="288"/>
      <w:r>
        <w:rPr>
          <w:rFonts w:ascii="calibri;arial;sans-serif" w:hAnsi="calibri;arial;sans-serif"/>
          <w:b w:val="false"/>
          <w:i w:val="false"/>
          <w:caps w:val="false"/>
          <w:smallCaps w:val="false"/>
          <w:color w:val="000000"/>
          <w:sz w:val="16"/>
        </w:rPr>
        <w:t>​</w:t>
      </w:r>
      <w:bookmarkStart w:id="289" w:name="tARII2"/>
      <w:bookmarkEnd w:id="289"/>
      <w:r>
        <w:rPr>
          <w:rFonts w:ascii="calibri;arial;sans-serif" w:hAnsi="calibri;arial;sans-serif"/>
          <w:b w:val="false"/>
          <w:i w:val="false"/>
          <w:caps w:val="false"/>
          <w:smallCaps w:val="false"/>
          <w:color w:val="000000"/>
          <w:sz w:val="16"/>
        </w:rPr>
        <w:t>​</w:t>
      </w:r>
      <w:bookmarkStart w:id="290" w:name="tS1AM"/>
      <w:bookmarkEnd w:id="290"/>
      <w:r>
        <w:rPr>
          <w:rFonts w:ascii="calibri;arial;sans-serif" w:hAnsi="calibri;arial;sans-serif"/>
          <w:b w:val="false"/>
          <w:i w:val="false"/>
          <w:caps w:val="false"/>
          <w:smallCaps w:val="false"/>
          <w:color w:val="000000"/>
          <w:sz w:val="16"/>
        </w:rPr>
        <w:t>​</w:t>
      </w:r>
      <w:bookmarkStart w:id="291" w:name="tS2SM"/>
      <w:bookmarkEnd w:id="291"/>
      <w:r>
        <w:rPr>
          <w:rFonts w:ascii="calibri;arial;sans-serif" w:hAnsi="calibri;arial;sans-serif"/>
          <w:b w:val="false"/>
          <w:i w:val="false"/>
          <w:caps w:val="false"/>
          <w:smallCaps w:val="false"/>
          <w:color w:val="000000"/>
          <w:sz w:val="16"/>
        </w:rPr>
        <w:t>​</w:t>
      </w:r>
      <w:bookmarkStart w:id="292" w:name="tS3VE"/>
      <w:bookmarkEnd w:id="292"/>
      <w:r>
        <w:rPr>
          <w:rFonts w:ascii="calibri;arial;sans-serif" w:hAnsi="calibri;arial;sans-serif"/>
          <w:b w:val="false"/>
          <w:i w:val="false"/>
          <w:caps w:val="false"/>
          <w:smallCaps w:val="false"/>
          <w:color w:val="000000"/>
          <w:sz w:val="16"/>
        </w:rPr>
        <w:t>​</w:t>
      </w:r>
      <w:bookmarkStart w:id="293" w:name="tS4QE"/>
      <w:bookmarkEnd w:id="293"/>
      <w:r>
        <w:rPr>
          <w:rFonts w:ascii="calibri;arial;sans-serif" w:hAnsi="calibri;arial;sans-serif"/>
          <w:b w:val="false"/>
          <w:i w:val="false"/>
          <w:caps w:val="false"/>
          <w:smallCaps w:val="false"/>
          <w:color w:val="000000"/>
          <w:sz w:val="16"/>
        </w:rPr>
        <w:t>​</w:t>
      </w:r>
      <w:bookmarkStart w:id="294" w:name="tS5NO1"/>
      <w:bookmarkEnd w:id="29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OFFICES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REGISTERED OFFICE</w:t>
      </w:r>
      <w:r>
        <w:rPr>
          <w:rFonts w:ascii="Arial;Helvetica;sans-serif" w:hAnsi="Arial;Helvetica;sans-serif"/>
          <w:b w:val="false"/>
          <w:i w:val="false"/>
          <w:caps w:val="false"/>
          <w:smallCaps w:val="false"/>
          <w:color w:val="000000"/>
          <w:sz w:val="20"/>
        </w:rPr>
        <w:t> — The address, including street, number, city, and county, of the registered office of LiveRamp Holdings, Inc. (the “Corporation”) in the State of Delaware is the Corporation Trust Company, 1209 Orange Street, City of Wilmington, County of New Castle, State of Delaware 19801; and the name of the registered agent of the corporation in the State of Delaware at such address is Corporation Trust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OTHER OFFICES</w:t>
      </w:r>
      <w:r>
        <w:rPr>
          <w:rFonts w:ascii="Arial;Helvetica;sans-serif" w:hAnsi="Arial;Helvetica;sans-serif"/>
          <w:b w:val="false"/>
          <w:i w:val="false"/>
          <w:caps w:val="false"/>
          <w:smallCaps w:val="false"/>
          <w:color w:val="000000"/>
          <w:sz w:val="20"/>
        </w:rPr>
        <w:t> — The Corporation may have other offices, either within or without the State of Delaware, at such place or places as the Board of Directors may from time to time select or the business of the Corporation may require.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MEETINGS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ANNUAL MEETINGS</w:t>
      </w:r>
      <w:r>
        <w:rPr>
          <w:rFonts w:ascii="Arial;Helvetica;sans-serif" w:hAnsi="Arial;Helvetica;sans-serif"/>
          <w:b w:val="false"/>
          <w:i w:val="false"/>
          <w:caps w:val="false"/>
          <w:smallCaps w:val="false"/>
          <w:color w:val="000000"/>
          <w:sz w:val="20"/>
        </w:rPr>
        <w:t> — Annual meetings of stockholders for the election of directors, and for such other business as may be stated in the notice of the meeting, shall be held at such place, either within or without the State of Delaware, and at such time and date as the Board of Directors, by resolution, shall determine and as set forth in the notice of the meeting. If the Board of Directors fails so to determine the time, date and place of meeting, the annual meeting of stockholders shall be held at the registered office of the Corporation on the first Tuesday in May.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SPECIAL MEETINGS</w:t>
      </w:r>
      <w:r>
        <w:rPr>
          <w:rFonts w:ascii="Arial;Helvetica;sans-serif" w:hAnsi="Arial;Helvetica;sans-serif"/>
          <w:b w:val="false"/>
          <w:i w:val="false"/>
          <w:caps w:val="false"/>
          <w:smallCaps w:val="false"/>
          <w:color w:val="000000"/>
          <w:sz w:val="20"/>
        </w:rPr>
        <w:t> — Special meetings of the stockholders for any purpose or purposes may be called by the Chairman, the Managing Director or the Secretary, or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VOTING</w:t>
      </w:r>
      <w:r>
        <w:rPr>
          <w:rFonts w:ascii="Arial;Helvetica;sans-serif" w:hAnsi="Arial;Helvetica;sans-serif"/>
          <w:b w:val="false"/>
          <w:i w:val="false"/>
          <w:caps w:val="false"/>
          <w:smallCaps w:val="false"/>
          <w:color w:val="000000"/>
          <w:sz w:val="20"/>
        </w:rPr>
        <w:t> — Each stockholder entitled to vote in accordance with the terms of the Certificate of Incorporation of the Corporation and these By-Laws may vote in person or by proxy, but no proxy shall be voted after three years from its date unless such proxy provides for a longer period. All elections for directors shall be decided by plurality vote; all other questions shall be decided by majority vote except as otherwise provided by the Certificate of Incorporation or the laws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complete list of the stockholders entitled to vote at the meeting,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entitled to be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QUORUM</w:t>
      </w:r>
      <w:r>
        <w:rPr>
          <w:rFonts w:ascii="Arial;Helvetica;sans-serif" w:hAnsi="Arial;Helvetica;sans-serif"/>
          <w:b w:val="false"/>
          <w:i w:val="false"/>
          <w:caps w:val="false"/>
          <w:smallCaps w:val="false"/>
          <w:color w:val="000000"/>
          <w:sz w:val="20"/>
        </w:rPr>
        <w:t> — Except as otherwise required by law, by the Certificate of Incorporation of the Corporation or by these By-Laws, the presence, in person or by proxy, of stockholders holding shares constituting a majority of the voting power of the Corporation shall constitute a quorum at all meetings of the stockholders. In case a quorum shall not be present at any meeting, a majority in interest of the stockholders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that might have been transacted at the meeting as originally noticed; but only those stockholders entitled to vote at the meeting as originally noticed shall be entitled to vote at any adjournment or adjournments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NOTICE OF MEETINGS</w:t>
      </w:r>
      <w:r>
        <w:rPr>
          <w:rFonts w:ascii="Arial;Helvetica;sans-serif" w:hAnsi="Arial;Helvetica;sans-serif"/>
          <w:b w:val="false"/>
          <w:i w:val="false"/>
          <w:caps w:val="false"/>
          <w:smallCaps w:val="false"/>
          <w:color w:val="000000"/>
          <w:sz w:val="20"/>
        </w:rPr>
        <w:t> — Written notice, stating the place, date and time of the meeting, and the general nature of the business to be considered, shall be given to each stockholder entitled to vote thereat, at his or her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S6AW"/>
      <w:bookmarkEnd w:id="295"/>
      <w:r>
        <w:rPr>
          <w:rFonts w:ascii="calibri;arial;sans-serif" w:hAnsi="calibri;arial;sans-serif"/>
          <w:b w:val="false"/>
          <w:i w:val="false"/>
          <w:caps w:val="false"/>
          <w:smallCaps w:val="false"/>
          <w:color w:val="000000"/>
          <w:sz w:val="16"/>
        </w:rPr>
        <w:t>​</w:t>
      </w:r>
      <w:bookmarkStart w:id="296" w:name="tARII3"/>
      <w:bookmarkEnd w:id="296"/>
      <w:r>
        <w:rPr>
          <w:rFonts w:ascii="calibri;arial;sans-serif" w:hAnsi="calibri;arial;sans-serif"/>
          <w:b w:val="false"/>
          <w:i w:val="false"/>
          <w:caps w:val="false"/>
          <w:smallCaps w:val="false"/>
          <w:color w:val="000000"/>
          <w:sz w:val="16"/>
        </w:rPr>
        <w:t>​</w:t>
      </w:r>
      <w:bookmarkStart w:id="297" w:name="tS1NA1"/>
      <w:bookmarkEnd w:id="297"/>
      <w:r>
        <w:rPr>
          <w:rFonts w:ascii="calibri;arial;sans-serif" w:hAnsi="calibri;arial;sans-serif"/>
          <w:b w:val="false"/>
          <w:i w:val="false"/>
          <w:caps w:val="false"/>
          <w:smallCaps w:val="false"/>
          <w:color w:val="000000"/>
          <w:sz w:val="16"/>
        </w:rPr>
        <w:t>​</w:t>
      </w:r>
      <w:bookmarkStart w:id="298" w:name="tS2RA"/>
      <w:bookmarkEnd w:id="298"/>
      <w:r>
        <w:rPr>
          <w:rFonts w:ascii="calibri;arial;sans-serif" w:hAnsi="calibri;arial;sans-serif"/>
          <w:b w:val="false"/>
          <w:i w:val="false"/>
          <w:caps w:val="false"/>
          <w:smallCaps w:val="false"/>
          <w:color w:val="000000"/>
          <w:sz w:val="16"/>
        </w:rPr>
        <w:t>​</w:t>
      </w:r>
      <w:bookmarkStart w:id="299" w:name="tS3VI"/>
      <w:bookmarkEnd w:id="299"/>
      <w:r>
        <w:rPr>
          <w:rFonts w:ascii="calibri;arial;sans-serif" w:hAnsi="calibri;arial;sans-serif"/>
          <w:b w:val="false"/>
          <w:i w:val="false"/>
          <w:caps w:val="false"/>
          <w:smallCaps w:val="false"/>
          <w:color w:val="000000"/>
          <w:sz w:val="16"/>
        </w:rPr>
        <w:t>​</w:t>
      </w:r>
      <w:bookmarkStart w:id="300" w:name="tS4RE"/>
      <w:bookmarkEnd w:id="300"/>
      <w:r>
        <w:rPr>
          <w:rFonts w:ascii="calibri;arial;sans-serif" w:hAnsi="calibri;arial;sans-serif"/>
          <w:b w:val="false"/>
          <w:i w:val="false"/>
          <w:caps w:val="false"/>
          <w:smallCaps w:val="false"/>
          <w:color w:val="000000"/>
          <w:sz w:val="16"/>
        </w:rPr>
        <w:t>​</w:t>
      </w:r>
      <w:bookmarkStart w:id="301" w:name="tS5CT"/>
      <w:bookmarkEnd w:id="301"/>
      <w:r>
        <w:rPr>
          <w:rFonts w:ascii="calibri;arial;sans-serif" w:hAnsi="calibri;arial;sans-serif"/>
          <w:b w:val="false"/>
          <w:i w:val="false"/>
          <w:caps w:val="false"/>
          <w:smallCaps w:val="false"/>
          <w:color w:val="000000"/>
          <w:sz w:val="16"/>
        </w:rPr>
        <w:t>​</w:t>
      </w:r>
      <w:bookmarkStart w:id="302" w:name="tS6MT"/>
      <w:bookmarkEnd w:id="3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ACTION WITHOUT MEETING</w:t>
      </w:r>
      <w:r>
        <w:rPr>
          <w:rFonts w:ascii="Arial;Helvetica;sans-serif" w:hAnsi="Arial;Helvetica;sans-serif"/>
          <w:b w:val="false"/>
          <w:i w:val="false"/>
          <w:caps w:val="false"/>
          <w:smallCaps w:val="false"/>
          <w:color w:val="000000"/>
          <w:sz w:val="20"/>
        </w:rPr>
        <w:t> — Unless otherwise provided by the Certificate of Incorporation of the Corporation, any action required or permitted to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NUMBER AND TERM</w:t>
      </w:r>
      <w:r>
        <w:rPr>
          <w:rFonts w:ascii="Arial;Helvetica;sans-serif" w:hAnsi="Arial;Helvetica;sans-serif"/>
          <w:b w:val="false"/>
          <w:i w:val="false"/>
          <w:caps w:val="false"/>
          <w:smallCaps w:val="false"/>
          <w:color w:val="000000"/>
          <w:sz w:val="20"/>
        </w:rPr>
        <w:t> — The business and affairs of the Corporation shall be managed under the direction of a Board of Directors which shall consist of not less than one person. The exact number of directors shall initially be one and may thereafter be fixed from time to time by the Board of Directors. Directors shall be elected at the annual meeting of stockholders and each director shall be elected to serve until his or her successor shall be elected and shall qualify. A director need not be a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RESIGNATIONS</w:t>
      </w:r>
      <w:r>
        <w:rPr>
          <w:rFonts w:ascii="Arial;Helvetica;sans-serif" w:hAnsi="Arial;Helvetica;sans-serif"/>
          <w:b w:val="false"/>
          <w:i w:val="false"/>
          <w:caps w:val="false"/>
          <w:smallCaps w:val="false"/>
          <w:color w:val="000000"/>
          <w:sz w:val="20"/>
        </w:rPr>
        <w:t> — Any director may resign at any time. Such resignation shall be made in writing, and shall take effect at the time specified therein, and if no time be specified, at the time of its receipt by the Chairman, the Managing Director or the Secretary. The acceptance of a resignation shall not be necessary to make it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VACANCIES</w:t>
      </w:r>
      <w:r>
        <w:rPr>
          <w:rFonts w:ascii="Arial;Helvetica;sans-serif" w:hAnsi="Arial;Helvetica;sans-serif"/>
          <w:b w:val="false"/>
          <w:i w:val="false"/>
          <w:caps w:val="false"/>
          <w:smallCaps w:val="false"/>
          <w:color w:val="000000"/>
          <w:sz w:val="20"/>
        </w:rPr>
        <w:t> — If the office of any director becomes vacant, the remaining directors in the office, though less than a quorum, by a majority vote, may appoint any qualified person to fill such vacancy, who shall hold office for the unexpired term and until his or her successor shall be duly chosen. If the office of any director becomes vacant and there are no remaining directors, the stockholders, by the affirmative vote of the holders of shares constituting a majority of the voting power of the Corporation, at a special meeting called for such purpose, may appoint any qualified person to fill such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REMOVAL</w:t>
      </w:r>
      <w:r>
        <w:rPr>
          <w:rFonts w:ascii="Arial;Helvetica;sans-serif" w:hAnsi="Arial;Helvetica;sans-serif"/>
          <w:b w:val="false"/>
          <w:i w:val="false"/>
          <w:caps w:val="false"/>
          <w:smallCaps w:val="false"/>
          <w:color w:val="000000"/>
          <w:sz w:val="20"/>
        </w:rPr>
        <w:t> — Except as hereinafter provided, any director or directors may be removed either for or without cause at any time by the affirmative vote of the holders of a majority of the voting power entitled to vote for the election of directors, at an annual meeting or a special meeting called for the purpose, and the vacancy thus created may be filled, at such meeting, by the affirmative vote of holders of shares constituting a majority of the voting power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COMMITTEES</w:t>
      </w:r>
      <w:r>
        <w:rPr>
          <w:rFonts w:ascii="Arial;Helvetica;sans-serif" w:hAnsi="Arial;Helvetica;sans-serif"/>
          <w:b w:val="false"/>
          <w:i w:val="false"/>
          <w:caps w:val="false"/>
          <w:smallCaps w:val="false"/>
          <w:color w:val="000000"/>
          <w:sz w:val="20"/>
        </w:rPr>
        <w:t> — The Board of Directors may, by resolution or resolutions passed by a majority of the whole Board of Directors, designate one or more committees, each committee to consist of one or more directors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such committee, to the extent provided in the resolution of the Board of Directors, or in these By-Laws, shall have and may exercise all the powers and authority of the Board of Directors in the management of the business and affairs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MEETINGS</w:t>
      </w:r>
      <w:r>
        <w:rPr>
          <w:rFonts w:ascii="Arial;Helvetica;sans-serif" w:hAnsi="Arial;Helvetica;sans-serif"/>
          <w:b w:val="false"/>
          <w:i w:val="false"/>
          <w:caps w:val="false"/>
          <w:smallCaps w:val="false"/>
          <w:color w:val="000000"/>
          <w:sz w:val="20"/>
        </w:rPr>
        <w:t> — The newly elected director(s) may hold their first meeting for the purpose of organization and the transaction of business, if a quorum be present, immediately after the annual meeting of the stockholders; or the time and place of such meeting may be fixed by consent of all the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Regular meetings of the Board of Directors may be held without notice at such places and times as shall be determined from time to time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Special meetings of the Board of Directors may be called by the Chairman or the Managing Director or by the Secretary on the written request of any director, on at least one day’s notice to each director (except that notice to any director may be waived in writing by such director) and shall be held at such place or places as may be determined by the Board of Directors, or as shall be stated in the notice of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3" w:name="tS7QA"/>
      <w:bookmarkEnd w:id="303"/>
      <w:r>
        <w:rPr>
          <w:rFonts w:ascii="calibri;arial;sans-serif" w:hAnsi="calibri;arial;sans-serif"/>
          <w:b w:val="false"/>
          <w:i w:val="false"/>
          <w:caps w:val="false"/>
          <w:smallCaps w:val="false"/>
          <w:color w:val="000000"/>
          <w:sz w:val="16"/>
        </w:rPr>
        <w:t>​</w:t>
      </w:r>
      <w:bookmarkStart w:id="304" w:name="tS8CD"/>
      <w:bookmarkEnd w:id="304"/>
      <w:r>
        <w:rPr>
          <w:rFonts w:ascii="calibri;arial;sans-serif" w:hAnsi="calibri;arial;sans-serif"/>
          <w:b w:val="false"/>
          <w:i w:val="false"/>
          <w:caps w:val="false"/>
          <w:smallCaps w:val="false"/>
          <w:color w:val="000000"/>
          <w:sz w:val="16"/>
        </w:rPr>
        <w:t>​</w:t>
      </w:r>
      <w:bookmarkStart w:id="305" w:name="tS9AW"/>
      <w:bookmarkEnd w:id="305"/>
      <w:r>
        <w:rPr>
          <w:rFonts w:ascii="calibri;arial;sans-serif" w:hAnsi="calibri;arial;sans-serif"/>
          <w:b w:val="false"/>
          <w:i w:val="false"/>
          <w:caps w:val="false"/>
          <w:smallCaps w:val="false"/>
          <w:color w:val="000000"/>
          <w:sz w:val="16"/>
        </w:rPr>
        <w:t>​</w:t>
      </w:r>
      <w:bookmarkStart w:id="306" w:name="tARIV1"/>
      <w:bookmarkEnd w:id="306"/>
      <w:r>
        <w:rPr>
          <w:rFonts w:ascii="calibri;arial;sans-serif" w:hAnsi="calibri;arial;sans-serif"/>
          <w:b w:val="false"/>
          <w:i w:val="false"/>
          <w:caps w:val="false"/>
          <w:smallCaps w:val="false"/>
          <w:color w:val="000000"/>
          <w:sz w:val="16"/>
        </w:rPr>
        <w:t>​</w:t>
      </w:r>
      <w:bookmarkStart w:id="307" w:name="tS1OT"/>
      <w:bookmarkEnd w:id="307"/>
      <w:r>
        <w:rPr>
          <w:rFonts w:ascii="calibri;arial;sans-serif" w:hAnsi="calibri;arial;sans-serif"/>
          <w:b w:val="false"/>
          <w:i w:val="false"/>
          <w:caps w:val="false"/>
          <w:smallCaps w:val="false"/>
          <w:color w:val="000000"/>
          <w:sz w:val="16"/>
        </w:rPr>
        <w:t>​</w:t>
      </w:r>
      <w:bookmarkStart w:id="308" w:name="tS2MD"/>
      <w:bookmarkEnd w:id="308"/>
      <w:r>
        <w:rPr>
          <w:rFonts w:ascii="calibri;arial;sans-serif" w:hAnsi="calibri;arial;sans-serif"/>
          <w:b w:val="false"/>
          <w:i w:val="false"/>
          <w:caps w:val="false"/>
          <w:smallCaps w:val="false"/>
          <w:color w:val="000000"/>
          <w:sz w:val="16"/>
        </w:rPr>
        <w:t>​</w:t>
      </w:r>
      <w:bookmarkStart w:id="309" w:name="tS3VP"/>
      <w:bookmarkEnd w:id="309"/>
      <w:r>
        <w:rPr>
          <w:rFonts w:ascii="calibri;arial;sans-serif" w:hAnsi="calibri;arial;sans-serif"/>
          <w:b w:val="false"/>
          <w:i w:val="false"/>
          <w:caps w:val="false"/>
          <w:smallCaps w:val="false"/>
          <w:color w:val="000000"/>
          <w:sz w:val="16"/>
        </w:rPr>
        <w:t>​</w:t>
      </w:r>
      <w:bookmarkStart w:id="310" w:name="tS4TT"/>
      <w:bookmarkEnd w:id="310"/>
      <w:r>
        <w:rPr>
          <w:rFonts w:ascii="calibri;arial;sans-serif" w:hAnsi="calibri;arial;sans-serif"/>
          <w:b w:val="false"/>
          <w:i w:val="false"/>
          <w:caps w:val="false"/>
          <w:smallCaps w:val="false"/>
          <w:color w:val="000000"/>
          <w:sz w:val="16"/>
        </w:rPr>
        <w:t>​</w:t>
      </w:r>
      <w:bookmarkStart w:id="311" w:name="tS5ST"/>
      <w:bookmarkEnd w:id="31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equipment by means of which all persons participating in the meeting can hear each other, and such participation in a meeting shall constitute presence in person at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7. </w:t>
      </w:r>
      <w:r>
        <w:rPr>
          <w:rFonts w:ascii="Arial;Helvetica;sans-serif" w:hAnsi="Arial;Helvetica;sans-serif"/>
          <w:b w:val="false"/>
          <w:i w:val="false"/>
          <w:caps w:val="false"/>
          <w:smallCaps w:val="false"/>
          <w:color w:val="000000"/>
          <w:sz w:val="20"/>
          <w:u w:val="single"/>
        </w:rPr>
        <w:t>QUORUM</w:t>
      </w:r>
      <w:r>
        <w:rPr>
          <w:rFonts w:ascii="Arial;Helvetica;sans-serif" w:hAnsi="Arial;Helvetica;sans-serif"/>
          <w:b w:val="false"/>
          <w:i w:val="false"/>
          <w:caps w:val="false"/>
          <w:smallCaps w:val="false"/>
          <w:color w:val="000000"/>
          <w:sz w:val="20"/>
        </w:rPr>
        <w:t> — 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8. </w:t>
      </w:r>
      <w:r>
        <w:rPr>
          <w:rFonts w:ascii="Arial;Helvetica;sans-serif" w:hAnsi="Arial;Helvetica;sans-serif"/>
          <w:b w:val="false"/>
          <w:i w:val="false"/>
          <w:caps w:val="false"/>
          <w:smallCaps w:val="false"/>
          <w:color w:val="000000"/>
          <w:sz w:val="20"/>
          <w:u w:val="single"/>
        </w:rPr>
        <w:t>COMPENSATION</w:t>
      </w:r>
      <w:r>
        <w:rPr>
          <w:rFonts w:ascii="Arial;Helvetica;sans-serif" w:hAnsi="Arial;Helvetica;sans-serif"/>
          <w:b w:val="false"/>
          <w:i w:val="false"/>
          <w:caps w:val="false"/>
          <w:smallCaps w:val="false"/>
          <w:color w:val="000000"/>
          <w:sz w:val="20"/>
        </w:rPr>
        <w:t> —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9. </w:t>
      </w:r>
      <w:r>
        <w:rPr>
          <w:rFonts w:ascii="Arial;Helvetica;sans-serif" w:hAnsi="Arial;Helvetica;sans-serif"/>
          <w:b w:val="false"/>
          <w:i w:val="false"/>
          <w:caps w:val="false"/>
          <w:smallCaps w:val="false"/>
          <w:color w:val="000000"/>
          <w:sz w:val="20"/>
          <w:u w:val="single"/>
        </w:rPr>
        <w:t>ACTION WITHOUT MEETING</w:t>
      </w:r>
      <w:r>
        <w:rPr>
          <w:rFonts w:ascii="Arial;Helvetica;sans-serif" w:hAnsi="Arial;Helvetica;sans-serif"/>
          <w:b w:val="false"/>
          <w:i w:val="false"/>
          <w:caps w:val="false"/>
          <w:smallCaps w:val="false"/>
          <w:color w:val="000000"/>
          <w:sz w:val="20"/>
        </w:rPr>
        <w:t> —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OFFICERS</w:t>
      </w:r>
      <w:r>
        <w:rPr>
          <w:rFonts w:ascii="Arial;Helvetica;sans-serif" w:hAnsi="Arial;Helvetica;sans-serif"/>
          <w:b w:val="false"/>
          <w:i w:val="false"/>
          <w:caps w:val="false"/>
          <w:smallCaps w:val="false"/>
          <w:color w:val="000000"/>
          <w:sz w:val="20"/>
        </w:rPr>
        <w:t> — The officers of the Corporation shall be a Managing Director and a Secretary, all of whom shall be elected by the Board of Directors and shall hold office until their successors are duly elected and qualified. In addition, the Board of Directors may elect a Treasurer and such Vice Presidents, Assistant Secretaries and Assistant Treasurers as it may deem proper. The Board of Directors may appoint such other officers and agents as it may deem advisable, who shall hold their offices for such terms and shall exercise such powers and perform such duties as shall be determined from time to time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MANAGING DIRECTOR</w:t>
      </w:r>
      <w:r>
        <w:rPr>
          <w:rFonts w:ascii="Arial;Helvetica;sans-serif" w:hAnsi="Arial;Helvetica;sans-serif"/>
          <w:b w:val="false"/>
          <w:i w:val="false"/>
          <w:caps w:val="false"/>
          <w:smallCaps w:val="false"/>
          <w:color w:val="000000"/>
          <w:sz w:val="20"/>
        </w:rPr>
        <w:t> — The Managing Director shall be the Chief Operating Officer of the Corporation. He or she shall have the general powers and duties of supervision and management usually vested in the office of President of a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VICE PRESIDENTS</w:t>
      </w:r>
      <w:r>
        <w:rPr>
          <w:rFonts w:ascii="Arial;Helvetica;sans-serif" w:hAnsi="Arial;Helvetica;sans-serif"/>
          <w:b w:val="false"/>
          <w:i w:val="false"/>
          <w:caps w:val="false"/>
          <w:smallCaps w:val="false"/>
          <w:color w:val="000000"/>
          <w:sz w:val="20"/>
        </w:rPr>
        <w:t> — Vice Presidents, if any, shall have such powers and shall perform such duties as shall be assigned to them, respectively,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TREASURER</w:t>
      </w:r>
      <w:r>
        <w:rPr>
          <w:rFonts w:ascii="Arial;Helvetica;sans-serif" w:hAnsi="Arial;Helvetica;sans-serif"/>
          <w:b w:val="false"/>
          <w:i w:val="false"/>
          <w:caps w:val="false"/>
          <w:smallCaps w:val="false"/>
          <w:color w:val="000000"/>
          <w:sz w:val="20"/>
        </w:rPr>
        <w:t> — The Treasurer, if any, shall be the Chief Financial Officer of the Corporation. He or she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 of Directors. He or she shall disburse the funds of the Corporation as may be ordered by the Board of Directors, the Chairman or the Managing Director, taking proper vouchers for such disbursements. He or she shall render to the Chairman, the Managing Director and Board of Directors at the regular meetings of the Board of Directors, or whenever they may request it, an account of all his or her transactions as Treasurer and of the financial condition of the Corporation. If required by the Board of Directors, he or she shall give the Corporation a bond for the faithful discharge of his or her duties in such amount and with such surety as the Board of Directors shall prescribe. If there is no Treasurer appointed by the Board of Directors of the Corporation, the duties of Treasurer shall be vested in the Managing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SECRETARY</w:t>
      </w:r>
      <w:r>
        <w:rPr>
          <w:rFonts w:ascii="Arial;Helvetica;sans-serif" w:hAnsi="Arial;Helvetica;sans-serif"/>
          <w:b w:val="false"/>
          <w:i w:val="false"/>
          <w:caps w:val="false"/>
          <w:smallCaps w:val="false"/>
          <w:color w:val="000000"/>
          <w:sz w:val="20"/>
        </w:rPr>
        <w:t xml:space="preserve"> — The Secretary shall give, or cause to be given, notice of all meetings of stockholders and of the Board of Directors and all other notices required by law or by these By-Laws, and in case of his or her absence or refusal or neglect so to do, any such notice may be given by any person thereunto directed by the Chairman or the Managing Director, or by the Board of Directors, upon whose request the meeting is called as provided in these By-Laws. He or she shall record all the proceedings of the meetings of the Board of Directors, any committees thereof and the stockholders of the Corporation in a book to be kept for that purpose, and shall perform such other duties as may be assigned to him or her by the Board of Directors, the Chairman or the Managing Director.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2" w:name="tS6AT"/>
      <w:bookmarkEnd w:id="312"/>
      <w:r>
        <w:rPr>
          <w:rFonts w:ascii="calibri;arial;sans-serif" w:hAnsi="calibri;arial;sans-serif"/>
          <w:b w:val="false"/>
          <w:i w:val="false"/>
          <w:caps w:val="false"/>
          <w:smallCaps w:val="false"/>
          <w:color w:val="000000"/>
          <w:sz w:val="16"/>
        </w:rPr>
        <w:t>​</w:t>
      </w:r>
      <w:bookmarkStart w:id="313" w:name="tARV1"/>
      <w:bookmarkEnd w:id="313"/>
      <w:r>
        <w:rPr>
          <w:rFonts w:ascii="calibri;arial;sans-serif" w:hAnsi="calibri;arial;sans-serif"/>
          <w:b w:val="false"/>
          <w:i w:val="false"/>
          <w:caps w:val="false"/>
          <w:smallCaps w:val="false"/>
          <w:color w:val="000000"/>
          <w:sz w:val="16"/>
        </w:rPr>
        <w:t>​</w:t>
      </w:r>
      <w:bookmarkStart w:id="314" w:name="tS1CO"/>
      <w:bookmarkEnd w:id="314"/>
      <w:r>
        <w:rPr>
          <w:rFonts w:ascii="calibri;arial;sans-serif" w:hAnsi="calibri;arial;sans-serif"/>
          <w:b w:val="false"/>
          <w:i w:val="false"/>
          <w:caps w:val="false"/>
          <w:smallCaps w:val="false"/>
          <w:color w:val="000000"/>
          <w:sz w:val="16"/>
        </w:rPr>
        <w:t>​</w:t>
      </w:r>
      <w:bookmarkStart w:id="315" w:name="tS2LC"/>
      <w:bookmarkEnd w:id="315"/>
      <w:r>
        <w:rPr>
          <w:rFonts w:ascii="calibri;arial;sans-serif" w:hAnsi="calibri;arial;sans-serif"/>
          <w:b w:val="false"/>
          <w:i w:val="false"/>
          <w:caps w:val="false"/>
          <w:smallCaps w:val="false"/>
          <w:color w:val="000000"/>
          <w:sz w:val="16"/>
        </w:rPr>
        <w:t>​</w:t>
      </w:r>
      <w:bookmarkStart w:id="316" w:name="tS3TO2"/>
      <w:bookmarkEnd w:id="316"/>
      <w:r>
        <w:rPr>
          <w:rFonts w:ascii="calibri;arial;sans-serif" w:hAnsi="calibri;arial;sans-serif"/>
          <w:b w:val="false"/>
          <w:i w:val="false"/>
          <w:caps w:val="false"/>
          <w:smallCaps w:val="false"/>
          <w:color w:val="000000"/>
          <w:sz w:val="16"/>
        </w:rPr>
        <w:t>​</w:t>
      </w:r>
      <w:bookmarkStart w:id="317" w:name="tS4SR1"/>
      <w:bookmarkEnd w:id="317"/>
      <w:r>
        <w:rPr>
          <w:rFonts w:ascii="calibri;arial;sans-serif" w:hAnsi="calibri;arial;sans-serif"/>
          <w:b w:val="false"/>
          <w:i w:val="false"/>
          <w:caps w:val="false"/>
          <w:smallCaps w:val="false"/>
          <w:color w:val="000000"/>
          <w:sz w:val="16"/>
        </w:rPr>
        <w:t>​</w:t>
      </w:r>
      <w:bookmarkStart w:id="318" w:name="tS5DD"/>
      <w:bookmarkEnd w:id="318"/>
      <w:r>
        <w:rPr>
          <w:rFonts w:ascii="calibri;arial;sans-serif" w:hAnsi="calibri;arial;sans-serif"/>
          <w:b w:val="false"/>
          <w:i w:val="false"/>
          <w:caps w:val="false"/>
          <w:smallCaps w:val="false"/>
          <w:color w:val="000000"/>
          <w:sz w:val="16"/>
        </w:rPr>
        <w:t>​</w:t>
      </w:r>
      <w:bookmarkStart w:id="319" w:name="tS6FY"/>
      <w:bookmarkEnd w:id="3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ASSISTANT TREASURERS AND ASSISTANT SECRETARIES</w:t>
      </w:r>
      <w:r>
        <w:rPr>
          <w:rFonts w:ascii="Arial;Helvetica;sans-serif" w:hAnsi="Arial;Helvetica;sans-serif"/>
          <w:b w:val="false"/>
          <w:i w:val="false"/>
          <w:caps w:val="false"/>
          <w:smallCaps w:val="false"/>
          <w:color w:val="000000"/>
          <w:sz w:val="20"/>
        </w:rPr>
        <w:t> — Assistant Treasurers and Assistant Secretaries, if any, shall be elected and shall have such powers and shall perform such duties as shall be assigned to them, respectively,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CERTIFICATES OF STOCK</w:t>
      </w:r>
      <w:r>
        <w:rPr>
          <w:rFonts w:ascii="Arial;Helvetica;sans-serif" w:hAnsi="Arial;Helvetica;sans-serif"/>
          <w:b w:val="false"/>
          <w:i w:val="false"/>
          <w:caps w:val="false"/>
          <w:smallCaps w:val="false"/>
          <w:color w:val="000000"/>
          <w:sz w:val="20"/>
        </w:rPr>
        <w:t xml:space="preserve"> — Each stockholder shall be entitled to a certificate of stock certifying the number of shares owned by such stockholder in the Corporation. Certificates of stock of the Corporation shall be of such form and device as the Board of Directors may from time to time determine. If authorized by the Board of Directors, the Corporation may issue some or all of the shares of stock of the Corporation without certificates.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LOST CERTIFICATES</w:t>
      </w:r>
      <w:r>
        <w:rPr>
          <w:rFonts w:ascii="Arial;Helvetica;sans-serif" w:hAnsi="Arial;Helvetica;sans-serif"/>
          <w:b w:val="false"/>
          <w:i w:val="false"/>
          <w:caps w:val="false"/>
          <w:smallCaps w:val="false"/>
          <w:color w:val="000000"/>
          <w:sz w:val="20"/>
        </w:rPr>
        <w:t> — A new certificate of stock may be issued in the place of any certificate theretofore issued by the Corporation, alleged to have been lost or destroyed, and the Board of Directors may, in its discretion, require the owner of the lost or destroyed certificate, or such owner’s legal representatives, to give the Corporation a bond, in such sum as they may direct, not exceeding double the value of the stock, to indemnify the Corporation against any claim that may be made against it on account of the alleged loss of any such certificate, or the issuance of any such new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TRANSFER OF SHARES</w:t>
      </w:r>
      <w:r>
        <w:rPr>
          <w:rFonts w:ascii="Arial;Helvetica;sans-serif" w:hAnsi="Arial;Helvetica;sans-serif"/>
          <w:b w:val="false"/>
          <w:i w:val="false"/>
          <w:caps w:val="false"/>
          <w:smallCaps w:val="false"/>
          <w:color w:val="000000"/>
          <w:sz w:val="20"/>
        </w:rPr>
        <w:t> —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Board of Directors may designate, by whom they shall be cancelled, and new certificates shall thereupon be issued. A record shall be made of each transfer and whenever a transfer shall be made for collateral security, and not absolutely, it shall be so expressed in the entry of the transfer.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STOCKHOLDERS RECORD DATE</w:t>
      </w:r>
      <w:r>
        <w:rPr>
          <w:rFonts w:ascii="Arial;Helvetica;sans-serif" w:hAnsi="Arial;Helvetica;sans-serif"/>
          <w:b w:val="false"/>
          <w:i w:val="false"/>
          <w:caps w:val="false"/>
          <w:smallCaps w:val="false"/>
          <w:color w:val="000000"/>
          <w:sz w:val="20"/>
        </w:rPr>
        <w:t> —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nor less than ten days before the date of such meeting; (2) in the case of determination of stockholders entitled to express consent to corporate action in writing without a meeting, shall not be more than ten days from the date upon which the resolution fixing the record date is adopted by the Board of Directors; and (3) in the case of any other action, shall not be more than sixty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DIVIDENDS</w:t>
      </w:r>
      <w:r>
        <w:rPr>
          <w:rFonts w:ascii="Arial;Helvetica;sans-serif" w:hAnsi="Arial;Helvetica;sans-serif"/>
          <w:b w:val="false"/>
          <w:i w:val="false"/>
          <w:caps w:val="false"/>
          <w:smallCaps w:val="false"/>
          <w:color w:val="000000"/>
          <w:sz w:val="20"/>
        </w:rPr>
        <w:t> — Dividends upon the capital stock of the Corporation shall in the discretion of the Board of Directors from time to time be declared by the Board of Directors out of funds legally available therefor after setting aside of proper reserves.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FISCAL YEAR</w:t>
      </w:r>
      <w:r>
        <w:rPr>
          <w:rFonts w:ascii="Arial;Helvetica;sans-serif" w:hAnsi="Arial;Helvetica;sans-serif"/>
          <w:b w:val="false"/>
          <w:i w:val="false"/>
          <w:caps w:val="false"/>
          <w:smallCaps w:val="false"/>
          <w:color w:val="000000"/>
          <w:sz w:val="20"/>
        </w:rPr>
        <w:t> — The fiscal year of the Corporation shall be determined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0" w:name="tS7CA"/>
      <w:bookmarkEnd w:id="320"/>
      <w:r>
        <w:rPr>
          <w:rFonts w:ascii="calibri;arial;sans-serif" w:hAnsi="calibri;arial;sans-serif"/>
          <w:b w:val="false"/>
          <w:i w:val="false"/>
          <w:caps w:val="false"/>
          <w:smallCaps w:val="false"/>
          <w:color w:val="000000"/>
          <w:sz w:val="16"/>
        </w:rPr>
        <w:t>​</w:t>
      </w:r>
      <w:bookmarkStart w:id="321" w:name="tS8NA"/>
      <w:bookmarkEnd w:id="321"/>
      <w:r>
        <w:rPr>
          <w:rFonts w:ascii="calibri;arial;sans-serif" w:hAnsi="calibri;arial;sans-serif"/>
          <w:b w:val="false"/>
          <w:i w:val="false"/>
          <w:caps w:val="false"/>
          <w:smallCaps w:val="false"/>
          <w:color w:val="000000"/>
          <w:sz w:val="16"/>
        </w:rPr>
        <w:t>​</w:t>
      </w:r>
      <w:bookmarkStart w:id="322" w:name="tS9CS"/>
      <w:bookmarkEnd w:id="322"/>
      <w:r>
        <w:rPr>
          <w:rFonts w:ascii="calibri;arial;sans-serif" w:hAnsi="calibri;arial;sans-serif"/>
          <w:b w:val="false"/>
          <w:i w:val="false"/>
          <w:caps w:val="false"/>
          <w:smallCaps w:val="false"/>
          <w:color w:val="000000"/>
          <w:sz w:val="16"/>
        </w:rPr>
        <w:t>​</w:t>
      </w:r>
      <w:bookmarkStart w:id="323" w:name="tARVI3"/>
      <w:bookmarkEnd w:id="323"/>
      <w:r>
        <w:rPr>
          <w:rFonts w:ascii="calibri;arial;sans-serif" w:hAnsi="calibri;arial;sans-serif"/>
          <w:b w:val="false"/>
          <w:i w:val="false"/>
          <w:caps w:val="false"/>
          <w:smallCaps w:val="false"/>
          <w:color w:val="000000"/>
          <w:sz w:val="16"/>
        </w:rPr>
        <w:t>​</w:t>
      </w:r>
      <w:bookmarkStart w:id="324" w:name="tS1RT"/>
      <w:bookmarkEnd w:id="324"/>
      <w:r>
        <w:rPr>
          <w:rFonts w:ascii="calibri;arial;sans-serif" w:hAnsi="calibri;arial;sans-serif"/>
          <w:b w:val="false"/>
          <w:i w:val="false"/>
          <w:caps w:val="false"/>
          <w:smallCaps w:val="false"/>
          <w:color w:val="000000"/>
          <w:sz w:val="16"/>
        </w:rPr>
        <w:t>​</w:t>
      </w:r>
      <w:bookmarkStart w:id="325" w:name="tS2IT"/>
      <w:bookmarkEnd w:id="325"/>
      <w:r>
        <w:rPr>
          <w:rFonts w:ascii="calibri;arial;sans-serif" w:hAnsi="calibri;arial;sans-serif"/>
          <w:b w:val="false"/>
          <w:i w:val="false"/>
          <w:caps w:val="false"/>
          <w:smallCaps w:val="false"/>
          <w:color w:val="000000"/>
          <w:sz w:val="16"/>
        </w:rPr>
        <w:t>​</w:t>
      </w:r>
      <w:bookmarkStart w:id="326" w:name="tS3AO"/>
      <w:bookmarkEnd w:id="326"/>
      <w:r>
        <w:rPr>
          <w:rFonts w:ascii="calibri;arial;sans-serif" w:hAnsi="calibri;arial;sans-serif"/>
          <w:b w:val="false"/>
          <w:i w:val="false"/>
          <w:caps w:val="false"/>
          <w:smallCaps w:val="false"/>
          <w:color w:val="000000"/>
          <w:sz w:val="16"/>
        </w:rPr>
        <w:t>​</w:t>
      </w:r>
      <w:bookmarkStart w:id="327" w:name="tS4NO1"/>
      <w:bookmarkEnd w:id="327"/>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7. </w:t>
      </w:r>
      <w:r>
        <w:rPr>
          <w:rFonts w:ascii="Arial;Helvetica;sans-serif" w:hAnsi="Arial;Helvetica;sans-serif"/>
          <w:b w:val="false"/>
          <w:i w:val="false"/>
          <w:caps w:val="false"/>
          <w:smallCaps w:val="false"/>
          <w:color w:val="000000"/>
          <w:sz w:val="20"/>
          <w:u w:val="single"/>
        </w:rPr>
        <w:t>CHECKS</w:t>
      </w:r>
      <w:r>
        <w:rPr>
          <w:rFonts w:ascii="Arial;Helvetica;sans-serif" w:hAnsi="Arial;Helvetica;sans-serif"/>
          <w:b w:val="false"/>
          <w:i w:val="false"/>
          <w:caps w:val="false"/>
          <w:smallCaps w:val="false"/>
          <w:color w:val="000000"/>
          <w:sz w:val="20"/>
        </w:rPr>
        <w:t> —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8. </w:t>
      </w:r>
      <w:r>
        <w:rPr>
          <w:rFonts w:ascii="Arial;Helvetica;sans-serif" w:hAnsi="Arial;Helvetica;sans-serif"/>
          <w:b w:val="false"/>
          <w:i w:val="false"/>
          <w:caps w:val="false"/>
          <w:smallCaps w:val="false"/>
          <w:color w:val="000000"/>
          <w:sz w:val="20"/>
          <w:u w:val="single"/>
        </w:rPr>
        <w:t>NOTICE AND WAIVER OF NOTICE</w:t>
      </w:r>
      <w:r>
        <w:rPr>
          <w:rFonts w:ascii="Arial;Helvetica;sans-serif" w:hAnsi="Arial;Helvetica;sans-serif"/>
          <w:b w:val="false"/>
          <w:i w:val="false"/>
          <w:caps w:val="false"/>
          <w:smallCaps w:val="false"/>
          <w:color w:val="000000"/>
          <w:sz w:val="20"/>
        </w:rPr>
        <w:t> — Whenever any notice is required to be given under these By-Laws, personal notice is not required 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law. 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9. </w:t>
      </w:r>
      <w:r>
        <w:rPr>
          <w:rFonts w:ascii="Arial;Helvetica;sans-serif" w:hAnsi="Arial;Helvetica;sans-serif"/>
          <w:b w:val="false"/>
          <w:i w:val="false"/>
          <w:caps w:val="false"/>
          <w:smallCaps w:val="false"/>
          <w:color w:val="000000"/>
          <w:sz w:val="20"/>
          <w:u w:val="single"/>
        </w:rPr>
        <w:t>CORPORATE SEAL.</w:t>
      </w:r>
      <w:r>
        <w:rPr>
          <w:rFonts w:ascii="Arial;Helvetica;sans-serif" w:hAnsi="Arial;Helvetica;sans-serif"/>
          <w:b w:val="false"/>
          <w:i w:val="false"/>
          <w:caps w:val="false"/>
          <w:smallCaps w:val="false"/>
          <w:color w:val="000000"/>
          <w:sz w:val="20"/>
        </w:rPr>
        <w:t> — The corporate seal shall have inscribed thereon the name of the Corporation and the words “Corporate Seal,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INDEMNIFICATION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RIGHT TO INDEMNIFICATION.</w:t>
      </w:r>
      <w:r>
        <w:rPr>
          <w:rFonts w:ascii="Arial;Helvetica;sans-serif" w:hAnsi="Arial;Helvetica;sans-serif"/>
          <w:b w:val="false"/>
          <w:i w:val="false"/>
          <w:caps w:val="false"/>
          <w:smallCaps w:val="false"/>
          <w:color w:val="000000"/>
          <w:sz w:val="20"/>
        </w:rPr>
        <w:t> — Every person who was or is a party or is threatened to be made a party to or is involved in any action, suit, or proceeding, whether civil, criminal, administrative, or investigative, by reason of the fact that he is or was a director or officer of the Corporation or is or was serving at the request of the Corporation as a director or officer of another corporation, or as its representative in a partnership, joint venture, trust, or other enterprise, shall be indemnified and held harmless to the fullest extent legally permissible under and pursuant to any procedures specified in the General Corporation Law of the State of Delaware, as amended from time to time, against all expenses, liabilities, and losses (including attorneys’ fees, judgments, fines, and amounts paid or to be paid in settlement) reasonably incurred or suffered by him or her in connection therewith. Such right of indemnification shall be a contract right that may be enforced in any lawful manner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agreement, vote of shareholders, provision of law, or otherwise, as well as their rights under this paragraph.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INSURANCE.</w:t>
      </w:r>
      <w:r>
        <w:rPr>
          <w:rFonts w:ascii="Arial;Helvetica;sans-serif" w:hAnsi="Arial;Helvetica;sans-serif"/>
          <w:b w:val="false"/>
          <w:i w:val="false"/>
          <w:caps w:val="false"/>
          <w:smallCaps w:val="false"/>
          <w:color w:val="000000"/>
          <w:sz w:val="20"/>
        </w:rPr>
        <w:t> —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ADVANCEMENT OF EXPENSES.</w:t>
      </w:r>
      <w:r>
        <w:rPr>
          <w:rFonts w:ascii="Arial;Helvetica;sans-serif" w:hAnsi="Arial;Helvetica;sans-serif"/>
          <w:b w:val="false"/>
          <w:i w:val="false"/>
          <w:caps w:val="false"/>
          <w:smallCaps w:val="false"/>
          <w:color w:val="000000"/>
          <w:sz w:val="20"/>
        </w:rPr>
        <w:t> — 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or as its representative in a partnership, joint venture, trust or other enterprise) shall be paid by the Corporation in advance of the final disposition of such action, suit or proceeding upon receipt of an undertaking by or on behalf of such person to repay such amount if it shall ultimately be determined that he or she is not entitled to be indemnified by the Corporation as authorized by relevant sections of the General Corporation Law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Non-Exclusivity of Rights.</w:t>
      </w:r>
      <w:r>
        <w:rPr>
          <w:rFonts w:ascii="Arial;Helvetica;sans-serif" w:hAnsi="Arial;Helvetica;sans-serif"/>
          <w:b w:val="false"/>
          <w:i w:val="false"/>
          <w:caps w:val="false"/>
          <w:smallCaps w:val="false"/>
          <w:color w:val="000000"/>
          <w:sz w:val="20"/>
        </w:rPr>
        <w:t xml:space="preserve"> — The rights to indemnification and to the advancement of expenses conferred in these By-laws is not exclusive of any other right that any person may have or hereafter acquire under the Certificate of Incorporation, any statute, agreement, vote of shareholders or disinterested directors or otherwise.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8" w:name="tARVI4"/>
      <w:bookmarkEnd w:id="3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AMENDMENTS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These By-Laws may be altered, amended or repealed at any annual meeting of the stockholders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meeting at which a quorum is present alter, amend or repeal these By-Laws, or enact such other By-Laws as in their judgment may be advisable for the regulation and conduct of the affairs of the Corporation.</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9" w:name="tANB"/>
      <w:bookmarkEnd w:id="32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B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16, 2026​</w:t>
      </w:r>
    </w:p>
    <w:p>
      <w:pPr>
        <w:pStyle w:val="TextBody"/>
        <w:bidi w:val="0"/>
        <w:spacing w:lineRule="atLeast" w:line="23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of Directors </w:t>
        <w:br/>
        <w:t xml:space="preserve">LiveRamp Holdings, Inc. </w:t>
        <w:br/>
        <w:t>225 Bush Street, 17</w:t>
      </w:r>
      <w:r>
        <w:rPr>
          <w:rFonts w:ascii="Arial;Helvetica;sans-serif" w:hAnsi="Arial;Helvetica;sans-serif"/>
          <w:b w:val="false"/>
          <w:i w:val="false"/>
          <w:caps w:val="false"/>
          <w:smallCaps w:val="false"/>
          <w:color w:val="000000"/>
          <w:sz w:val="15"/>
        </w:rPr>
        <w:t>th</w:t>
      </w:r>
      <w:r>
        <w:rPr>
          <w:rFonts w:ascii="Arial;Helvetica;sans-serif" w:hAnsi="Arial;Helvetica;sans-serif"/>
          <w:b w:val="false"/>
          <w:i w:val="false"/>
          <w:caps w:val="false"/>
          <w:smallCaps w:val="false"/>
          <w:color w:val="000000"/>
          <w:sz w:val="20"/>
        </w:rPr>
        <w:t xml:space="preserve"> Floor </w:t>
        <w:br/>
        <w:t>San Francisco, CA 94104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Members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understand that Liveramp Holdings, Inc. (the “</w:t>
      </w:r>
      <w:r>
        <w:rPr>
          <w:rFonts w:ascii="Arial;Helvetica;sans-serif" w:hAnsi="Arial;Helvetica;sans-serif"/>
          <w:b w:val="false"/>
          <w:i w:val="false"/>
          <w:caps w:val="false"/>
          <w:smallCaps w:val="false"/>
          <w:color w:val="000000"/>
          <w:sz w:val="20"/>
          <w:u w:val="single"/>
        </w:rPr>
        <w:t>Company</w:t>
      </w:r>
      <w:r>
        <w:rPr>
          <w:rFonts w:ascii="Arial;Helvetica;sans-serif" w:hAnsi="Arial;Helvetica;sans-serif"/>
          <w:b w:val="false"/>
          <w:i w:val="false"/>
          <w:caps w:val="false"/>
          <w:smallCaps w:val="false"/>
          <w:color w:val="000000"/>
          <w:sz w:val="20"/>
        </w:rPr>
        <w:t>”) proposes to enter into an Agreement and Plan of Merger, dated as of the date hereof  (the “</w:t>
      </w:r>
      <w:r>
        <w:rPr>
          <w:rFonts w:ascii="Arial;Helvetica;sans-serif" w:hAnsi="Arial;Helvetica;sans-serif"/>
          <w:b w:val="false"/>
          <w:i w:val="false"/>
          <w:caps w:val="false"/>
          <w:smallCaps w:val="false"/>
          <w:color w:val="000000"/>
          <w:sz w:val="20"/>
          <w:u w:val="single"/>
        </w:rPr>
        <w:t>Merger Agreement</w:t>
      </w:r>
      <w:r>
        <w:rPr>
          <w:rFonts w:ascii="Arial;Helvetica;sans-serif" w:hAnsi="Arial;Helvetica;sans-serif"/>
          <w:b w:val="false"/>
          <w:i w:val="false"/>
          <w:caps w:val="false"/>
          <w:smallCaps w:val="false"/>
          <w:color w:val="000000"/>
          <w:sz w:val="20"/>
        </w:rPr>
        <w:t>”), with MMS USA Holdings, Inc. (“</w:t>
      </w:r>
      <w:r>
        <w:rPr>
          <w:rFonts w:ascii="Arial;Helvetica;sans-serif" w:hAnsi="Arial;Helvetica;sans-serif"/>
          <w:b w:val="false"/>
          <w:i w:val="false"/>
          <w:caps w:val="false"/>
          <w:smallCaps w:val="false"/>
          <w:color w:val="000000"/>
          <w:sz w:val="20"/>
          <w:u w:val="single"/>
        </w:rPr>
        <w:t>Parent</w:t>
      </w:r>
      <w:r>
        <w:rPr>
          <w:rFonts w:ascii="Arial;Helvetica;sans-serif" w:hAnsi="Arial;Helvetica;sans-serif"/>
          <w:b w:val="false"/>
          <w:i w:val="false"/>
          <w:caps w:val="false"/>
          <w:smallCaps w:val="false"/>
          <w:color w:val="000000"/>
          <w:sz w:val="20"/>
        </w:rPr>
        <w:t>”), Covey Merger Sub, Inc. (“</w:t>
      </w:r>
      <w:r>
        <w:rPr>
          <w:rFonts w:ascii="Arial;Helvetica;sans-serif" w:hAnsi="Arial;Helvetica;sans-serif"/>
          <w:b w:val="false"/>
          <w:i w:val="false"/>
          <w:caps w:val="false"/>
          <w:smallCaps w:val="false"/>
          <w:color w:val="000000"/>
          <w:sz w:val="20"/>
          <w:u w:val="single"/>
        </w:rPr>
        <w:t>Merger Sub</w:t>
      </w:r>
      <w:r>
        <w:rPr>
          <w:rFonts w:ascii="Arial;Helvetica;sans-serif" w:hAnsi="Arial;Helvetica;sans-serif"/>
          <w:b w:val="false"/>
          <w:i w:val="false"/>
          <w:caps w:val="false"/>
          <w:smallCaps w:val="false"/>
          <w:color w:val="000000"/>
          <w:sz w:val="20"/>
        </w:rPr>
        <w:t>”), and solely for the purposes of Section 10.14 thereof, Publicis Groupe S.A., pursuant to which Merger Sub will merge with and into the Company, with the Company surviving as a wholly owned subsidiary of Parent (the “</w:t>
      </w:r>
      <w:r>
        <w:rPr>
          <w:rFonts w:ascii="Arial;Helvetica;sans-serif" w:hAnsi="Arial;Helvetica;sans-serif"/>
          <w:b w:val="false"/>
          <w:i w:val="false"/>
          <w:caps w:val="false"/>
          <w:smallCaps w:val="false"/>
          <w:color w:val="000000"/>
          <w:sz w:val="20"/>
          <w:u w:val="single"/>
        </w:rPr>
        <w:t>Merger</w:t>
      </w:r>
      <w:r>
        <w:rPr>
          <w:rFonts w:ascii="Arial;Helvetica;sans-serif" w:hAnsi="Arial;Helvetica;sans-serif"/>
          <w:b w:val="false"/>
          <w:i w:val="false"/>
          <w:caps w:val="false"/>
          <w:smallCaps w:val="false"/>
          <w:color w:val="000000"/>
          <w:sz w:val="20"/>
        </w:rPr>
        <w:t>”). As a result of the Merger, each outstanding share of common stock, par value $0.10 per share, of the Company (the “</w:t>
      </w:r>
      <w:r>
        <w:rPr>
          <w:rFonts w:ascii="Arial;Helvetica;sans-serif" w:hAnsi="Arial;Helvetica;sans-serif"/>
          <w:b w:val="false"/>
          <w:i w:val="false"/>
          <w:caps w:val="false"/>
          <w:smallCaps w:val="false"/>
          <w:color w:val="000000"/>
          <w:sz w:val="20"/>
          <w:u w:val="single"/>
        </w:rPr>
        <w:t>Company Common Stock</w:t>
      </w:r>
      <w:r>
        <w:rPr>
          <w:rFonts w:ascii="Arial;Helvetica;sans-serif" w:hAnsi="Arial;Helvetica;sans-serif"/>
          <w:b w:val="false"/>
          <w:i w:val="false"/>
          <w:caps w:val="false"/>
          <w:smallCaps w:val="false"/>
          <w:color w:val="000000"/>
          <w:sz w:val="20"/>
        </w:rPr>
        <w:t>”) issued and outstanding immediately prior to the Effective Time (as defined in the Merger Agreement) (other than any (i) Dissenting Shares (as defined in the Merger Agreement), (ii) Cancelled Shares (as defined in the Merger Agreement) or (iii) Converted Shares (as defined in the Merger Agreement) (collectively, the shares of Company Common Stock referred to in clauses (i), (ii) and (iii), together with any other shares of Company Common Stock held by the Company, Parent or any of their respective affiliates, the “</w:t>
      </w:r>
      <w:r>
        <w:rPr>
          <w:rFonts w:ascii="Arial;Helvetica;sans-serif" w:hAnsi="Arial;Helvetica;sans-serif"/>
          <w:b w:val="false"/>
          <w:i w:val="false"/>
          <w:caps w:val="false"/>
          <w:smallCaps w:val="false"/>
          <w:color w:val="000000"/>
          <w:sz w:val="20"/>
          <w:u w:val="single"/>
        </w:rPr>
        <w:t>Excluded Shares</w:t>
      </w:r>
      <w:r>
        <w:rPr>
          <w:rFonts w:ascii="Arial;Helvetica;sans-serif" w:hAnsi="Arial;Helvetica;sans-serif"/>
          <w:b w:val="false"/>
          <w:i w:val="false"/>
          <w:caps w:val="false"/>
          <w:smallCaps w:val="false"/>
          <w:color w:val="000000"/>
          <w:sz w:val="20"/>
        </w:rPr>
        <w:t>”), will be converted into the right to receive $38.50 per share in cash, without interest (the “</w:t>
      </w:r>
      <w:r>
        <w:rPr>
          <w:rFonts w:ascii="Arial;Helvetica;sans-serif" w:hAnsi="Arial;Helvetica;sans-serif"/>
          <w:b w:val="false"/>
          <w:i w:val="false"/>
          <w:caps w:val="false"/>
          <w:smallCaps w:val="false"/>
          <w:color w:val="000000"/>
          <w:sz w:val="20"/>
          <w:u w:val="single"/>
        </w:rPr>
        <w:t>Merger Consideration</w:t>
      </w:r>
      <w:r>
        <w:rPr>
          <w:rFonts w:ascii="Arial;Helvetica;sans-serif" w:hAnsi="Arial;Helvetica;sans-serif"/>
          <w:b w:val="false"/>
          <w:i w:val="false"/>
          <w:caps w:val="false"/>
          <w:smallCaps w:val="false"/>
          <w:color w:val="000000"/>
          <w:sz w:val="20"/>
        </w:rPr>
        <w:t>”), subject to applicable withholding. The terms and conditions of the Merger are more fully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of Directors of the Company (the “</w:t>
      </w:r>
      <w:r>
        <w:rPr>
          <w:rFonts w:ascii="Arial;Helvetica;sans-serif" w:hAnsi="Arial;Helvetica;sans-serif"/>
          <w:b w:val="false"/>
          <w:i w:val="false"/>
          <w:caps w:val="false"/>
          <w:smallCaps w:val="false"/>
          <w:color w:val="000000"/>
          <w:sz w:val="20"/>
          <w:u w:val="single"/>
        </w:rPr>
        <w:t>Board of Directors</w:t>
      </w:r>
      <w:r>
        <w:rPr>
          <w:rFonts w:ascii="Arial;Helvetica;sans-serif" w:hAnsi="Arial;Helvetica;sans-serif"/>
          <w:b w:val="false"/>
          <w:i w:val="false"/>
          <w:caps w:val="false"/>
          <w:smallCaps w:val="false"/>
          <w:color w:val="000000"/>
          <w:sz w:val="20"/>
        </w:rPr>
        <w:t>”) has asked us whether, in our opinion, the Merger Consideration to be received by holders of the Company Common Stock (other than the Excluded Shares) in the Merger pursuant to the Merger Agreement is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rendering our opinion, we have,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(i) reviewed certain publicly available business and financial information relating to the Company that we deemed to be relevant, including publicly available research analysts’ estimates and price targets;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(ii) reviewed certain internal projected financial and operating data relating to the Company prepared and furnished to us by management of the Company, as approved for our use by the Company (the “</w:t>
      </w:r>
      <w:r>
        <w:rPr>
          <w:rFonts w:ascii="Arial;Helvetica;sans-serif" w:hAnsi="Arial;Helvetica;sans-serif"/>
          <w:b w:val="false"/>
          <w:i w:val="false"/>
          <w:caps w:val="false"/>
          <w:smallCaps w:val="false"/>
          <w:color w:val="000000"/>
          <w:sz w:val="20"/>
          <w:u w:val="single"/>
        </w:rPr>
        <w:t>Management Projections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(iii) discussed with management of the Company their assessment of the past and current operations of the Company, the current financial condition and prospects of the Company, and the Management Projections (including their views on the risks and uncertainties of achieving the Management Projections);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(iv) reviewed the reported prices and the historical trading activity of the Company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(v) compared the financial performance of the Company and its stock market trading multiples with those of certain other publicly traded companies that we deemed relevant;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(vi) compared the financial performance of the Company and the valuation multiples relating to the Merger with the financial terms, to the extent publicly available, of certain other transactions that we deemed relevant;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(vii) reviewed the financial terms and conditions of a draft, dated May 12, 2026, of the Merger Agreement; and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(viii) performed such other analyses and examinations and considered such other factors that we deemed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Management Projections, we have assumed with your consent that they have been reasonably prepared on bases reflecting the best currently available estimates and good faith judgments of management of the Company as to the future financial performance of the Company and the other matters covered thereby. We express no view as to the Management Projections or the assumptions on which they are based.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B-1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our analysis and opinion, we have assumed, in all respects material to our analysis that the Merger will be consummated in accordance with the terms set forth in the Merger Agreement, without any waiver, modification, or delay of any terms or conditions, including,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modification or delay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Company or the consummation of the Merger or reduce the contemplated benefits to the holders of the Company Common Stock of the Merger. We have undertaken no independent analysis of any potential or actual litigation, regulatory action, possible unasserted claims or other contingent liabilities, or any settlements thereof, to which the Company is or may be a party or is or may be subject, and this opinion does not consider the potential effects of any such litigation, actions, claims, other contingent liabilities or settlements. In addition, we have relied, without independent verification, on the assessments of the management of the Company as to (i) the validity of, and risks associated with, the Company’s intellectual property, technology, products and services, and (ii) the marketability, commercial viability and market adoption of the Company’s current and future products and services.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been asked to pass upon, and express no opinion with respect to, any matter other than the fairness to the holders of the Company Common Stock (other than Excluded Shares), from a financial point of view, of the Merger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or whether or not such other business or financial strategies could be achieved or are available, nor does it address the underlying business decision of the Company to engage in the Merger. Our opinion does not constitute a recommendation to the Board of Directors or to any other persons in respect of the Merger, including as to how any holder of shares of the Company Common Stock should vote or act in respect of the Merger. We are not expressing any opinion as to the prices at which shares of Company Common Stock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have acted as financial advisor to the Company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Company and we have not received any compensation from the Company during such period. In addition, during the two year period prior to the date hereof, Evercore Group L.L.C. and its affiliates have not been engaged to provide financial advisory or other services to Parent and we have not received any compensation from Parent during such period. We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B</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provide financial advisory or other services to the Company and Parent in the future, and in connection with any such services we may receive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Parent, potential parties to the Merger and/or any of their respective affiliates or persons that are competitors, customers or suppliers of the Company or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financial advisory services and this opinion are provided solely for the information and benefit of the Board of Directors (in its capacity as such) in connection with its evaluation of the proposed Merger and may not be used or relied upon by any other person or entity (including Parent) for any purpose. The issuance of this opinion has been approved by an Opinion Committee of Evercore Group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upon and subject to the foregoing, it is our opinion that, as of the date hereof, the Merger Consideration to be received by holders of the Company Common Stock (other than Excluded Shares) in the Merger pursuant to the Merger Agreement is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Very truly yours, </w:t>
      </w:r>
    </w:p>
    <w:p>
      <w:pPr>
        <w:pStyle w:val="TextBody"/>
        <w:bidi w:val="0"/>
        <w:spacing w:lineRule="atLeast" w:line="240" w:before="12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GROUP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7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Jason Sobol</w:t>
      </w:r>
      <w:r>
        <mc:AlternateContent>
          <mc:Choice Requires="wps">
            <w:drawing>
              <wp:anchor behindDoc="0" distT="88900" distB="0" distL="3810000" distR="0" simplePos="0" locked="0" layoutInCell="1" allowOverlap="1" relativeHeight="1159">
                <wp:simplePos x="0" y="0"/>
                <wp:positionH relativeFrom="column">
                  <wp:align>left</wp:align>
                </wp:positionH>
                <wp:positionV relativeFrom="line">
                  <wp:align>top</wp:align>
                </wp:positionV>
                <wp:extent cx="254000" cy="350520"/>
                <wp:effectExtent l="0" t="0" r="0" b="0"/>
                <wp:wrapSquare wrapText="right"/>
                <wp:docPr id="1156" name="Frame1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20pt;height:27.6pt;mso-wrap-distance-left:300pt;mso-wrap-distance-right:0pt;mso-wrap-distance-top:7pt;mso-wrap-distance-bottom:0pt;margin-top:7pt;mso-position-vertical:top;mso-position-vertical-relative:text;margin-left:164.55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70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7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Jason Sobol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B-3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0" w:name="tANC"/>
      <w:bookmarkEnd w:id="33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C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AMENDED AND RESTATED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2005 EQUITY COMPENSATION PLAN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OF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2"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Establishment and Purpose.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60">
                <wp:simplePos x="0" y="0"/>
                <wp:positionH relativeFrom="column">
                  <wp:align>left</wp:align>
                </wp:positionH>
                <wp:positionV relativeFrom="line">
                  <wp:align>top</wp:align>
                </wp:positionV>
                <wp:extent cx="254000" cy="350520"/>
                <wp:effectExtent l="0" t="0" r="0" b="0"/>
                <wp:wrapSquare wrapText="right"/>
                <wp:docPr id="1157" name="Frame1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Amended and Restated 2005 Equity Compensation Plan of LiveRamp Holdings, Inc. (the “Plan”) was originally established under the name of the 2000 Associate Stock Option Plan of Acxiom Corporation, the predecessor of LiveRamp Holdings, Inc. (“Company”). The Plan has been amended from time to time and hereby is amended and restated as set forth herein, effective May 13, 2026, for awards issued on or after that date. The purpose of the Plan is to further the growth and development of the Company and any of its present or future Subsidiaries and Affiliated Companies (as defined below) by allowing certain Associates (as defined below) to acquire or increase equity ownership in the Company, thereby offering such Associates a proprietary interest in the Company’s business and a more direct stake in its continuing welfare, and aligning their interests with those of the Company’s shareholders. The Plan is also intended to assist the Company in attracting and retaining talented Associates, who are vital to the continued development and success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2"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Definitions.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61">
                <wp:simplePos x="0" y="0"/>
                <wp:positionH relativeFrom="column">
                  <wp:align>left</wp:align>
                </wp:positionH>
                <wp:positionV relativeFrom="line">
                  <wp:align>top</wp:align>
                </wp:positionV>
                <wp:extent cx="254000" cy="350520"/>
                <wp:effectExtent l="0" t="0" r="0" b="0"/>
                <wp:wrapSquare wrapText="right"/>
                <wp:docPr id="1158" name="Frame1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capitalized terms, when used in the Plan, have the following meanings: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(a) “Act” means the Securities Exchange Act of 1934, as amended and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(b) “Affiliated Company” means any corporation, limited liability company, partnership, limited liability partnership, joint venture or other entity in which the Company or any of its Subsidiaries has an ownership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(c) “Associate” means any employee, officer (whether or not also a director), director, affiliate, independent contractor or consultant of the Company, a Subsidiary or an Affiliated Company who renders those types of services which tend to contribute to the success of the Company, its Subsidiaries or its Affiliated Companies, or which may reasonably be anticipated to contribute to the future success of the Company, its Subsidiaries or its Affiliated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(d) “Award” means the grant, pursuant to the Plan, of any Option, Stock Appreciation Right, Restricted Stock Award, Restricted Stock Unit Award, Performance Awards, Performance Share, Performance Unit, Qualified Performance-Based Award, or Other Stock Unit Award. The terms and conditions applicable to an Award shall be set forth in applicable Grant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(e) “Award Agreement” means any written or electronic agreement, contract, or other document or instrument evidencing any Award granted by the Committee or the Board hereunder, which may, but need not, be executed or acknowledged by both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(f) “Board” means the Board of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(g) “Code” means the Internal Revenue Code of 1986, as amended and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(h) “Common Stock” means the common stock, par value $.10 per share, of the Company or any security into which such common stock may be changed by reason of any transaction or event of the type described in Section 16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(i) “Committee” means the Talent and Compensation Committee of the Board (as well as any successor to the Talent and Compensation Committee and any Company officers to whom authority has been lawfully delegated by the Talent and Compensation Committee). All of the members of the Committee, which may not be less than two, are intended at all times to qualify as “outside directors” within the meaning of Section 162(m) of the Code and “Non-Employee Directors” within the meaning of Rule 16b-3, and each of whom is “independent” as set forth in the applicable rules and regulations of the Securities and Exchange Commission and/or Nasdaq or any stock exchange upon which the Shares may be listed in the future; provided, however, that the failure of a member of such Committee to so qualify shall not be deemed to invalidate any Award granted by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(j) “Covered Associate” shall mean a “covered employee” within the meaning of Section 162(m)(3) of the Code, or any successor provision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(k) “Date of Grant” means the date specified by the Committee or the Board, as applicable, on which a grant of an Award will become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(l) “Exercise Period” means the period during which an Option shall vest and become exercisable by a Participant (or his or her representatives or transferees) as specified in Section 6(c)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(m) “Exercise Price” means the purchase price per share payable upon exercise of an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(n) “Fair Market Value” means, as of any applicable determination date or for any applicable determination period, the closing price of the Company’s Common Stock as reported by Nasdaq (or any other stock exchange upon which the Common Stock may be listed for trading).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(o) “Grant Documents” means any written or electronic Award Agreement, memorandum, notice, and/or other document or instrument evidencing the terms and conditions of the grant of an Award by the Committee or the Board under the Plan, which may, but need not, be executed or acknowledged by both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(p) “Incentive Stock Option” means an Option intended to be and designated as an “Incentive Stock Option” within the meaning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(q) “Legal Requirements” means any laws, or any rules or regulations issued or promulgated by the Internal Revenue Service (including Section 422 of the Code), the Securities and Exchange Commission, the National Association of Securities Dealers, Inc., Nasdaq (or any other stock exchange upon which the Common Stock may be listed for trading), or any other governmental or quasi-governmental agency having jurisdiction over the Company, the Common Stock or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(r) “Non-Qualified Stock Option” means any Option that is not an Incentive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(s) “Option” means an option granted to a Participant pursuant to the Plan to acquire a certain number of Shares at such price(s) and during such period(s) and under such other terms and conditions as the Committee or Board shall determine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(t) “Other Stock Unit Award” means any right granted to a Participant by the Committee or Board pursuant to Section 10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(u) “Participant” means an Associate who is selected by the Committee or the Board to receive an Award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(v) “Performance Award” means any Award of Performance Shares or Performance Units pursuant to Section 9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(w) “Performance Goals” means the pre-established objective performance goals established by the Committee for each Performance Period. The Performance Goals may be based upon the performance of the Company (or a division, organization or other business unit thereof), a Subsidiary, an Affiliated Company, or of an individual Participant, using one or more of the Performance Measures selected by the Committee in its discretion. Performance Goals may be set at a specific level, or may be expressed as a relative percentage to the comparable measure at comparison companies or a defined index. Performance Goals shall, to the extent applicable, be based upon generally accepted accounting principles, but shall be adjusted by the Committee to take into account the effect of the following: changes in accounting standards that may be required by the Financial Accounting Standards Board after the Performance Goal is established; realized investment gains and losses; extraordinary, unusual, non-recurring, or infrequent items; “non-GAAP financial measures” that have been included in the Company’s quarterly earnings releases and disclosed to investors in accordance with SEC regulations; and other items as the Committee determines to be required so that the operating results of the Company (or a division, organization or other business unit thereof), a Subsidiary or an Affiliated Company shall be computed on a comparative basis from Performance Period to Performance Period. Determinations made by the Committee shall be based on relevant objective information and/or financial data, and shall be final and conclusive with respect to all affected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(x) “Performance Measures” means one or more of the following criteria, on which Performance Goals may be based: (a) earnings (either in the aggregate or on a per-Share basis, reflecting dilution of Shares as the Committee deems appropriate and, if the Committee so determines, net of or including dividends) before or after interest and taxes (“EBIT”) or before or after interest, taxes, depreciation, and amortization (“EBITDA”); (b) gross or net revenue or changes in annual revenues; (c) cash flow(s) (including operating, free or net cash flows); (d) financial return ratios; (e) total shareholder return, shareholder return based on growth measures or the attainment by the Shares of a specified value for a specified period of time, (f) Share price, or Share price appreciation; (g) earnings growth or growth in earnings per Share; (h) return measures, including return or net return on assets, net assets, equity, capital, investment, or gross sales; (i) adjusted pre-tax margin; (j) pre-tax profits; (k) operating margins; (l) operating profits; (m) operating expenses; (n) dividends; (o) net income or net operating income; (p) growth in operating earnings or growth in earnings per Share; (q) value of assets; (r) market share or market penetration with respect to specific designated products or product groups and/or specific geographic areas; (s) aggregate product price and other product measures; (t) expense or cost levels, in each case, where applicable, determined either on a company-wide basis or in respect of any one or more specified divisions; (u) reduction of losses, loss ratios or expense ratios; (v) reduction in fixed costs; (w) operating cost management; (x) cost of capital; (y) debt reduction; (z) productivity improvements; (aa) satisfaction of specified business expansion goals or goals relating to acquisitions or divestitures; (bb) customer satisfaction based on specified objective goals or a Company-sponsored customer survey; or (cc) Associate diversity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Performance Measures may be applied on a pre-tax or post-tax basis, and may be based upon the performance of the Company (or a division, organization or other business unit thereof), a Subsidiary, an Affiliated Company, or of an individual Participant. The Committee may, at time of grant, in the case of an Award intended to be a Qualified Performance-Based Award, and in the case of other grants, at any time, provide that the Performance Goals for such Award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(y) “Performance Period” means that period established by the Committee or the Board at the time any Award is granted or at any time thereafter during which any performance goals specified by the Committee or the Board with respect to such Award are to be measured.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(z) “Performance Share” means any grant pursuant to Section 9 hereof of a right to receive the value of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(aa) ”Performance Unit” means any grant pursuant to Section 9 hereof of a right to receive the value of property other than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(bb) ”Qualified Performance-Based Award” means an Award to a Covered Associate who is a salaried employee of the Company or to an Associate that the Committee determines may be a Covered Associate at the time the Company would be entitled to a deduction for such Award, which Award is intended to provide “qualified performance-based compensation” within the meaning of Code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(cc) “Restricted Stock” means any Share issued with the restriction that the holder may not sell, transfer, pledge, or assign such Share and with such other restrictions as the Committee or the Board, in their sole discretion, may impose (including, without limitation, any forfeiture condition or any restriction on the right to vote such Share, and the right to receive any cash dividends on unvested shares), which restrictions may lapse separately or in combination at such time or times, in installments or otherwise, as the Committee or the Board may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(dd) “Restricted Stock Award” means an award of Restricted Stock or Restricted Stock Units under Section 8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(ee) ”Restricted Stock Unit” means a right awarded to a Participant that, subject to Section 8(c), may result in the Participant’s ownership of Shares upon, but not before, the lapse of restrictions related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(ff) “Restriction Period” means the period of time specified by the Committee or Board pursuant to Sections 8 and 10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(gg) “Rule 16b-3” means Rule 16b-3 under Section 16 of the Act, as such Rule may be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(hh) “Shares” means the shares of Common Stock of the Company, $.10 par value, as may be adjusted in accordance with Section 16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(ii) “Stock Appreciation Right” means the right pursuant to an Award granted under Section 7 of the Plan, to surrender to the Company all (or a portion) of such right and, if applicable, a related Option, and receive cash or shares of Common Stock in accordance with the provisions of Section 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(jj) “Strike Price” shall have the meaning set forth for such term in Section 7(b)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(kk) “Subsidiary” means any corporation, limited liability company, partnership, limited liability partnership, joint venture or other entity in which the Company owns or controls, directly or indirectly, not less than 50% of the total combined voting power or equity interests represented by all classes of stock, membership or other interests issued by such corporation, limited liability company, partnership, limited liability partnership, joint venture or other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(ll) “Substitute Awards” shall mean Awards granted or Shares issued by the Company in assumption of, or in substitution or exchange for, awards previously granted, or the right or obligation to make future awards, by a company acquired by the Company or with which the Company combines.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(mm) “UK Addendum” means the addendum set forth on Schedule 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4"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Administration.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62">
                <wp:simplePos x="0" y="0"/>
                <wp:positionH relativeFrom="column">
                  <wp:align>left</wp:align>
                </wp:positionH>
                <wp:positionV relativeFrom="line">
                  <wp:align>top</wp:align>
                </wp:positionV>
                <wp:extent cx="254000" cy="350520"/>
                <wp:effectExtent l="0" t="0" r="0" b="0"/>
                <wp:wrapSquare wrapText="right"/>
                <wp:docPr id="1159" name="Frame1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shall be administered by the Committee and the Board. Except as otherwise provided herein, each of the Committee or the Board has the full authority and discretion to administer the Plan, and to take any action that is necessary or advisable in connection with the administration of the Plan including, without limitation, the authority and discretion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(a) select the Associates eligible to become Participants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(b) determine whether and to what extent Awards are to be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(c) determine the number of Shares to be covered by each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(d) determine the terms and conditions, not inconsistent with the terms of the Plan, of any grant hereunder (including, but not limited to, the term of the Award, the Exercise Price or Strike Price and any restriction, limitation, procedure, or deferral related thereto, provisions relating to the effect upon the Award of a Participant’s cessation of employment, acceleration of vesting, forfeiture provisions regarding an Award and/or the profits received by any Participant from receiving an Award of exercising an Option or Stock Appreciation Right, and any other terms and conditions regarding any Award, based in each case upon such guidelines and factors as the Committee or Board shall determine from time to time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(e) determine whether, to what extent and under what circumstances grants under the Plan are to be made and operate, whether on a tandem basis or otherwise, with other grants or awards (whether equity or cash based) made by the Company under or outside of the Plan;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(f) delegate to one or more officers of the Company the right to grant Awards under the Plan, provided that such delegation is made in accordance with the provisions of applicable state and federal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the Committee and the Board shall have the authority to adopt, alter and repeal such rules, guidelines and practices governing the Plan as it shall from time to time deem advisable; to interpret the terms and provisions of the Plan and any Award granted under thereunder (and any Grant Documents relating thereto); and to otherwise supervise the administration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Each of the Committee and the Board shall also have the authority to provide, in their discretion, for the rescission, forfeiture, cancellation or other restriction of any Award granted under the Plan, or for the forfeiture, rescission or repayment to the Company by a Participant or former Participant of any profits or gains related to any Award granted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hereunder, or other limitations, upon the occurrence of such prescribed events and under such circumstances as the Committee or the Board shall deem necessary and reasonable for the benefit of the Company; provided, however, that this provision shall have no application after a Change in Control Event (as defined below in Section 11) has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decisions made by the Committee and the Board pursuant to the provisions of the Plan shall be made in the Committee’s or Board’s sole discretion and shall be final and binding on all persons including the Company and any Participant. No member of the Committee or Board will be liable for any such action taken or omitted to be taken or determination made in good faith.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provision of the Plan to the contrary, the Committee shall have the exclusive authority and discretion to award, administer or otherwise take any action required or permitted to be taken with respect to Qualified Performance-Based Awards or under any provisions of the Plan with respect to Awards that are intended to comply with the requirements of Section 162(m)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Shares Subject to the Plan.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3">
                <wp:simplePos x="0" y="0"/>
                <wp:positionH relativeFrom="column">
                  <wp:align>left</wp:align>
                </wp:positionH>
                <wp:positionV relativeFrom="line">
                  <wp:align>top</wp:align>
                </wp:positionV>
                <wp:extent cx="254000" cy="350520"/>
                <wp:effectExtent l="0" t="0" r="0" b="0"/>
                <wp:wrapSquare wrapText="right"/>
                <wp:docPr id="1160" name="Frame1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(a) The total number of Shares (“Total Shares”) which may be issued pursuant to the Plan shall not exceed 51,375,000 Shares; provided, that the Total Shares shall be increased to 53,875,000 Shares, subject to the approval of the Company’s shareholders within one year of May 13, 2026. Such Shares may consist, in whole or in part, of authorized and unissued shares or treasury shares, as determined in the discretion of the Committee or the Board. Notwithstanding anything to the contrary in this Section 4, in no event will more than the Total Shares be cumulatively available for Awards of Incentive Stock Options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(b) If any Award made under the Plan is forfeited, any Option (and the related Stock Appreciation Right, if any), or any Stock Appreciation Right not related to an Option terminates, expires or lapses without being exercised, or any Stock Appreciation Right is exercised for cash, the Shares subject to such Awards that are, as a result, not delivered to the Participant shall again be available for delivery in connection with Awards. If a Stock Appreciation Right is exercised, the total number of Shares against which the Stock Appreciation Right was measured, not merely the number of Shares issued, will be deemed delivered for purposes of determining the maximum number of Shares available for delivery under the Plan. If the Exercise Price of any Option is satisfied by delivering Shares to the Company (by either actual delivery or by attestation), the total number of Shares exercised, not merely the number of Shares delivered or attested to, shall be deemed delivered for purposes of determining the maximum number of Shares available for delivery pursuant to Awards under the Plan. To the extent any Shares subject to an Award are not delivered to a Participant because such Shares are used to satisfy an applicable tax withholding obligation, such Shares that are not delivered shall be deemed delivered and shall not thereafter be available for delivery in connection with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(c) Shares available for issuance or reissuance under the Plan will be subject to adjustment as provided in Section 16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Eligible Participants.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4">
                <wp:simplePos x="0" y="0"/>
                <wp:positionH relativeFrom="column">
                  <wp:align>left</wp:align>
                </wp:positionH>
                <wp:positionV relativeFrom="line">
                  <wp:align>top</wp:align>
                </wp:positionV>
                <wp:extent cx="254000" cy="350520"/>
                <wp:effectExtent l="0" t="0" r="0" b="0"/>
                <wp:wrapSquare wrapText="right"/>
                <wp:docPr id="1161" name="Frame1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Associates shall be eligible to receive Awards and thereby become Participants in the Plan, regardless of such Associate’s prior participation in the Plan or any other benefit plan of the Company, provided that (1) only Associates who are employees of the Company or a Subsidiary may receive Incentive Stock Options; and (2) for any Performance Period for which Awards are intended to be Qualified Performance-Based Awards to eligible classes of Associates as set forth in Section 14, the Committee shall designate the Associates eligible to be granted Awards no later than the 90th day after the start of the fiscal year (or in the case of a Performance Period based upon a time period other than a fiscal year, no later than the date on which 25% of the Performance Period has elapsed). No executive officer named in the Summary Compensation Table of the Company’s then current Proxy Statement shall be eligible to receive in excess of 400,000 Options or Stock Appreciation Rights in any one-year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Options.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5">
                <wp:simplePos x="0" y="0"/>
                <wp:positionH relativeFrom="column">
                  <wp:align>left</wp:align>
                </wp:positionH>
                <wp:positionV relativeFrom="line">
                  <wp:align>top</wp:align>
                </wp:positionV>
                <wp:extent cx="254000" cy="350520"/>
                <wp:effectExtent l="0" t="0" r="0" b="0"/>
                <wp:wrapSquare wrapText="right"/>
                <wp:docPr id="1162" name="Frame1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Grant of Options</w:t>
      </w:r>
      <w:r>
        <w:rPr>
          <w:rFonts w:ascii="Arial;Helvetica;sans-serif" w:hAnsi="Arial;Helvetica;sans-serif"/>
          <w:b w:val="false"/>
          <w:i w:val="false"/>
          <w:caps w:val="false"/>
          <w:smallCaps w:val="false"/>
          <w:color w:val="000000"/>
          <w:sz w:val="20"/>
        </w:rPr>
        <w:t xml:space="preserve">. The Committee, the Board or their authorized designees may from time to time authorize grants of Options to any Participant upon such terms and conditions as the Committee or Board may determine in accordance with the provisions set forth in the Plan. Each grant will specify, among other things, the number of Shares to which it pertains; the Exercise Price; the form of payment to be made by the Participant for the Shares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purchased upon exercise of any Option; the required period or periods (if any) of continuous service by the Participant with the Company, a Subsidiary or an Affiliated Company and/or any other conditions to be satisfied before the Options or installments thereof will vest and become exercisable. Options granted under the Plan may be either Non-Qualified Options or Incentive Stock Options.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provision of the Plan to the contrary, the aggregate Fair Market Value (as determined on the Date of Grant) of the Common Stock with respect to which Incentive Stock Options granted are exercisable for the first time by any Participant during any calendar year (under all plans of the Company and its Subsidiaries) shall not exceed the maximum amount specified by Section 422 of the Code, as amended from time to time (currently $100,000).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Option granted under this Plan will be evidenced by Grant Documents delivered to the Participant containing such further terms and provisions, not inconsistent with the Plan, as the Committee or Board may approve in their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Exercise Price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Exercise Price for each share of Common Stock purchasable under any Option shall be not less than 100% of the Fair Market Value per share on the Date of Grant as the Committee or Board shall specify. All such Exercise Prices shall be subject to adjustment as provided for in Section 16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(ii) If any Participant to whom an Incentive Stock Option is to be granted under the Plan is on the Date of Grant the owner of stock (as determined under Section 425(d) of the Code) possessing more than 10% of the total combined voting power of all classes of stock of the Company or any one of its Subsidiaries or Affiliated Companies, then the Exercise Price per share of Common Stock subject to such Incentive Stock Option shall not be less than 110% of the Fair Market Value of one Share on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Exercise Period</w:t>
      </w:r>
      <w:r>
        <w:rPr>
          <w:rFonts w:ascii="Arial;Helvetica;sans-serif" w:hAnsi="Arial;Helvetica;sans-serif"/>
          <w:b w:val="false"/>
          <w:i w:val="false"/>
          <w:caps w:val="false"/>
          <w:smallCaps w:val="false"/>
          <w:color w:val="000000"/>
          <w:sz w:val="20"/>
        </w:rPr>
        <w:t>. Subject to Section 11 hereof, the period during which an Option shall vest and become exercisable by a Participant (or his or her representative(s) or transferee(s)) whether during or after employment or following death, retirement or disability (the “Exercise Period”) shall be such period of time as may be designated by the Committee or the Board as set forth in the Committee’s or Board’s applicable rules, guidelines and practices governing the Plan and/or in the Grant Documents executed in connection with such Option. If the Committee or Board provides, in their sole discretion, that any Option is exercisable only in installments, the Committee or Board may waive or accelerate such installment exercise provisions at any time at or after grant in whole or in part, based upon such factors as the Committee or Board shall determine,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duration of any Incentive Stock Option granted under the Plan shall be ten (10) years from the Date of Grant (and no such Incentive Stock Option shall be exercisable after the expiration of such (10) year period), unless the Incentive Stock Option is granted to a Participant who, at the time of the grant, owns stock representing more than 10% of the voting power of all classes of stock of the Company, in which case the term may not exceed five (5) years from the Date of Grant. The duration of Non-Qualified Stock Options shall be for such period as determined by the Committee or Board in its sole discretion, not to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Exercise of Option</w:t>
      </w:r>
      <w:r>
        <w:rPr>
          <w:rFonts w:ascii="Arial;Helvetica;sans-serif" w:hAnsi="Arial;Helvetica;sans-serif"/>
          <w:b w:val="false"/>
          <w:i w:val="false"/>
          <w:caps w:val="false"/>
          <w:smallCaps w:val="false"/>
          <w:color w:val="000000"/>
          <w:sz w:val="20"/>
        </w:rPr>
        <w:t>. Subject to Section 11 hereof, an Option may be exercised by a Participant at any time and from time to time during the Exercise Period by giving written notice of such exercise to the Company specifying the number of shares of Common Stock to be purchased by the Participant. Such notice shall be accompanied by payment of the Exercise Price in accordance with subsection (e)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Payment for Shares</w:t>
      </w:r>
      <w:r>
        <w:rPr>
          <w:rFonts w:ascii="Arial;Helvetica;sans-serif" w:hAnsi="Arial;Helvetica;sans-serif"/>
          <w:b w:val="false"/>
          <w:i w:val="false"/>
          <w:caps w:val="false"/>
          <w:smallCaps w:val="false"/>
          <w:color w:val="000000"/>
          <w:sz w:val="20"/>
        </w:rPr>
        <w:t>. Full payment of the Exercise Price for the Shares purchased upon exercise of an Option, together with the amount of any tax or excise due in respect of the sale and issue thereof, may be made in one of the following forms of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(i) Cash, by check or electronic funds transfer;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(ii) Pursuant to procedures approved by the Company, through the sale (or margin) of Shares acquired upon exercise of the Option through a broker-dealer to whom the Participant has submitted an irrevocable notice of exercise and irrevocable instructions to deliver promptly to the Company the amount of sale (or if applicable margin loan) proceeds sufficient to pay for the Exercise Price, together with, if requested by the Company, the amount of federal, state, local or foreign withholding taxes payable by reason of such exercise;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(iii) By delivering previously-owned shares of Common Stock owned by the Participant for a period of at least six months having a Fair Market Value on the date upon which the Participant exercises his or her Option equal to the Exercise Price, or by delivering a combination of cash and shares of Common Stock equal to the aggregate Exercise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(iv) By authorizing the Company to withhold a number of shares of Common Stock otherwise issuable to the Participant upon exercise of an Option having an aggregate Fair Market Value on the date upon which the Participant exercises his or her Option equal to the aggregate Exercise Price;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(v) By any combination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Provided, however, that the payment methods described in clause (iv) immediately above shall not be available to a Participant without the prior consent of either the Committee or its authorized designee(s), or if at any time the Company is prohibited from purchasing or acquiring Shares under applicable Legal Requirements. The Committee or the Board may permit a Participant to exercise an Option and defer the issuance of any Shares, subject to such rules and procedures as the Committee or Board may establish.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will issue no certificates for Shares until full payment of the Exercise Price has been made, and a Participant shall have none of the rights of a shareholder until certificates for the Shares purchased are issued; provided however, that for purposes of this Section 6, full payment shall be deemed to have been received by the Company upon evidence of delivery to a broker-dealer of the irrevocable instructions contemplated by clause (ii) immediately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dividends, dividend equivalents or other similar payments shall be payable in respect of an unvested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w:t>
      </w:r>
      <w:r>
        <w:rPr>
          <w:rFonts w:ascii="Arial;Helvetica;sans-serif" w:hAnsi="Arial;Helvetica;sans-serif"/>
          <w:b w:val="false"/>
          <w:i w:val="false"/>
          <w:caps w:val="false"/>
          <w:smallCaps w:val="false"/>
          <w:color w:val="000000"/>
          <w:sz w:val="20"/>
          <w:u w:val="single"/>
        </w:rPr>
        <w:t>Withholding Taxes</w:t>
      </w:r>
      <w:r>
        <w:rPr>
          <w:rFonts w:ascii="Arial;Helvetica;sans-serif" w:hAnsi="Arial;Helvetica;sans-serif"/>
          <w:b w:val="false"/>
          <w:i w:val="false"/>
          <w:caps w:val="false"/>
          <w:smallCaps w:val="false"/>
          <w:color w:val="000000"/>
          <w:sz w:val="20"/>
        </w:rPr>
        <w:t>. The Company may require a Participant exercising a Non-Qualified Stock Option or Stock Appreciation Right granted hereunder to reimburse the Company (or the entity which employs the Participant) for taxes required by any government to be withheld or otherwise deducted and paid by such corporation in respect of the issuance of the Shares. Such withholding requirements may be satisfied by any one of the following methods: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(i) A Participant may deliver cash in an amount which would satisfy the withholding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(ii) A Participant may deliver previously-owned Shares (based upon the Fair Market Value of the Common Stock on the date of exercise) in an amount which would satisfy the withholding requirement;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(iii) With the prior consent of either the Committee or the Board, or its authorized designees, a Participant may request that the Company (or the entity which employs the Participant) withhold from the number of Shares otherwise issuable to the Participant upon exercise of an Option such number of Shares (based upon the Fair Market Value of the Common Stock on the date of exercise) as is necessary to satisfy the withholding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w:t>
      </w:r>
      <w:r>
        <w:rPr>
          <w:rFonts w:ascii="Arial;Helvetica;sans-serif" w:hAnsi="Arial;Helvetica;sans-serif"/>
          <w:b w:val="false"/>
          <w:i w:val="false"/>
          <w:caps w:val="false"/>
          <w:smallCaps w:val="false"/>
          <w:color w:val="000000"/>
          <w:sz w:val="20"/>
          <w:u w:val="single"/>
        </w:rPr>
        <w:t>Conditions to Exercise of Options</w:t>
      </w:r>
      <w:r>
        <w:rPr>
          <w:rFonts w:ascii="Arial;Helvetica;sans-serif" w:hAnsi="Arial;Helvetica;sans-serif"/>
          <w:b w:val="false"/>
          <w:i w:val="false"/>
          <w:caps w:val="false"/>
          <w:smallCaps w:val="false"/>
          <w:color w:val="000000"/>
          <w:sz w:val="20"/>
        </w:rPr>
        <w:t>. The Committee or the Board may, in their discretion, require as conditions to the exercise of Options or Stock Appreciation Rights and the issuance of shares thereunder either (a) that a registration statement under the Securities Act of 1933, as amended, with respect to the Options or Stock Appreciation Rights and the shares to be issued upon the exercise thereof, containing such current information as is required by the Rules and Regulations under said Act, shall have become, and continue to be, effective; or (b) that the Participant or his or her transferee(s) (i) shall have represented, warranted and agreed, in form and substance satisfactory to the Company, both that he or she is acquiring the Option or Stock Appreciation Right and, at the time of exercising the Option or Stock Appreciation Right, that he or she is acquiring the shares for his/her own account, for investment and not with a view to or in connection with any distribution; (ii) shall have agreed to restrictions on transfer, in form and substance satisfactory to the Company; and (iii) shall have agreed to an endorsement which makes appropriate reference to such representations, warranties, agreements and restrictions both on the option and on the certificate representing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w:t>
      </w:r>
      <w:r>
        <w:rPr>
          <w:rFonts w:ascii="Arial;Helvetica;sans-serif" w:hAnsi="Arial;Helvetica;sans-serif"/>
          <w:b w:val="false"/>
          <w:i w:val="false"/>
          <w:caps w:val="false"/>
          <w:smallCaps w:val="false"/>
          <w:color w:val="000000"/>
          <w:sz w:val="20"/>
          <w:u w:val="single"/>
        </w:rPr>
        <w:t>Use of Proceeds</w:t>
      </w:r>
      <w:r>
        <w:rPr>
          <w:rFonts w:ascii="Arial;Helvetica;sans-serif" w:hAnsi="Arial;Helvetica;sans-serif"/>
          <w:b w:val="false"/>
          <w:i w:val="false"/>
          <w:caps w:val="false"/>
          <w:smallCaps w:val="false"/>
          <w:color w:val="000000"/>
          <w:sz w:val="20"/>
        </w:rPr>
        <w:t>. Proceeds realized from the sale of Common Stock pursuant to Options granted hereunder shall constitute general funds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w:t>
      </w:r>
      <w:r>
        <w:rPr>
          <w:rFonts w:ascii="Arial;Helvetica;sans-serif" w:hAnsi="Arial;Helvetica;sans-serif"/>
          <w:b w:val="false"/>
          <w:i w:val="false"/>
          <w:caps w:val="false"/>
          <w:smallCaps w:val="false"/>
          <w:color w:val="000000"/>
          <w:sz w:val="20"/>
          <w:u w:val="single"/>
        </w:rPr>
        <w:t>Minimum Vesting Period</w:t>
      </w:r>
      <w:r>
        <w:rPr>
          <w:rFonts w:ascii="Arial;Helvetica;sans-serif" w:hAnsi="Arial;Helvetica;sans-serif"/>
          <w:b w:val="false"/>
          <w:i w:val="false"/>
          <w:caps w:val="false"/>
          <w:smallCaps w:val="false"/>
          <w:color w:val="000000"/>
          <w:sz w:val="20"/>
        </w:rPr>
        <w:t>. The minimum vesting period applicable to any Option shall be one (1) year from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66">
                <wp:simplePos x="0" y="0"/>
                <wp:positionH relativeFrom="column">
                  <wp:align>left</wp:align>
                </wp:positionH>
                <wp:positionV relativeFrom="line">
                  <wp:posOffset>635</wp:posOffset>
                </wp:positionV>
                <wp:extent cx="254000" cy="350520"/>
                <wp:effectExtent l="0" t="0" r="0" b="0"/>
                <wp:wrapSquare wrapText="right"/>
                <wp:docPr id="1163" name="Frame1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(a) When granted, Stock Appreciation Rights may, but need not be, identified with a specific Option (including any Option granted on or before the Date of Grant of the Stock Appreciation Rights) in a number equal to or different from the number of Stock Appreciation Rights so granted. If Stock Appreciation Rights are identified with Shares subject to an Option, then, unless otherwise provided in the applicable Grant Documents, the Participant’s associated Stock Appreciation Rights shall terminate upon the expiration, termination, forfeiture or cancellation of such Option or the exercise of such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(b) The Strike Price of any Stock Appreciation Right shall (i) for any Stock Appreciation Right that is identified with an Option, equal the Exercise Price of such Option, or (ii) for any other Stock Appreciation Right, be not less than 100% of the Fair Market Value of a Share of Common Stock on the Date of Grant as the Committee or Board shall specify. The duration of any Stock Appreciation Right shall be for such period as determined by the Committee or Board in its sole discretion, not to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(c) Subject to Section 11 hereof, (i) each Stock Appreciation Right which is identified with any Option grant shall vest and become exercisable by a Participant as and to the extent, including the minimum vesting period provided in Section 6(i), that the related Option with respect to which such Stock Appreciation Right is identified may be exercised; and (ii) each other Stock Appreciation Right shall vest and become exercisable by a Participant, whether during or after employment or following death, retirement or disability, at such time or times as may be designated by the Committee or Board as set forth in the applicable rules, guidelines and practices governing the Plan and/or the Grant Documents executed in connection with such Stock Appreciation Right; provided, however, that the minimum vesting period applicable to any such other Stock Appreciation Right shall be one (1) year from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(d) Subject to Section 11 hereof, Stock Appreciation Rights may be exercised by a Participant by delivery to the Company of written notice of intent to exercise a specific number of Stock Appreciation Rights. Unless otherwise provided in the applicable Grant Documents, the exercise of Stock Appreciation Rights which are identified with Shares of Common Stock subject to an Option shall result in the cancellation or forfeiture of such Option to the extent of the exercise of such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(e) The benefit to the Participant for each Stock Appreciation Right exercised shall be equal to (i) the Fair Market Value of a Share of Common Stock on the date of exercise, minus (ii) the Strike Price of such Stock Appreciation Right. Such benefit shall be payable in cash, except that the Committee or Board may provide in the applicable rules, guidelines and practices governing the Plan and/or the Grant Documents that benefits may be paid wholly or partly in Shares of Common Stock. No dividends, dividend equivalents or other similar payments shall be payable in respect of an unvested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7">
                <wp:simplePos x="0" y="0"/>
                <wp:positionH relativeFrom="column">
                  <wp:align>left</wp:align>
                </wp:positionH>
                <wp:positionV relativeFrom="line">
                  <wp:align>top</wp:align>
                </wp:positionV>
                <wp:extent cx="254000" cy="350520"/>
                <wp:effectExtent l="0" t="0" r="0" b="0"/>
                <wp:wrapSquare wrapText="right"/>
                <wp:docPr id="1164" name="Frame1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8.</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Issuance</w:t>
      </w:r>
      <w:r>
        <w:rPr>
          <w:rFonts w:ascii="Arial;Helvetica;sans-serif" w:hAnsi="Arial;Helvetica;sans-serif"/>
          <w:b w:val="false"/>
          <w:i w:val="false"/>
          <w:caps w:val="false"/>
          <w:smallCaps w:val="false"/>
          <w:color w:val="000000"/>
          <w:sz w:val="20"/>
        </w:rPr>
        <w:t>. A Restricted Stock Award shall be subject to restrictions imposed by the Committee or the Board during a period of time specified by the Committee or Board (the “Restriction Period”). Restricted Stock Awards may be issued hereunder to Participants for no cash consideration or for such minimum consideration as may be required by applicable law, either alone or in addition to other Awards granted under the Plan. The provisions of Restricted Stock Awards need not be the same with respect to each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Restricted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Company may grant Restricted Stock to those Associates the Committee or the Board may select in their sole discretion. Each Award of Restricted Stock shall have those terms and conditions that are expressly set forth in or are required by the Plan and the Grant Documents as the Committee or the Board may determine in their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(ii) While any restriction applies to any Participant’s Restricted Stock, (a) the Participant shall receive the proceeds of the Restricted Stock in any stock split, reverse stock split, recapitalization, or other change in the capital structure of the Company, which proceeds shall automatically and without need for any other action become Restricted Stock and be subject to all restrictions then existing as to the Participant’s Restricted Stock; (b) the Participant shall be entitled to vote the Restricted Stock during the Restriction Period; and (c) no dividends, dividend equivalents or other similar payments shall be payable in respect of such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(iii) The Restricted Stock will be delivered to the Participant subject to the understanding that while any restriction applies to the Restricted Stock, the Participant shall not have the right to sell, transfer, assign, convey, pledge, hypothecate, grant any security interest in or mortgage on, or otherwise dispose of or encumber any shares of Restricted Stock or any interest therein. As a result of the retention of rights in the Restricted Stock by the Company, except as required by any applicable law, neither any shares of the Restricted Stock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(iv) Unless other provisions are specified in the Grant Documents or Plan guidelines which may be adopted by the Committee or the Board from time to time, any Restricted Stock held by the Participant at the time the Participant ceases to be an Associate for any reason shall be forfeited by the Participant to the Company and automatically re-conveyed to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(v) The Committee or the Board may withhold, in accordance with Section 17(f) hereof, any amounts necessary to collect any withholding taxes upon any taxable event relating to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(vi) The making of an Award of Restricted Stock and delivery of any Restricted Stock is subject to compliance by the Company with all applicable Legal Requirements. The Company need not issue or transfer Restricted Stock pursuant to the Plan unless the Company’s legal counsel has approved all legal matters in connection with the delivery of the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(vii) The Restricted Stock will be book-entry Shares only unless the Committee or the Board decides to issue certificates to evidence any shares of Restricted Stock. The Company may place stop-transfer instructions with respect to all Restricted Stock on its stock transfer records.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(viii) At the time of grant of Restricted Stock (or at such earlier or later time as the Committee or the Board determines to be appropriate in light of the provisions of Code Section 409A), the Committee or the Board may permit a Participant of an Award of Restricted Stock to defer receipt of his or her Restricted Stock in accordance with rules and procedures established by the Committee or the Board. Alternatively, the Committee or the Board may, in their discretion and at the times provided above, permit an individual who would have been a Participant with respect to an Award of Restricted Stock, to elect instead to receive an equivalent Award of Restricted Stock Units, and the Committee or the Board may permit the Participant to elect to defer receipt of Shares under the Restricted Stock Units in accordance with Section 8(c)(viii).</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(ix) The minimum Restriction Period applicable to any Award of Restricted Stock that is not subject to performance conditions restricting the grant size, the transfer of the shares, or the vesting of the award shall be two (2) years from the date of grant; provided, however, that a Restriction Period of less than two (2) years may be approved under the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Restricted Stock Units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Company may grant Restricted Stock Units to those Associates as the Committee or the Board may select in its sole discretion. Restricted Stock Units represent the right to receive Shares in the future, at such times, and subject to such conditions as the Committee or the Board shall determine. The restrictions imposed shall take into account potential tax treatment under Code Section 409A.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(ii) Until the Restricted Stock Unit is released from restrictions and any Shares subject thereto are delivered to the Participant, the Participant shall not have any beneficial ownership in any Shares subject to the Restricted Stock Unit, nor shall the Participant have the right to sell, transfer, assign, convey, pledge, hypothecate, grant any security interest in or mortgage on, or otherwise dispose of or encumber any Restricted Stock Unit or any interest therein. Except as required by any law, no Restricted Stock Unit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(iii) Upon the lapse of the restrictions, the Participant holder of Restricted Stock Units shall, except as noted below, be entitled to receive, as soon as administratively practical, (a) that number of Shares subject to the Award that are no longer subject to restrictions, (b) cash in an amount equal to the Fair Market Value of the number of Shares subject to the Award that are no longer subject to restrictions, or (c) any combination of Shares and cash, as the Committee or the Board shall determine in their sole discretion, or shall have specified at the time the Award was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(iv) Restricted Stock Units and the entitlement to Shares, cash, or any combination thereunder will be forfeited and all rights of a Participant to such Restricted Stock Units and the Shares thereunder will terminate if the applicable restrictions are not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(v) A Participant holder of Restricted Stock Units is not entitled to any rights of a holder of the Shares (e.g., voting rights), prior to the receipt of such Shares pursuant to the Plan. No dividends, dividend equivalents or other similar payments shall be payable in respect of an outstanding Restricted Stock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(vi) The Committee or the Board may withhold, in accordance with Section 17(f) hereof, any amounts necessary to collect any withholding taxes upon any taxable event relating to any Restricted Stock Units.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(vii) The granting of Restricted Stock Units and the delivery of any Shares is subject to compliance by the Company with all applicable Legal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(viii) t the time of grant of Restricted Stock Units (or at such earlier or later time as the Committee or the Board determines to be appropriate in light of the provisions of Code Section 409A), the Committee or the Board may permit a Participant to elect to defer receipt of the Shares or cash to be delivered upon lapse of the restrictions applicable to the Restricted Stock Units in accordance with rules and procedures that may be established from time to time by the Committee or the Board. Such rules and procedures shall take into account potential tax treatment under Code Section 409A, and may provide for payment in Shares or cash.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(ix) The minimum Restriction Period applicable to any Award of Restricted Stock Units shall be one (1) year from the date of grant, provided, however, that a Restriction Period of less than one (1) year may be approved under the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8">
                <wp:simplePos x="0" y="0"/>
                <wp:positionH relativeFrom="column">
                  <wp:align>left</wp:align>
                </wp:positionH>
                <wp:positionV relativeFrom="line">
                  <wp:align>top</wp:align>
                </wp:positionV>
                <wp:extent cx="254000" cy="350520"/>
                <wp:effectExtent l="0" t="0" r="0" b="0"/>
                <wp:wrapSquare wrapText="right"/>
                <wp:docPr id="1165" name="Frame1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9.</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Grant</w:t>
      </w:r>
      <w:r>
        <w:rPr>
          <w:rFonts w:ascii="Arial;Helvetica;sans-serif" w:hAnsi="Arial;Helvetica;sans-serif"/>
          <w:b w:val="false"/>
          <w:i w:val="false"/>
          <w:caps w:val="false"/>
          <w:smallCaps w:val="false"/>
          <w:color w:val="000000"/>
          <w:sz w:val="20"/>
        </w:rPr>
        <w:t>. The Company may grant Performance Awards to Associates on any terms and conditions the Committee or the Board deem desirable. Each Award of Performance Awards shall have those terms and conditions that are expressly set forth in, or are required by, the Plan and the Grant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Goals</w:t>
      </w:r>
      <w:r>
        <w:rPr>
          <w:rFonts w:ascii="Arial;Helvetica;sans-serif" w:hAnsi="Arial;Helvetica;sans-serif"/>
          <w:b w:val="false"/>
          <w:i w:val="false"/>
          <w:caps w:val="false"/>
          <w:smallCaps w:val="false"/>
          <w:color w:val="000000"/>
          <w:sz w:val="20"/>
        </w:rPr>
        <w:t>. The Committee or the Board may set Performance Goals which, depending on the extent to which they are met during a Performance Period, will determine the number of Performance Shares or Performance Units that will be delivered to a Participant at the end of the Performance Period. The Performance Goals may be set at threshold, target, and maximum performance levels, and the number of Performance Share or Performance Units to be delivered may be tied to the degree of attainment of the various performance levels specified under the various Performance Goals during the Performance Period, which may not be less than one year. No payment shall be made with respect to a Performance Award if any specified threshold performance level is not attained.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Beneficial Ownership</w:t>
      </w:r>
      <w:r>
        <w:rPr>
          <w:rFonts w:ascii="Arial;Helvetica;sans-serif" w:hAnsi="Arial;Helvetica;sans-serif"/>
          <w:b w:val="false"/>
          <w:i w:val="false"/>
          <w:caps w:val="false"/>
          <w:smallCaps w:val="false"/>
          <w:color w:val="000000"/>
          <w:sz w:val="20"/>
        </w:rPr>
        <w:t>. A Participant receiving a Performance Award shall not have any beneficial ownership in any Shares subject to such Award until Shares are delivered in satisfaction of the Award, nor shall the Participant have the right to sell, transfer, assign, convey, pledge, hypothecate, grant any security interest in or mortgage on, or otherwise dispose of or encumber any Performance Award or any interest therein. Except as required by any law, neither the Performance Award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Determination of Achievement of Performance Awards</w:t>
      </w:r>
      <w:r>
        <w:rPr>
          <w:rFonts w:ascii="Arial;Helvetica;sans-serif" w:hAnsi="Arial;Helvetica;sans-serif"/>
          <w:b w:val="false"/>
          <w:i w:val="false"/>
          <w:caps w:val="false"/>
          <w:smallCaps w:val="false"/>
          <w:color w:val="000000"/>
          <w:sz w:val="20"/>
        </w:rPr>
        <w:t xml:space="preserve">. The Committee or the Board shall, promptly after the date on which the necessary financial, individual or other information for a particular Performance Period becomes available, determine and certify the degree to which each of the Performance Goals have been attained.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Payment of Performance Awards</w:t>
      </w:r>
      <w:r>
        <w:rPr>
          <w:rFonts w:ascii="Arial;Helvetica;sans-serif" w:hAnsi="Arial;Helvetica;sans-serif"/>
          <w:b w:val="false"/>
          <w:i w:val="false"/>
          <w:caps w:val="false"/>
          <w:smallCaps w:val="false"/>
          <w:color w:val="000000"/>
          <w:sz w:val="20"/>
        </w:rPr>
        <w:t>. After the applicable Performance Period has ended, a recipient of a Performance Award shall be entitled to payment based on the performance level attained with respect to the Performance Goals applicable to the Performance Award. Performance Awards shall be settled as soon as practicable after the Committee or Board determines and certifies the degree of attainment of Performance Goals for the Performance Period. Subject to the terms and conditions of the Grant Documents, payment to a Participant with respect to a Performance Award may be made (a) in Shares, (b) in cash, or (c) any combination of Shares and cash, as the Committee or the Board may determine at any time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w:t>
      </w:r>
      <w:r>
        <w:rPr>
          <w:rFonts w:ascii="Arial;Helvetica;sans-serif" w:hAnsi="Arial;Helvetica;sans-serif"/>
          <w:b w:val="false"/>
          <w:i w:val="false"/>
          <w:caps w:val="false"/>
          <w:smallCaps w:val="false"/>
          <w:color w:val="000000"/>
          <w:sz w:val="20"/>
          <w:u w:val="single"/>
        </w:rPr>
        <w:t>Limitation on Rights/Withholding</w:t>
      </w:r>
      <w:r>
        <w:rPr>
          <w:rFonts w:ascii="Arial;Helvetica;sans-serif" w:hAnsi="Arial;Helvetica;sans-serif"/>
          <w:b w:val="false"/>
          <w:i w:val="false"/>
          <w:caps w:val="false"/>
          <w:smallCaps w:val="false"/>
          <w:color w:val="000000"/>
          <w:sz w:val="20"/>
        </w:rPr>
        <w:t>. A recipient of a Performance Award is not entitled to any rights of a holder of the Shares (e.g. voting rights), prior to the receipt of such Shares pursuant to the Plan. No dividends, dividend equivalents or other similar payments shall be payable in respect of an outstanding Performance Award. The Committee or the Board may withhold, in accordance with Section 17(f) hereof, any amounts necessary to collect any withholding taxes upon any taxable event relating to Performance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Stock Unit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9">
                <wp:simplePos x="0" y="0"/>
                <wp:positionH relativeFrom="column">
                  <wp:align>left</wp:align>
                </wp:positionH>
                <wp:positionV relativeFrom="line">
                  <wp:align>top</wp:align>
                </wp:positionV>
                <wp:extent cx="254000" cy="350520"/>
                <wp:effectExtent l="0" t="0" r="0" b="0"/>
                <wp:wrapSquare wrapText="right"/>
                <wp:docPr id="1166" name="Frame1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10.</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Other Awards of Shares and other Awards that are valued in whole or in part by reference to, or are otherwise based on, Shares or other property (“Other Stock Unit Awards”) may be granted hereunder to Participants, either alone or in addition to other Awards granted under the Plan. Other Stock Unit Awards may be paid in Shares, cash or any other form of property as the Committee or the Board may determine. Subject to the provisions of the Plan, the Committee or the Board shall have sole and complete authority to determine the Associates to whom such Awards shall be made, the times at which such Awards shall be made, the number of Shares to be granted pursuant to such Awards, and all other terms and conditions of such Awards. The provisions of Other Stock Unit Awards need not be the same with respect to each Participant. For any Award or Shares subject to any Award made under this Section 10, the vesting of which is conditioned only on the passage of time, such Restriction Period shall be a minimum of two (2) years for full vesting. Shares (including securities convertible into Shares) subject to Awards granted under this Section 10 may be issued for no cash consideration or for such minimum consideration as may be required by applicable law. No dividends, dividend equivalents or other similar payments shall be payable in respect of an outstanding Other Stock Unit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 in Control.</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70">
                <wp:simplePos x="0" y="0"/>
                <wp:positionH relativeFrom="column">
                  <wp:align>left</wp:align>
                </wp:positionH>
                <wp:positionV relativeFrom="line">
                  <wp:align>top</wp:align>
                </wp:positionV>
                <wp:extent cx="254000" cy="350520"/>
                <wp:effectExtent l="0" t="0" r="0" b="0"/>
                <wp:wrapSquare wrapText="right"/>
                <wp:docPr id="1167" name="Frame1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any other provision of the Plan to the contrary, upon the occurrence of a transaction involving the consummation of a reorganization, merger, consolidation or similar transaction involving the Company (other than a reorganization, merger, consolidation or similar transaction in which the Company’s shareholders immediately prior to such transaction own more than 50% of the combined voting power entitled to vote in the election of directors of the surviving corporation), a sale of all or substantially all of its assets, the liquidation or dissolution of the Company, the acquisition of a significant percentage, which shall be no less than beneficial ownership (within the meaning of Rule 13d-3 under the Act) of 20%, of the voting power of the Company, (each a “Change in Control Event”), which shall not include preliminary transaction activities such as receipt of a letter of interest, receipt of a letter of intent or an agreement in principle, each outstanding Award will be treated as the Committee or Board may determine (subject to the provisions of the following paragraph), without a Participant’s consent, including, without limitation, that (A) Awards will be assumed, or substantially equivalent Awards will be substituted, by the acquiring or succeeding corporation (or affiliate thereof), with appropriate adjustments as to the number and kind of shares and prices; (B) upon written or electronic notice to a Participant, that the Participant’s Awards will terminate upon or immediately prior to the consummation of such Change in Control Event; (C) that, to the extent the Committee or Board may determine, in whole or in part prior to or upon consummation of such Change in Control Event, (i) Options and Stock Appreciation Rights may become immediately exercisable; (ii) restrictions and deferral limitations applicable to any Restricted Stock or Restricted Stock Unit Award may become free of all restrictions and limitations and become fully vested and transferable; (iii) 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clause (ii) of this subsection 11(C)); and (iv) the restrictions and deferral limitations and other conditions applicable to any Other Stock Unit Awards or any other Awards granted under the Plan may lapse and such Other Stock Unit Awards or such other Awards may become free of all restrictions, limitations or conditions and become fully vested and transferable to the full extent of the Award not previously forfeited or vested; (D) the termination of an Award in exchange for an amount equal to the excess of the fair market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value of the Shares subject to the Award immediately prior to the occurrence of such transaction (which shall be no less than the value being paid for such Shares pursuant to such transaction as determined by the Committee or Board) over the Exercise Price or Strike Price, if applicable, of such Award, with such amount payable in cash, in one or more of the kinds of property payable in such transaction, or in a combination thereof, as the Committee or Board in their discretion shall determine, or (E) any combination of the foregoing. In taking any of the actions permitted by this Section 11, the Committee or Board will not be obligated to treat all Awards, all Awards held by a Participant, or all Awards of the same type, similarly. Notwithstanding the definition of Change in Control Event above in this Section 11, to the extent required to avoid the adverse tax consequences under Section 409A of the Code, a Change in Control Event shall be deemed to occur only to the extent it also meets the requirements for a change in control event for purposes of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the successor corporation does not assume or substitute for the Award (or portion thereof), (i) Options and Stock Appreciation Rights will vest and become immediately exercisable; (ii) restrictions and deferral limitations applicable to any Restricted Stock or Restricted Stock Unit Award will become free of all restrictions and limitations and become fully vested and transferable; (iii) all Performance Awards will be considered to be prorated, and any deferral or other restriction will lapse and such Performance Awards will be immediately settled or distributed; and (iv) the restrictions and deferral limitations and other conditions applicable to any Other Stock Unit Awards or any other Awards granted under the Plan will lapse and such Other Stock Unit Awards or such other Awards will become free of all restrictions, limitations or conditions and become fully vested and transferable to the full extent of the Award not previously forfeited or vested. In addition, if an Option or Stock Appreciation Right is not assumed or substituted in the event of a Change in Control Event, the Committee or Board will notify the Participant in writing or electronically that the Option or Stock Appreciation Right will be exercisable for a period of time determined by the Committee or Board in its sole discretion, and the Option or Stock Appreciation Right will terminate upon the expiration of such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purposes of this Section 11, an Award will be considered assumed if, following the Change in Control Event, the Award confers the right to purchase or receive, for each Share subject to the Award immediately prior to the Change in Control Event, the consideration (whether stock, cash, or other securities or property) received in the Change in Control Event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Event is not solely common stock of the successor corporation or its parent entity, the Committee or Board may, with the consent of the successor corporation, provide for the consideration to be received upon the exercise of an Option or Stock Appreciation Right or upon the payout of any other Award, for each Share subject to such Award, to be solely common stock of the successor corporation or its parent entity equal in fair market value to the per share consideration received by holders of Common Stock in the Change in Control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anything in this Section 11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Event corporate structure will not be deemed to invalidate an otherwise valid Award assumption.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Clawback.</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1">
                <wp:simplePos x="0" y="0"/>
                <wp:positionH relativeFrom="column">
                  <wp:align>left</wp:align>
                </wp:positionH>
                <wp:positionV relativeFrom="line">
                  <wp:align>top</wp:align>
                </wp:positionV>
                <wp:extent cx="254000" cy="350520"/>
                <wp:effectExtent l="0" t="0" r="0" b="0"/>
                <wp:wrapSquare wrapText="right"/>
                <wp:docPr id="1168" name="Frame1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Awards granted pursuant to this Plan are subject to the Company’s “clawback policy” as may be in effect at the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Transferability of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2">
                <wp:simplePos x="0" y="0"/>
                <wp:positionH relativeFrom="column">
                  <wp:align>left</wp:align>
                </wp:positionH>
                <wp:positionV relativeFrom="line">
                  <wp:align>top</wp:align>
                </wp:positionV>
                <wp:extent cx="254000" cy="350520"/>
                <wp:effectExtent l="0" t="0" r="0" b="0"/>
                <wp:wrapSquare wrapText="right"/>
                <wp:docPr id="1169" name="Frame1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(a) Incentive Stock Options granted under the Plan shall not be transferred by a Participant, except by will or by the laws of descent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(b) Other Awards (subject to the limitations in paragraph (c) below) granted under the Plan may be transferred by a Participant to: (i) the Participant’s family members (whether related by blood, marriage, or adoption and including a former spouse); (ii) trust(s) in which the Participant’s family members have a greater than 50% beneficial interest; (iii) trusts, including but not limited to charitable remainder trusts, or similar vehicles established for estate planning and/or charitable giving purposes; and (iv) family partnerships and/or family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limited liability companies which are controlled by the Participant or the Participant’s family members, such transfers being permitted to occur by gift or pursuant to a domestic relation order, or, only in the case of transfers to the entities described in clauses (i), (ii) and (iii) immediately above, for value. The Committee or Board, or their authorized designees may, in their sole discretion, permit transfers of Awards to other persons or entities upon the request of a Participant; provided, however, that such Awards may not be transferred to a third party financial institution for value, including as collateral. Subsequent transfers of previously transferred Awards may only be made to one of the permitted transferees named above, unless the subsequent transfer has been approved by the Committee or the Board, or their authorized designee(s). Otherwise, such transferred Awards may be transferred only by will or the laws of descent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(c) Notwithstanding the foregoing, if at the time any Option is transferred as permitted under this Section 13, a corresponding Stock Appreciation Right has been identified as being granted in tandem with such Option, then the transfer of such Option shall also constitute a transfer of the corresponding Stock Appreciation Right, and such Stock Appreciation Right shall not be transferable other than as part of the transfer of the Option to which it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(d) Concurrently with any transfer, the transferor shall give written notice to the Plan’s then-current Plan administrator of the name and address of the transferee, the number of Shares being transferred, the Date of Grant of the Awards being transferred, and such other information as may reasonably be required by the administrator. Following a transfer, any such Awards shall continue to be subject to the same terms and conditions as were applicable immediately prior to transfer. The provisions of the Plan and applicable Grant Documents shall continue to be applied with respect to the original Participant, and such Awards shall be exercisable by the transferee only to the extent that they could have been exercised by the Participant under the terms of the original Grant Documents. The Company disclaims any obligation to provide notice to a transferee of any termination or expiration of a transferred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Code Section 162(m) Provisions and Award Limitations.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73">
                <wp:simplePos x="0" y="0"/>
                <wp:positionH relativeFrom="column">
                  <wp:align>left</wp:align>
                </wp:positionH>
                <wp:positionV relativeFrom="line">
                  <wp:align>top</wp:align>
                </wp:positionV>
                <wp:extent cx="254000" cy="350520"/>
                <wp:effectExtent l="0" t="0" r="0" b="0"/>
                <wp:wrapSquare wrapText="right"/>
                <wp:docPr id="1170" name="Frame1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(a) Notwithstanding any other provision of the Plan, (i) to the extent Awards to salaried employees (each an “eligible employee” for purposes of Code Section 162(m) and the Treasury Regulations thereunder with regard to shareholder approval of the material terms of the Performance Goals) are intended to be Qualified Performance-Based Awards; or (ii) if the Committee determines at the time any Award is granted to a salaried employee who is, or who may be as of the end of the tax year in which the Company would claim a tax deduction in connection with such Award, a Covered Associate, then the Committee may provide that this Section 14 is applicable to such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(b) If an Award is subject to this Section 14, then the lapsing of restrictions thereon and the distribution of cash, Shares or other property pursuant thereto, as applicable, shall be subject to the achievement or attainment of one or more objective Performance Goals as determined by the Committee, using one or more Performance Measures also as determined by the Committee. Such Performance Goals shall be established by the Committee no later than 90 days after the beginning of the Performance Period to which the Performance Goals pertain and while the attainment of the Performance Goals is substantially uncertain, and in any event no later than the date on which 25% of the Performance Period has elapsed.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(c) Notwithstanding any provision of this Plan (other than Section 11 or 15), with respect to any Award that is subject to this Section 14, the Committee may adjust downwards, but not upwards, the amount payable pursuant to such Award, and the Committee may not waive the achievement of the applicable Performance Goals except in the case of the death or disability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(d) The Committee shall have the power to impose such other restrictions on Awards subject to this Section 14 as it may deem necessary or appropriate to ensure that such Awards satisfy all requirements for “performance-based compensation” within the meaning of Section 162(m)(4)(C) of the Code, or any successor provision thereto. Whenever the Committee determines that it is advisable to grant or pay Awards that do not qualify as Qualified Performance-Based Awards, the Committee may make grants or payments without satisfying the requirements of Code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(e) Notwithstanding any provision of this Plan other than Section 16, commencing with calendar year 2005, (i) no Participant may be granted in any twelve (12) month period an aggregate amount of Options and/or Stock Appreciation Rights with respect to more than 400,000 Shares, and (ii) no Participant may be granted in any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twelve (12) month period an aggregate amount of Restricted Stock Awards, Restricted Stock Unit Awards, Performance Awards or Other Stock Unit Awards, with respect to more than 400,000 Shares (or cash amounts based on the value of more than 400,000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(f) Notwithstanding any provision of this Plan other than Section 16, commencing with calendar year 2015, no non-employee director of the Company may be granted in any twelve (12) month period an aggregate amount of equity having a value of more than $400,000 on the date of grant, under this Plan or any other equity compensation plan sponsored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Alteration, Termination, Discontinuance, Suspension, and Amendment.</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1174">
                <wp:simplePos x="0" y="0"/>
                <wp:positionH relativeFrom="column">
                  <wp:align>left</wp:align>
                </wp:positionH>
                <wp:positionV relativeFrom="line">
                  <wp:align>top</wp:align>
                </wp:positionV>
                <wp:extent cx="254000" cy="350520"/>
                <wp:effectExtent l="0" t="0" r="0" b="0"/>
                <wp:wrapSquare wrapText="right"/>
                <wp:docPr id="1171" name="Frame1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(a) The Committee or the Board may amend, alter, suspend, discontinue or terminate the Plan or any portion thereof at any time; provided that no such amendment, alteration, suspension, discontinuation or termination shall be made without (i) shareholder approval if such approval is necessary to qualify for or comply with any tax or regulatory requirement for which or with which the Committee or Board deems it necessary or desirable to qualify or comply; or (ii) the consent of the affected Participant, if such action would impair the rights of such Participant under any outstanding Award. Notwithstanding anything to the contrary herein, the Committee or the Board may make technical amendments to the Plan as may be necessary so as to have the Plan conform to any Legal Requirements in any jurisdiction within or outside the United States, so long as shareholder approval of such technical amendments is not required.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(b) The Committee or Board may amend the terms of any outstanding Award, prospectively or retroactively, except to the extent that such action would cause an Award subject to Section 14 not to qualify for the exemption from the limitation on deductibility imposed by Section 162(m)(4)(c) of the Code, and except that no such amendment shall impair the rights of any Participant without his or her consent. Subject to the requirements of paragraph (c) below, the Committee or Board may, without the consent of the Participant, amend any Grant Documents evidencing an Option or Stock Appreciation Right granted under the Plan, or otherwise take action, to accelerate the time or times at which an Option or Stock Appreciation Right may be exercised; to waive any other condition or restriction applicable to an Award or to the exercise of an Option or Stock Appreciation Right; to amend the definition of a change in control of the Company (if such a definition is contained in such Grant Documents) to expand the events that would result in a change in control and to add a change in control provision to such Grant Documents (if such provision is not contained in such Grant Documents); and may amend any such Grant Documents in any other respect with the consent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(c) If an amendment would (i) materially increase the benefits to participants under the Plan, (ii) increase the aggregate number of Shares that may be issued under the Plan, or (iii) materially modify the requirements for participation in the Plan by materially increasing the class or number of persons eligible to participate in the Plan, then such amendment shall be subject to shareholder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(d) If required by any Legal Requirement, any amendment to the Plan or any Award will also be submitted to and approved by the requisite vote of the shareholders of the Company. If any Legal Requirement requires the Plan to be amended, or in the event any Legal Requirement is amended or supplemented (e.g., by addition of alternative rules) to permit the Company to remove or lessen any restrictions on or with respect to an Award, the Board and the Committee each reserve the right to amend the Plan or any Grant Documents evidencing an Award to the extent of any such requirement, amendment or supplement, and all Awards then outstanding will be subject to such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(e) Notwithstanding any provision of the Plan to the contrary, the Committee or the Board may not, without prior approval of the shareholders of the Company, reprice any outstanding Option and/or Stock Appreciation Rights by either lowering the Exercise Price thereof or canceling such outstanding Option and/or Stock Appreciation Rights in consideration of a grant having a lower Exercise Price or in exchange for awards or cash considerations. This paragraph 15(e) is intended to prohibit the repricing of  “underwater” Options without prior shareholder approval and shall not be construed to prohibit the adjustments provided for in Section 16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(f) The Plan may be terminated at any time by action of the Board. The termination of the Plan will not adversely affect the terms of any outstanding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Adjustment of Shares; Effect of Certain Transactions.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1175">
                <wp:simplePos x="0" y="0"/>
                <wp:positionH relativeFrom="column">
                  <wp:align>left</wp:align>
                </wp:positionH>
                <wp:positionV relativeFrom="line">
                  <wp:align>top</wp:align>
                </wp:positionV>
                <wp:extent cx="254000" cy="350520"/>
                <wp:effectExtent l="0" t="0" r="0" b="0"/>
                <wp:wrapSquare wrapText="right"/>
                <wp:docPr id="1172" name="Frame1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any other provision of the Plan to the contrary, in the event of any change affecting the Shares subject to the Plan or any Award (through merger, consolidation, reorganization, recapitalization, dividend or other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Committee or the Board as to the (i) Total Shares subject to the Plan, (ii) maximum number of Shares for which Awards may be granted to any one Associate, (iii) number of Shares and price per Share subject to outstanding Awards, and (iv) class of shares of stock that may be delivered under the Plan and/or each outstanding Award, as shall be equitable to prevent dilution or enlargement of rights under previously granted Awards. The determination of the Committee or Board as to these matters shall be conclusive; provided, however, that (i) any such adjustment with respect to an Incentive Stock Option and any related Stock Appreciation Right shall comply with the rules of Section 424(a) of the Code; and (ii) in no event shall any adjustment be made which would disqualify any Incentive Stock Option granted hereunder as an Incentive Stock Option for purposes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General Provisions.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76">
                <wp:simplePos x="0" y="0"/>
                <wp:positionH relativeFrom="column">
                  <wp:align>left</wp:align>
                </wp:positionH>
                <wp:positionV relativeFrom="line">
                  <wp:align>top</wp:align>
                </wp:positionV>
                <wp:extent cx="254000" cy="350520"/>
                <wp:effectExtent l="0" t="0" r="0" b="0"/>
                <wp:wrapSquare wrapText="right"/>
                <wp:docPr id="1173" name="Frame1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 Associate or Participant shall have any claim to be granted any Award under the Plan, and there is no obligation for uniformity of treatment of Associates or Participants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(b) Except to the extent that such action would cause an Award subject to Section 14 not to qualify for the exemption from the limitation on deductibility imposed by Section 162(m)(4)(c) of the Code, the Committee or Board shall be authorized to make adjustments in performance award criteria or in the terms and conditions of other Awards in recognition of unusual or nonrecurring events affecting the Company or its financial statements or changes in applicable laws, regulations or accounting principles. The Committee or Board may correct any defect, supply any omission, or reconcile any inconsistency in the Plan or any Award in the manner and to the extent it shall deem desirable to carry it into effect. In the event the Company shall assume outstanding employee benefit awards or the right or obligation to make future such awards in connection with the acquisition of or combination with another corporation or business entity, the Committee or Board may, in their discretion, make such adjustments in the terms of Awards under the Plan as it shall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(c) All certificates for Shares delivered under the Plan pursuant to any Award shall be subject to such stock transfer orders and other restrictions as the Committee or Board may deem advisable under the rules, regulations, and other requirements of the Securities and Exchange Commission, any stock exchange upon which the Shares are then listed, and any applicable state or Federal securities law, and the Committee or Board may cause a legend or legends to be put on any such certificates to make appropriate reference to such restrictions.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(d) No Award granted hereunder shall be construed as an offer to sell securities of the Company, and no such offer shall be outstanding, unless and until the Committee or the Board in their sole discretion has determined that any such offer, if made, would be in compliance with all applicable requirements of the U.S. Federal securities laws and any other Legal Requirements to which such offer, if made, would be subject.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(e) The Committee or the Board shall be authorized to establish procedures pursuant to which the payment of any Award may be deferred.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(f) The Company shall be authorized to withhold from any Award granted or payment due under the Plan the amount of withholding taxes due in respect of an Award or payment hereunder and to take such other action as may be necessary in the opinion of the Plan administrator to satisfy all obligations for the payment of such taxes, not to exceed the statutory minimum withholding obligation. The Committee or Board shall be authorized to establish procedures for election by Participants to satisfy such obligations for the payment of such taxes (i) by delivery of or transfer of Shares to the Company, (ii) with the consent of the Committee or the Board, by directing the Company to retain Shares otherwise deliverable in connection with the Award, (iii) by payment in cash of the amount to be withheld, or (iv) by withholding from any cash compensation otherwise due to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(g) Nothing contained in this Plan shall prevent the Board from adopting other or additional compensation arrangements, subject to shareholder approval if required, and such arrangements may be either generally applicable or applicable only in specific cases.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(h) The validity, construction, and effect of the Plan and any rules and regulations relating to the Plan shall be determined in accordance with the laws of the state of Delaware and applicable Federal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(i) If any provision of this Plan is or becomes or is deemed invalid, illegal or unenforceable in any jurisdiction, or would disqualify the Plan or any Award under any law deemed applicable by the Committee or the Board, such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provision shall be construed or deemed amended to conform to applicable law, or if it cannot be construed or deemed amended without, in the determination of the Committee or the Board, materially altering the intent of the Plan, it shall be stricken, and the remainder of the Plan shall remain in full force and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(j) Awards may be granted to Participants who are foreign nationals or employed outside the United States, or both, on such terms and conditions different from those applicable to Awards to Employees employed in the United States as may, in the judgment of the Committee or the Board, be necessary or desirable in order to recognize differences in local law or tax policy. The Committee or Board also may impose conditions on the exercise or vesting of Awards in order to minimize the Company’s obligations with respect to tax equalization for Associates on assignments outside their home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(k) No Award shall be granted or exercised if the grant of the Award or the exercise and the issuance of shares or other consideration pursuant thereto would be contrary to the Legal Requirements of any duly constituted authority having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(l) The Plan will not confer upon any Participant any right with respect to continuance of employment or other service with the Company or any Subsidiary or Affiliated Company, nor will it interfere in any way with any right the Company or any Subsidiary or Affiliated Company would otherwise have to terminate a Participant’s employment or other service at any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(m) Notwithstanding any provision of the Plan to the contrary, in the event of a Participant’s retirement from the Company or any Subsidiary or Affiliated Company on or after age 65 with at least five (5) years of service as an Associate, the Participant’s Awards shall continue to vest in accordance with the schedule set forth in the applicable Grant Documents excluding any inconsistent provisions relating to the effect upon the Award of the Participant’s cessation of employment.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(n) Employees and directors of the Company and its Subsidiaries who are based in the United Kingdom may be granted Awards pursuant to the terms of the UK Addendum. Grants made pursuant to the UK Addendum shall be subject to the terms and conditions of the Plan, unless otherwise provided in the UK Addendum.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Schedule A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UK Addendum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Purpose and eligibility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7">
                <wp:simplePos x="0" y="0"/>
                <wp:positionH relativeFrom="column">
                  <wp:align>left</wp:align>
                </wp:positionH>
                <wp:positionV relativeFrom="line">
                  <wp:align>top</wp:align>
                </wp:positionV>
                <wp:extent cx="254000" cy="350520"/>
                <wp:effectExtent l="0" t="0" r="0" b="0"/>
                <wp:wrapSquare wrapText="right"/>
                <wp:docPr id="1174" name="Frame1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this addendum to the Plan (the “</w:t>
      </w:r>
      <w:r>
        <w:rPr>
          <w:rFonts w:ascii="Arial;Helvetica;sans-serif" w:hAnsi="Arial;Helvetica;sans-serif"/>
          <w:b/>
          <w:i w:val="false"/>
          <w:caps w:val="false"/>
          <w:smallCaps w:val="false"/>
          <w:color w:val="000000"/>
          <w:sz w:val="20"/>
        </w:rPr>
        <w:t>UK Addendum”</w:t>
      </w:r>
      <w:r>
        <w:rPr>
          <w:rFonts w:ascii="Arial;Helvetica;sans-serif" w:hAnsi="Arial;Helvetica;sans-serif"/>
          <w:b w:val="false"/>
          <w:i w:val="false"/>
          <w:caps w:val="false"/>
          <w:smallCaps w:val="false"/>
          <w:color w:val="000000"/>
          <w:sz w:val="20"/>
        </w:rPr>
        <w:t>) is to enable the Board to grant Awards to certain employees and directors of LiveRamp Holdings, Inc. (the “</w:t>
      </w:r>
      <w:r>
        <w:rPr>
          <w:rFonts w:ascii="Arial;Helvetica;sans-serif" w:hAnsi="Arial;Helvetica;sans-serif"/>
          <w:b/>
          <w:i w:val="false"/>
          <w:caps w:val="false"/>
          <w:smallCaps w:val="false"/>
          <w:color w:val="000000"/>
          <w:sz w:val="20"/>
        </w:rPr>
        <w:t>Company”</w:t>
      </w:r>
      <w:r>
        <w:rPr>
          <w:rFonts w:ascii="Arial;Helvetica;sans-serif" w:hAnsi="Arial;Helvetica;sans-serif"/>
          <w:b w:val="false"/>
          <w:i w:val="false"/>
          <w:caps w:val="false"/>
          <w:smallCaps w:val="false"/>
          <w:color w:val="000000"/>
          <w:sz w:val="20"/>
        </w:rPr>
        <w:t>) and its Subsidiaries who are based in the United Kingdom. Awards (which will be unapproved for UK tax purposes) may only be granted under the UK Addendum to employees and directors of the Company and its Subsidiaries. Awards granted pursuant to the UK Addendum are granted pursuant to an “</w:t>
      </w:r>
      <w:r>
        <w:rPr>
          <w:rFonts w:ascii="Arial;Helvetica;sans-serif" w:hAnsi="Arial;Helvetica;sans-serif"/>
          <w:b/>
          <w:i w:val="false"/>
          <w:caps w:val="false"/>
          <w:smallCaps w:val="false"/>
          <w:color w:val="000000"/>
          <w:sz w:val="20"/>
        </w:rPr>
        <w:t>employees’ share scheme”</w:t>
      </w:r>
      <w:r>
        <w:rPr>
          <w:rFonts w:ascii="Arial;Helvetica;sans-serif" w:hAnsi="Arial;Helvetica;sans-serif"/>
          <w:b w:val="false"/>
          <w:i w:val="false"/>
          <w:caps w:val="false"/>
          <w:smallCaps w:val="false"/>
          <w:color w:val="000000"/>
          <w:sz w:val="20"/>
        </w:rPr>
        <w:t xml:space="preserve"> for the purposes of the Financial Services and Markets Act 2000.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Definitions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8">
                <wp:simplePos x="0" y="0"/>
                <wp:positionH relativeFrom="column">
                  <wp:align>left</wp:align>
                </wp:positionH>
                <wp:positionV relativeFrom="line">
                  <wp:align>top</wp:align>
                </wp:positionV>
                <wp:extent cx="254000" cy="350520"/>
                <wp:effectExtent l="0" t="0" r="0" b="0"/>
                <wp:wrapSquare wrapText="right"/>
                <wp:docPr id="1175" name="Frame1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Definitions are as contained in Section 2 of the Plan, with the following additions, amendments or substitutions: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definition of “</w:t>
      </w:r>
      <w:r>
        <w:rPr>
          <w:rFonts w:ascii="Arial;Helvetica;sans-serif" w:hAnsi="Arial;Helvetica;sans-serif"/>
          <w:b/>
          <w:i w:val="false"/>
          <w:caps w:val="false"/>
          <w:smallCaps w:val="false"/>
          <w:color w:val="000000"/>
          <w:sz w:val="20"/>
        </w:rPr>
        <w:t>Associate”</w:t>
      </w:r>
      <w:r>
        <w:rPr>
          <w:rFonts w:ascii="Arial;Helvetica;sans-serif" w:hAnsi="Arial;Helvetica;sans-serif"/>
          <w:b w:val="false"/>
          <w:i w:val="false"/>
          <w:caps w:val="false"/>
          <w:smallCaps w:val="false"/>
          <w:color w:val="000000"/>
          <w:sz w:val="20"/>
        </w:rPr>
        <w:t xml:space="preserve"> shall be deleted and the word “</w:t>
      </w:r>
      <w:r>
        <w:rPr>
          <w:rFonts w:ascii="Arial;Helvetica;sans-serif" w:hAnsi="Arial;Helvetica;sans-serif"/>
          <w:b/>
          <w:i w:val="false"/>
          <w:caps w:val="false"/>
          <w:smallCaps w:val="false"/>
          <w:color w:val="000000"/>
          <w:sz w:val="20"/>
        </w:rPr>
        <w:t>Employee</w:t>
      </w:r>
      <w:r>
        <w:rPr>
          <w:rFonts w:ascii="Arial;Helvetica;sans-serif" w:hAnsi="Arial;Helvetica;sans-serif"/>
          <w:b w:val="false"/>
          <w:i w:val="false"/>
          <w:caps w:val="false"/>
          <w:smallCaps w:val="false"/>
          <w:color w:val="000000"/>
          <w:sz w:val="20"/>
        </w:rPr>
        <w:t>” shall be substituted therefor throughout the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79">
                <wp:simplePos x="0" y="0"/>
                <wp:positionH relativeFrom="column">
                  <wp:align>left</wp:align>
                </wp:positionH>
                <wp:positionV relativeFrom="line">
                  <wp:align>top</wp:align>
                </wp:positionV>
                <wp:extent cx="254000" cy="350520"/>
                <wp:effectExtent l="0" t="0" r="0" b="0"/>
                <wp:wrapSquare wrapText="right"/>
                <wp:docPr id="1176" name="Frame1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Control”</w:t>
      </w:r>
      <w:r>
        <w:rPr>
          <w:rFonts w:ascii="Arial;Helvetica;sans-serif" w:hAnsi="Arial;Helvetica;sans-serif"/>
          <w:b w:val="false"/>
          <w:i w:val="false"/>
          <w:caps w:val="false"/>
          <w:smallCaps w:val="false"/>
          <w:color w:val="000000"/>
          <w:sz w:val="20"/>
        </w:rPr>
        <w:t xml:space="preserve"> (for the purposes of the definition of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below) has the meaning contained in section 995 Income Tax Act 2007.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0">
                <wp:simplePos x="0" y="0"/>
                <wp:positionH relativeFrom="column">
                  <wp:align>left</wp:align>
                </wp:positionH>
                <wp:positionV relativeFrom="line">
                  <wp:align>top</wp:align>
                </wp:positionV>
                <wp:extent cx="254000" cy="350520"/>
                <wp:effectExtent l="0" t="0" r="0" b="0"/>
                <wp:wrapSquare wrapText="right"/>
                <wp:docPr id="1177" name="Frame1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Employee”</w:t>
      </w:r>
      <w:r>
        <w:rPr>
          <w:rFonts w:ascii="Arial;Helvetica;sans-serif" w:hAnsi="Arial;Helvetica;sans-serif"/>
          <w:b w:val="false"/>
          <w:i w:val="false"/>
          <w:caps w:val="false"/>
          <w:smallCaps w:val="false"/>
          <w:color w:val="000000"/>
          <w:sz w:val="20"/>
        </w:rPr>
        <w:t xml:space="preserve"> shall mean any employee or director of the Company or its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1">
                <wp:simplePos x="0" y="0"/>
                <wp:positionH relativeFrom="column">
                  <wp:align>left</wp:align>
                </wp:positionH>
                <wp:positionV relativeFrom="line">
                  <wp:align>top</wp:align>
                </wp:positionV>
                <wp:extent cx="254000" cy="350520"/>
                <wp:effectExtent l="0" t="0" r="0" b="0"/>
                <wp:wrapSquare wrapText="right"/>
                <wp:docPr id="1178" name="Frame1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HMRC”</w:t>
      </w:r>
      <w:r>
        <w:rPr>
          <w:rFonts w:ascii="Arial;Helvetica;sans-serif" w:hAnsi="Arial;Helvetica;sans-serif"/>
          <w:b w:val="false"/>
          <w:i w:val="false"/>
          <w:caps w:val="false"/>
          <w:smallCaps w:val="false"/>
          <w:color w:val="000000"/>
          <w:sz w:val="20"/>
        </w:rPr>
        <w:t xml:space="preserve"> means the UK HM Revenue &amp; Customs.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2">
                <wp:simplePos x="0" y="0"/>
                <wp:positionH relativeFrom="column">
                  <wp:align>left</wp:align>
                </wp:positionH>
                <wp:positionV relativeFrom="line">
                  <wp:align>top</wp:align>
                </wp:positionV>
                <wp:extent cx="254000" cy="350520"/>
                <wp:effectExtent l="0" t="0" r="0" b="0"/>
                <wp:wrapSquare wrapText="right"/>
                <wp:docPr id="1179" name="Frame1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ITEPA”</w:t>
      </w:r>
      <w:r>
        <w:rPr>
          <w:rFonts w:ascii="Arial;Helvetica;sans-serif" w:hAnsi="Arial;Helvetica;sans-serif"/>
          <w:b w:val="false"/>
          <w:i w:val="false"/>
          <w:caps w:val="false"/>
          <w:smallCaps w:val="false"/>
          <w:color w:val="000000"/>
          <w:sz w:val="20"/>
        </w:rPr>
        <w:t xml:space="preserve"> means the Income Tax (Earnings and Pensions) Act 2003.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3">
                <wp:simplePos x="0" y="0"/>
                <wp:positionH relativeFrom="column">
                  <wp:align>left</wp:align>
                </wp:positionH>
                <wp:positionV relativeFrom="line">
                  <wp:align>top</wp:align>
                </wp:positionV>
                <wp:extent cx="254000" cy="350520"/>
                <wp:effectExtent l="0" t="0" r="0" b="0"/>
                <wp:wrapSquare wrapText="right"/>
                <wp:docPr id="1180" name="Frame1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(e)</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(e)</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PAYE”</w:t>
      </w:r>
      <w:r>
        <w:rPr>
          <w:rFonts w:ascii="Arial;Helvetica;sans-serif" w:hAnsi="Arial;Helvetica;sans-serif"/>
          <w:b w:val="false"/>
          <w:i w:val="false"/>
          <w:caps w:val="false"/>
          <w:smallCaps w:val="false"/>
          <w:color w:val="000000"/>
          <w:sz w:val="20"/>
        </w:rPr>
        <w:t xml:space="preserve"> means the UK Pay-As-You-Earn income tax withholding system governed by the Income Tax (PAYE) Regulations 2003.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4">
                <wp:simplePos x="0" y="0"/>
                <wp:positionH relativeFrom="column">
                  <wp:align>left</wp:align>
                </wp:positionH>
                <wp:positionV relativeFrom="line">
                  <wp:align>top</wp:align>
                </wp:positionV>
                <wp:extent cx="254000" cy="350520"/>
                <wp:effectExtent l="0" t="0" r="0" b="0"/>
                <wp:wrapSquare wrapText="right"/>
                <wp:docPr id="1181" name="Frame1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(f)</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(f)</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Service”</w:t>
      </w:r>
      <w:r>
        <w:rPr>
          <w:rFonts w:ascii="Arial;Helvetica;sans-serif" w:hAnsi="Arial;Helvetica;sans-serif"/>
          <w:b w:val="false"/>
          <w:i w:val="false"/>
          <w:caps w:val="false"/>
          <w:smallCaps w:val="false"/>
          <w:color w:val="000000"/>
          <w:sz w:val="20"/>
        </w:rPr>
        <w:t xml:space="preserve"> means service as an Employee, subject to such further limitations as may be set forth in the applicable Stock Option Agreement or Restricted Share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The Company determines which leaves count toward Service, and when Service terminates for all purposes under the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5">
                <wp:simplePos x="0" y="0"/>
                <wp:positionH relativeFrom="column">
                  <wp:align>left</wp:align>
                </wp:positionH>
                <wp:positionV relativeFrom="line">
                  <wp:align>top</wp:align>
                </wp:positionV>
                <wp:extent cx="254000" cy="350520"/>
                <wp:effectExtent l="0" t="0" r="0" b="0"/>
                <wp:wrapSquare wrapText="right"/>
                <wp:docPr id="1182" name="Frame1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(g)</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(g)</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definition of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xml:space="preserve"> shall be restated in its entirety as follows: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xml:space="preserve"> shall mean a company (wherever incorporated) which for the time being is under the Control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6">
                <wp:simplePos x="0" y="0"/>
                <wp:positionH relativeFrom="column">
                  <wp:align>left</wp:align>
                </wp:positionH>
                <wp:positionV relativeFrom="line">
                  <wp:align>top</wp:align>
                </wp:positionV>
                <wp:extent cx="254000" cy="350520"/>
                <wp:effectExtent l="0" t="0" r="0" b="0"/>
                <wp:wrapSquare wrapText="right"/>
                <wp:docPr id="1183" name="Frame1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(h)</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(h)</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Terms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7">
                <wp:simplePos x="0" y="0"/>
                <wp:positionH relativeFrom="column">
                  <wp:align>left</wp:align>
                </wp:positionH>
                <wp:positionV relativeFrom="line">
                  <wp:align>top</wp:align>
                </wp:positionV>
                <wp:extent cx="254000" cy="350520"/>
                <wp:effectExtent l="0" t="0" r="0" b="0"/>
                <wp:wrapSquare wrapText="right"/>
                <wp:docPr id="1184" name="Frame1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Awards granted pursuant to the UK Addendum shall be governed by the terms of the Plan, subject to any such amendments set out below and as are necessary to give effect to Section 1 of the UK Addendum, and by the terms of the individual Award Agreement entered into between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Participation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8">
                <wp:simplePos x="0" y="0"/>
                <wp:positionH relativeFrom="column">
                  <wp:align>left</wp:align>
                </wp:positionH>
                <wp:positionV relativeFrom="line">
                  <wp:align>top</wp:align>
                </wp:positionV>
                <wp:extent cx="254000" cy="350520"/>
                <wp:effectExtent l="0" t="0" r="0" b="0"/>
                <wp:wrapSquare wrapText="right"/>
                <wp:docPr id="1185" name="Frame1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purpose of granting awards pursuant to the Plan to UK Employees only, the Plan shall be amended by the substitution of the word “Employee” for the word “Associate” throughout.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Non-transferability of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9">
                <wp:simplePos x="0" y="0"/>
                <wp:positionH relativeFrom="column">
                  <wp:align>left</wp:align>
                </wp:positionH>
                <wp:positionV relativeFrom="line">
                  <wp:align>top</wp:align>
                </wp:positionV>
                <wp:extent cx="254000" cy="350520"/>
                <wp:effectExtent l="0" t="0" r="0" b="0"/>
                <wp:wrapSquare wrapText="right"/>
                <wp:docPr id="1186" name="Frame1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 Award granted pursuant to the UK Addendum may not be transferred other than by the laws of intestacy on death of the Participant.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Withholding obligations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90">
                <wp:simplePos x="0" y="0"/>
                <wp:positionH relativeFrom="column">
                  <wp:align>left</wp:align>
                </wp:positionH>
                <wp:positionV relativeFrom="line">
                  <wp:posOffset>635</wp:posOffset>
                </wp:positionV>
                <wp:extent cx="254000" cy="350520"/>
                <wp:effectExtent l="0" t="0" r="0" b="0"/>
                <wp:wrapSquare wrapText="right"/>
                <wp:docPr id="1187" name="Frame1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Participant shall be accountable for any income tax and, subject to the following provisions, national insurance liability which is </w:t>
      </w:r>
      <w:r>
        <w:rPr>
          <w:rFonts w:ascii="Arial;Helvetica;sans-serif" w:hAnsi="Arial;Helvetica;sans-serif"/>
          <w:b/>
          <w:i w:val="false"/>
          <w:caps w:val="false"/>
          <w:smallCaps w:val="false"/>
          <w:color w:val="000000"/>
          <w:sz w:val="20"/>
        </w:rPr>
        <w:t>chargeable</w:t>
      </w:r>
      <w:r>
        <w:rPr>
          <w:rFonts w:ascii="Arial;Helvetica;sans-serif" w:hAnsi="Arial;Helvetica;sans-serif"/>
          <w:b w:val="false"/>
          <w:i w:val="false"/>
          <w:caps w:val="false"/>
          <w:smallCaps w:val="false"/>
          <w:color w:val="000000"/>
          <w:sz w:val="20"/>
        </w:rPr>
        <w:t xml:space="preserve"> on any assessable income deriving from the exercise of, or other dealing in, the Award. In respect of such assessable income the Participant shall indemnify the Company and (at the direction of the Company) any Subsidiary which is or may be treated as the employer of the Participant in respect of the following (together, the “</w:t>
      </w:r>
      <w:r>
        <w:rPr>
          <w:rFonts w:ascii="Arial;Helvetica;sans-serif" w:hAnsi="Arial;Helvetica;sans-serif"/>
          <w:b/>
          <w:i w:val="false"/>
          <w:caps w:val="false"/>
          <w:smallCaps w:val="false"/>
          <w:color w:val="000000"/>
          <w:sz w:val="20"/>
        </w:rPr>
        <w:t>Tax Liabilities”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191">
                <wp:simplePos x="0" y="0"/>
                <wp:positionH relativeFrom="column">
                  <wp:align>left</wp:align>
                </wp:positionH>
                <wp:positionV relativeFrom="line">
                  <wp:align>top</wp:align>
                </wp:positionV>
                <wp:extent cx="254000" cy="525780"/>
                <wp:effectExtent l="0" t="0" r="0" b="0"/>
                <wp:wrapSquare wrapText="right"/>
                <wp:docPr id="1188" name="Frame11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b/>
                              </w:rPr>
                              <w:t>6.1.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b/>
                        </w:rPr>
                        <w:t>6.1.</w:t>
                      </w:r>
                      <w:r>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income tax liability which falls to be paid to HMRC by the Company (or the relevant employing Subsidiary) under the PAYE system as it applies to income tax under ITEPA and the PAYE regulations referred to in it;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2">
                <wp:simplePos x="0" y="0"/>
                <wp:positionH relativeFrom="column">
                  <wp:align>left</wp:align>
                </wp:positionH>
                <wp:positionV relativeFrom="line">
                  <wp:align>top</wp:align>
                </wp:positionV>
                <wp:extent cx="254000" cy="350520"/>
                <wp:effectExtent l="0" t="0" r="0" b="0"/>
                <wp:wrapSquare wrapText="right"/>
                <wp:docPr id="1189" name="Frame1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national insurance liability which falls to be paid to HMRC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3">
                <wp:simplePos x="0" y="0"/>
                <wp:positionH relativeFrom="column">
                  <wp:align>left</wp:align>
                </wp:positionH>
                <wp:positionV relativeFrom="line">
                  <wp:align>top</wp:align>
                </wp:positionV>
                <wp:extent cx="254000" cy="350520"/>
                <wp:effectExtent l="0" t="0" r="0" b="0"/>
                <wp:wrapSquare wrapText="right"/>
                <wp:docPr id="1190" name="Frame1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the Employee’s primary Class 1 national insurance contributions;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508000" distR="0" simplePos="0" locked="0" layoutInCell="1" allowOverlap="1" relativeHeight="1194">
                <wp:simplePos x="0" y="0"/>
                <wp:positionH relativeFrom="column">
                  <wp:align>left</wp:align>
                </wp:positionH>
                <wp:positionV relativeFrom="line">
                  <wp:align>top</wp:align>
                </wp:positionV>
                <wp:extent cx="254000" cy="350520"/>
                <wp:effectExtent l="0" t="0" r="0" b="0"/>
                <wp:wrapSquare wrapText="right"/>
                <wp:docPr id="1191" name="Frame1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the employer’s secondary Class 1 national insurance contributions.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508000" distR="0" simplePos="0" locked="0" layoutInCell="1" allowOverlap="1" relativeHeight="1195">
                <wp:simplePos x="0" y="0"/>
                <wp:positionH relativeFrom="column">
                  <wp:align>left</wp:align>
                </wp:positionH>
                <wp:positionV relativeFrom="line">
                  <wp:align>top</wp:align>
                </wp:positionV>
                <wp:extent cx="254000" cy="350520"/>
                <wp:effectExtent l="0" t="0" r="0" b="0"/>
                <wp:wrapSquare wrapText="right"/>
                <wp:docPr id="1192" name="Frame1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indemnity referred to in clause 6.1, the Participant shall make such arrangements as the Company requires to meet the cost of the Tax Liabilities, including at the direction of the Company any of the following: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196">
                <wp:simplePos x="0" y="0"/>
                <wp:positionH relativeFrom="column">
                  <wp:align>left</wp:align>
                </wp:positionH>
                <wp:positionV relativeFrom="line">
                  <wp:align>top</wp:align>
                </wp:positionV>
                <wp:extent cx="254000" cy="525780"/>
                <wp:effectExtent l="0" t="0" r="0" b="0"/>
                <wp:wrapSquare wrapText="right"/>
                <wp:docPr id="1193" name="Frame1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b/>
                              </w:rPr>
                              <w:t>6.2.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b/>
                        </w:rPr>
                        <w:t>6.2.</w:t>
                      </w:r>
                      <w:r>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making a cash payment of an appropriate amount to the relevant company whether by cheque, banker’s draft or deduction from salary in time to enable the company to remit such amount to HMRC before the 14th day following the end of the month in which the event giving rise to the Tax Liabilities occurred;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7">
                <wp:simplePos x="0" y="0"/>
                <wp:positionH relativeFrom="column">
                  <wp:align>left</wp:align>
                </wp:positionH>
                <wp:positionV relativeFrom="line">
                  <wp:align>top</wp:align>
                </wp:positionV>
                <wp:extent cx="254000" cy="350520"/>
                <wp:effectExtent l="0" t="0" r="0" b="0"/>
                <wp:wrapSquare wrapText="right"/>
                <wp:docPr id="1194" name="Frame1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appointing the Company as agent and/or attorney for the sale of sufficient Shares acquired pursuant to the exercise of, or other dealing in, the Award to cover the Tax Liabilities and authorizing the payment to the relevant company of the appropriate amount (including all reasonable fees, commissions and expenses incurred by the relevant company in relation to such sale) out of the net proceeds of sale of the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8">
                <wp:simplePos x="0" y="0"/>
                <wp:positionH relativeFrom="column">
                  <wp:align>left</wp:align>
                </wp:positionH>
                <wp:positionV relativeFrom="line">
                  <wp:align>top</wp:align>
                </wp:positionV>
                <wp:extent cx="254000" cy="350520"/>
                <wp:effectExtent l="0" t="0" r="0" b="0"/>
                <wp:wrapSquare wrapText="right"/>
                <wp:docPr id="1195" name="Frame1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entering into an election whereby the employer’s liability for secondary Class 1 national insurance contributions is transferred to the Participant on terms set out in the election and approved by HMRC.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9">
                <wp:simplePos x="0" y="0"/>
                <wp:positionH relativeFrom="column">
                  <wp:align>left</wp:align>
                </wp:positionH>
                <wp:positionV relativeFrom="line">
                  <wp:align>top</wp:align>
                </wp:positionV>
                <wp:extent cx="254000" cy="350520"/>
                <wp:effectExtent l="0" t="0" r="0" b="0"/>
                <wp:wrapSquare wrapText="right"/>
                <wp:docPr id="1196" name="Frame1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Section 431 Election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00">
                <wp:simplePos x="0" y="0"/>
                <wp:positionH relativeFrom="column">
                  <wp:align>left</wp:align>
                </wp:positionH>
                <wp:positionV relativeFrom="line">
                  <wp:align>top</wp:align>
                </wp:positionV>
                <wp:extent cx="254000" cy="350520"/>
                <wp:effectExtent l="0" t="0" r="0" b="0"/>
                <wp:wrapSquare wrapText="right"/>
                <wp:docPr id="1197" name="Frame1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Where the Shares to be acquired on the exercise of, or other dealing in, the Award are considered to be “restricted securities” for the purposes of the UK tax legislation (such determination to be at the sole discretion of the Company), it is a condition of exercise or acquisition of the Shares that the Participant if so directed by the Company enter into a joint election with the Company or, if different, the relevant Subsidiary employing the Participant pursuant to section 431 ITEPA electing that the market value of the Shares to be acquired on the exercise of, or other dealing in, the Award be calculated as if the Shares were not “</w:t>
      </w:r>
      <w:r>
        <w:rPr>
          <w:rFonts w:ascii="Arial;Helvetica;sans-serif" w:hAnsi="Arial;Helvetica;sans-serif"/>
          <w:b/>
          <w:i w:val="false"/>
          <w:caps w:val="false"/>
          <w:smallCaps w:val="false"/>
          <w:color w:val="000000"/>
          <w:sz w:val="20"/>
        </w:rPr>
        <w:t>restricted securities”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0" w:after="283"/>
        <w:ind w:left="5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Adopted by the Compensation Committee on</w:t>
        <w:br/>
        <w:t>February 14, 2012</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1" w:name="tAND"/>
      <w:bookmarkEnd w:id="331"/>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240" w:after="283"/>
        <w:ind w:left="68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D​</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80" w:after="283"/>
        <w:jc w:val="center"/>
        <w:rPr>
          <w:caps w:val="false"/>
          <w:smallCaps w:val="false"/>
          <w:color w:val="FFFFFF"/>
        </w:rPr>
      </w:pPr>
      <w:r>
        <w:rPr>
          <w:caps w:val="false"/>
          <w:smallCaps w:val="false"/>
          <w:color w:val="FFFFFF"/>
        </w:rPr>
        <w:drawing>
          <wp:inline distT="0" distB="0" distL="0" distR="0">
            <wp:extent cx="6524625" cy="8448675"/>
            <wp:effectExtent l="0" t="0" r="0" b="0"/>
            <wp:docPr id="119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41" descr=""/>
                    <pic:cNvPicPr>
                      <a:picLocks noChangeAspect="1" noChangeArrowheads="1"/>
                    </pic:cNvPicPr>
                  </pic:nvPicPr>
                  <pic:blipFill>
                    <a:blip r:embed="rId42"/>
                    <a:stretch>
                      <a:fillRect/>
                    </a:stretch>
                  </pic:blipFill>
                  <pic:spPr bwMode="auto">
                    <a:xfrm>
                      <a:off x="0" y="0"/>
                      <a:ext cx="6524625" cy="84486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LIVERAMP HOLDINGS, INC. 225 BUSH STREET, 17TH FLOOR SAN FRANCISCO, CA 94104 SCAN TO VIEW MATERIALS &amp; VOTEVOTE BY INTERNETBefore The Meeting - Go to www.proxyvote.com or scan the QR Barcode aboveUse the Internet to transmit your voting instructions and for electronic delivery of information up until 8:59 p.m. Pacific Time the day before the cut-off date* or meeting date. Have your proxy card in hand when you access the website and follow the instructions to obtain your records and to create an electronic voting instruction form.During The Meeting - Go to www.virtualshareholdermeeting.com/RAMP2026You may attend the Meeting via the Internet and vote during the Meeting. Have the information that is printed in the box marked by the arrow available and follow the instructions.VOTE BY PHONE - 1-800-690-6903Use any touch- tone telephone to transmit your voting instructions up until 8:59 p.m. Pacific Time the day before the cut-off date* or meeting date. Have your proxy card in hand when you call and then follow the instructions.VOTE BY MAILMark, sign and date your proxy card and return it in the postage-paid envelope we have provided or return it to Vote Processing, c/o Broadridge, 51 Mercedes Way, Edgewood, NY 11717.*Voting instructions submitted by participants in the LiveRamp Holdings, Inc. Retirement Savings Plan must be received by Newport no later than 8:59 p.m. Pacific Time on [•], 2026. Plan participants will not be permitted to vote during the Meeting. TO VOTE, MARK BLOCKS BELOW IN BLUE OR BLACK INK AS FOLLOWS:T01602-P55083KEEP THIS PORTION FOR YOUR RECORDSTHIS PROXY CARD IS VALID ONLY WHEN SIGNED AND DATED.DETACH AND RETURN THIS PORTION ONLYLIVERAMP HOLDINGS, INC. The Board of Directors recommends a vote FOR Proposals 1, 2, 3, 4, 5, 6 and 71.The Adoption of the Merger Agreement. 2.Approval of the proposal to adjourn the Special Meeting, and any adjourned session of the Special Meeting, if necessary or appropriate to solicit additional proxies if there are insufficient votes to adopt the Merger Agreement. 3.Election of Directors Nominees: 3a. Timothy R. Cadogan 3b. Vivian Chow 3c. Scott E. Howe 4.Approval of an increase in the number of shares available for issuance under the Company's Amended and Restated 2005 Equity Compensation Plan. For Against Abstain! ! !! ! !For Against Abstain! ! !! ! !! ! !! ! ! 5.Advisory (non-binding) vote to approve the compensation of the Company’s named executive officers. 6.Ratification of KPMG LLP as the Company’s independent registered public accountant for Fiscal Year 2027. 7.Advisory (non-binding) vote on merger-related compensation of the Company’s named executive officers. NOTE: In their discretion, the proxies are authorized to consider and vote upon such other business that may come before the meeting or any postponement or adjournment thereof. For Against Abstain! ! !! ! !! ! ! NOTE: Please sign exactly as name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person.Signature [PLEASE SIGN WITHIN BOX]DateSignature (Joint Owners)Date</w:t>
      </w:r>
      <w:r>
        <w:rPr>
          <w:rFonts w:ascii="Arial;Helvetica;sans-serif" w:hAnsi="Arial;Helvetica;sans-serif"/>
          <w:b w:val="false"/>
          <w:i w:val="false"/>
          <w:caps w:val="false"/>
          <w:smallCaps w:val="false"/>
          <w:color w:val="000000"/>
          <w:sz w:val="2"/>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D-1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680" w:right="0" w:hanging="0"/>
        <w:jc w:val="center"/>
        <w:rPr>
          <w:caps w:val="false"/>
          <w:smallCaps w:val="false"/>
          <w:color w:val="000000"/>
        </w:rPr>
      </w:pPr>
      <w:r>
        <w:rPr>
          <w:caps w:val="false"/>
          <w:smallCaps w:val="false"/>
          <w:color w:val="000000"/>
        </w:rPr>
        <w:drawing>
          <wp:inline distT="0" distB="0" distL="0" distR="0">
            <wp:extent cx="6372225" cy="8248650"/>
            <wp:effectExtent l="0" t="0" r="0" b="0"/>
            <wp:docPr id="11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42" descr=""/>
                    <pic:cNvPicPr>
                      <a:picLocks noChangeAspect="1" noChangeArrowheads="1"/>
                    </pic:cNvPicPr>
                  </pic:nvPicPr>
                  <pic:blipFill>
                    <a:blip r:embed="rId43"/>
                    <a:stretch>
                      <a:fillRect/>
                    </a:stretch>
                  </pic:blipFill>
                  <pic:spPr bwMode="auto">
                    <a:xfrm>
                      <a:off x="0" y="0"/>
                      <a:ext cx="6372225" cy="8248650"/>
                    </a:xfrm>
                    <a:prstGeom prst="rect">
                      <a:avLst/>
                    </a:prstGeom>
                  </pic:spPr>
                </pic:pic>
              </a:graphicData>
            </a:graphic>
          </wp:inline>
        </w:drawing>
      </w:r>
      <w:r>
        <w:rPr>
          <w:caps w:val="false"/>
          <w:smallCaps w:val="false"/>
          <w:color w:val="000000"/>
        </w:rPr>
        <w:t xml:space="preserve"> </w:t>
      </w:r>
    </w:p>
    <w:p>
      <w:pPr>
        <w:pStyle w:val="TextBody"/>
        <w:bidi w:val="0"/>
        <w:spacing w:before="100" w:after="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Important Notice Regarding the Availability of Proxy Materials for the Special Meeting:The Notice and Proxy Statement and Annual Report are available at www.proxyvote.com.T01603-P55083ProxyLIVERAMP HOLDINGS, INC.ProxyThis proxy is solicited by the Board of Directorsfor the Special Meeting of Stockholdersto be held on [•], 2026The undersigned hereby appoints Jerry C. Jones and Lauren R. Dillard as proxies, or either of them, with the power to appoint their substitutes, and hereby authorizes them to represent and vote, as designated on the reverse side, all of the shares of common stock of LiveRamp Holdings, Inc. held of record by the undersigned on [•], 2026, at the Special Meeting of Stockholders to be held via the Internet at www.virtualshareholdermeeting.com/RAMP2026 at [•] Pacific Time on [•], 2026, or any postponement or adjournment thereof. THIS PROXY, WHEN PROPERLY EXECUTED, WILL BE VOTED IN THE MANNER DIRECTED HEREINBY THE UNDERSIGNED STOCKHOLDER. IF NO DIRECTION IS MADE, THE PROXY WILL BE VOTED "FOR" PROPOSALS 1, 2, 3, 4, 5, 6 AND 7.If the undersigned is a participant in the LiveRamp </w:t>
      </w:r>
    </w:p>
    <w:p>
      <w:pPr>
        <w:pStyle w:val="TextBody"/>
        <w:bidi w:val="0"/>
        <w:spacing w:before="100" w:after="0"/>
        <w:ind w:left="68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Holdings, Inc. Retirement Savings Plan ("the Plan") with balances in the LiveRamp Stock Fund, the undersigned hereby instructs Newport Trust Company, as named fiduciary and investment manager for the LiveRamp Stock Fund under the Plan, to vote all shares of LiveRamp common stock credited to the Plan account of the undersigned at the Special Meeting of Stockholders to be held on [•], 2026, or any postponements or adjournments thereof. The shares credited to the Plan account of the undersigned will be voted in the manner directed herein. THIS VOTING INSTRUCTIONCARD MUST BE PROPERLY COMPLETED, SIGNED, DATED AND RECEIVED NO LATER THAN 8:59 P.M. PACIFIC TIME ON [•], 2026. IF YOUR VOTING INSTRUCTIONS ARE NOT TIMELY RECEIVED, NEWPORT TRUST COMPANY WILL VOTE THESE SHARES IN ITS OWN DISCRETION.Please mark, sign, date and return the proxy card promptly using the enclosed envelope.SEE REVERSE SIDE</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D-2</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32" w:name="tm264528d4_ex-filingfees.htm"/>
      <w:bookmarkStart w:id="333" w:name="kstm264528d4_exfilingfees"/>
      <w:bookmarkStart w:id="334" w:name="tm264528d4_ex-filingfees.htm"/>
      <w:bookmarkStart w:id="335" w:name="kstm264528d4_exfilingfees"/>
      <w:bookmarkEnd w:id="334"/>
      <w:bookmarkEnd w:id="335"/>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06"/>
        <w:gridCol w:w="1960"/>
        <w:gridCol w:w="3628"/>
        <w:gridCol w:w="1153"/>
        <w:gridCol w:w="1858"/>
      </w:tblGrid>
      <w:tr>
        <w:trPr/>
        <w:tc>
          <w:tcPr>
            <w:tcW w:w="1606" w:type="dxa"/>
            <w:tcBorders/>
            <w:shd w:fill="9ADAF6" w:val="clear"/>
            <w:vAlign w:val="center"/>
          </w:tcPr>
          <w:p>
            <w:pPr>
              <w:pStyle w:val="TableHeading"/>
              <w:bidi w:val="0"/>
              <w:spacing w:before="0" w:after="283"/>
              <w:rPr>
                <w:sz w:val="4"/>
                <w:szCs w:val="4"/>
              </w:rPr>
            </w:pPr>
            <w:r>
              <w:rPr>
                <w:sz w:val="4"/>
                <w:szCs w:val="4"/>
              </w:rPr>
            </w:r>
          </w:p>
        </w:tc>
        <w:tc>
          <w:tcPr>
            <w:tcW w:w="1960" w:type="dxa"/>
            <w:tcBorders/>
            <w:shd w:fill="9ADAF6" w:val="clear"/>
            <w:vAlign w:val="center"/>
          </w:tcPr>
          <w:p>
            <w:pPr>
              <w:pStyle w:val="TableHeading"/>
              <w:bidi w:val="0"/>
              <w:spacing w:before="0" w:after="283"/>
              <w:rPr>
                <w:sz w:val="4"/>
                <w:szCs w:val="4"/>
              </w:rPr>
            </w:pPr>
            <w:r>
              <w:rPr>
                <w:sz w:val="4"/>
                <w:szCs w:val="4"/>
              </w:rPr>
            </w:r>
          </w:p>
        </w:tc>
        <w:tc>
          <w:tcPr>
            <w:tcW w:w="3628"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58"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06" w:type="dxa"/>
            <w:tcBorders/>
            <w:shd w:fill="E7E7E2" w:val="clear"/>
            <w:vAlign w:val="center"/>
          </w:tcPr>
          <w:p>
            <w:pPr>
              <w:pStyle w:val="TableContents"/>
              <w:bidi w:val="0"/>
              <w:spacing w:before="0" w:after="283"/>
              <w:jc w:val="left"/>
              <w:rPr/>
            </w:pPr>
            <w:r>
              <w:rPr/>
              <w:t xml:space="preserve">Fees to be Paid </w:t>
            </w:r>
          </w:p>
        </w:tc>
        <w:tc>
          <w:tcPr>
            <w:tcW w:w="1960" w:type="dxa"/>
            <w:tcBorders/>
            <w:shd w:fill="E7E7E2" w:val="clear"/>
            <w:vAlign w:val="center"/>
          </w:tcPr>
          <w:p>
            <w:pPr>
              <w:pStyle w:val="TableContents"/>
              <w:bidi w:val="0"/>
              <w:spacing w:before="0" w:after="283"/>
              <w:jc w:val="center"/>
              <w:rPr/>
            </w:pPr>
            <w:r>
              <w:rPr/>
              <w:t xml:space="preserve">1 </w:t>
            </w:r>
          </w:p>
        </w:tc>
        <w:tc>
          <w:tcPr>
            <w:tcW w:w="3628" w:type="dxa"/>
            <w:tcBorders/>
            <w:shd w:fill="E7E7E2" w:val="clear"/>
            <w:vAlign w:val="center"/>
          </w:tcPr>
          <w:p>
            <w:pPr>
              <w:pStyle w:val="TableContents"/>
              <w:bidi w:val="0"/>
              <w:spacing w:before="0" w:after="283"/>
              <w:jc w:val="right"/>
              <w:rPr/>
            </w:pPr>
            <w:r>
              <w:rPr/>
              <w:t xml:space="preserve">$ 2,551,839,708.78 </w:t>
            </w:r>
          </w:p>
        </w:tc>
        <w:tc>
          <w:tcPr>
            <w:tcW w:w="1153" w:type="dxa"/>
            <w:tcBorders/>
            <w:shd w:fill="E7E7E2" w:val="clear"/>
            <w:vAlign w:val="center"/>
          </w:tcPr>
          <w:p>
            <w:pPr>
              <w:pStyle w:val="TableContents"/>
              <w:bidi w:val="0"/>
              <w:spacing w:before="0" w:after="283"/>
              <w:jc w:val="right"/>
              <w:rPr/>
            </w:pPr>
            <w:r>
              <w:rPr/>
              <w:t xml:space="preserve">0.0001381 </w:t>
            </w:r>
          </w:p>
        </w:tc>
        <w:tc>
          <w:tcPr>
            <w:tcW w:w="1858" w:type="dxa"/>
            <w:tcBorders/>
            <w:shd w:fill="E7E7E2" w:val="clear"/>
            <w:vAlign w:val="center"/>
          </w:tcPr>
          <w:p>
            <w:pPr>
              <w:pStyle w:val="TableContents"/>
              <w:bidi w:val="0"/>
              <w:spacing w:before="0" w:after="283"/>
              <w:jc w:val="right"/>
              <w:rPr/>
            </w:pPr>
            <w:r>
              <w:rPr/>
              <w:t xml:space="preserve">$ 352,409.06 </w:t>
            </w:r>
          </w:p>
        </w:tc>
      </w:tr>
      <w:tr>
        <w:trPr/>
        <w:tc>
          <w:tcPr>
            <w:tcW w:w="1606" w:type="dxa"/>
            <w:tcBorders/>
            <w:shd w:fill="E7E7E2" w:val="clear"/>
            <w:vAlign w:val="center"/>
          </w:tcPr>
          <w:p>
            <w:pPr>
              <w:pStyle w:val="TableContents"/>
              <w:bidi w:val="0"/>
              <w:spacing w:before="0" w:after="283"/>
              <w:jc w:val="left"/>
              <w:rPr/>
            </w:pPr>
            <w:r>
              <w:rPr/>
              <w:t xml:space="preserve">Fees Previously Paid </w:t>
            </w:r>
          </w:p>
        </w:tc>
        <w:tc>
          <w:tcPr>
            <w:tcW w:w="1960" w:type="dxa"/>
            <w:tcBorders/>
            <w:shd w:fill="E7E7E2" w:val="clear"/>
            <w:vAlign w:val="center"/>
          </w:tcPr>
          <w:p>
            <w:pPr>
              <w:pStyle w:val="TableContents"/>
              <w:bidi w:val="0"/>
              <w:spacing w:before="0" w:after="283"/>
              <w:jc w:val="left"/>
              <w:rPr>
                <w:sz w:val="4"/>
                <w:szCs w:val="4"/>
              </w:rPr>
            </w:pPr>
            <w:r>
              <w:rPr>
                <w:sz w:val="4"/>
                <w:szCs w:val="4"/>
              </w:rPr>
            </w:r>
          </w:p>
        </w:tc>
        <w:tc>
          <w:tcPr>
            <w:tcW w:w="3628"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858" w:type="dxa"/>
            <w:tcBorders/>
            <w:shd w:fill="E7E7E2"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Transaction Valuation:</w:t>
            </w:r>
          </w:p>
        </w:tc>
        <w:tc>
          <w:tcPr>
            <w:tcW w:w="3628" w:type="dxa"/>
            <w:tcBorders/>
            <w:vAlign w:val="center"/>
          </w:tcPr>
          <w:p>
            <w:pPr>
              <w:pStyle w:val="TableContents"/>
              <w:bidi w:val="0"/>
              <w:spacing w:before="0" w:after="0"/>
              <w:ind w:left="0" w:right="0" w:hanging="0"/>
              <w:jc w:val="right"/>
              <w:rPr/>
            </w:pPr>
            <w:r>
              <w:rPr/>
              <w:t xml:space="preserve">$ 2,551,839,708.78 </w:t>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Fees Due for Filing:</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6" w:name="TotalFeeAmt"/>
            <w:bookmarkEnd w:id="336"/>
            <w:r>
              <w:rPr/>
              <w:t xml:space="preserve">$ 352,409.06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Fees Previously Paid: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337" w:name="TotalPreviouslyPaidAmt"/>
            <w:bookmarkEnd w:id="337"/>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 Offsets: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338" w:name="TotalOffsetAmt"/>
            <w:bookmarkEnd w:id="338"/>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Net Fee Due: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339" w:name="NetFeeAmt"/>
            <w:bookmarkEnd w:id="339"/>
            <w:r>
              <w:rPr/>
              <w:t xml:space="preserve">$ 352,409.06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300"/>
        <w:gridCol w:w="8708"/>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As of June 18, 2026, the maximum number of shares of common stock, par value $0.10 per share, of LiveRamp Holdings, Inc. ("Common Stock") to which this transaction applies is estimated to be 66,299,947, which consists of: (a) 60,786,315 issued and outstanding shares of Common Stock, each entitled to receive the per share merger consideration of $38.50; (b) 73,800 shares of Common Stock underlying stock options to be converted into restricted cash awards in an amount equal to the number of shares of Common Stock subject to such option multiplied by the excess of the per share merger consideration over the applicable exercise price; (c) 3,803,554 shares of Common Stock underlying time-vesting restricted stock unit awards that are outstanding or expected to be granted as permitted under the Agreement and Plan of Merger, by and among MMS USA Holdings, Inc., Covey Merger Sub, Inc., LiveRamp Holdings, Inc. and solely for the purposes of Section 10.14, Publicis Groupe S.A. ("RSU Awards") to be converted into restricted cash awards in an amount equal to the number of shares of Common Stock subject to such RSU Awards multiplied by the per share merger consideration; (d) 769,109 shares of Common Stock underlying Rule of 40 performance-vesting restricted stock unit awards granted on or prior to December 31, 2025 ("Rule of 40 PSU Awards") to be converted into restricted cash awards in an amount equal to the number of shares of Common Stock subject to such Rule of 40 PSU Awards multiplied by the per share merger consideration, for which performance goals are being deemed achieved at 128% (in the case of fiscal year 2025 grants) or 139% (in the case of fiscal year 2026 grants) of the target level of performance for both completed and incomplete performance periods; (e) 522,046 shares of Common Stock underlying all other performance-vesting restricted stock unit awards granted on or prior to December 31, 2025 (the "Pre-2026 PSU Awards"), to be converted into restricted cash awards in an amount equal to the number of shares of Common Stock subject to such Pre-2026 PSU Awards multiplied by the per share merger consideration, for which performance goals will be based on (I) actual performance for completed performance periods and (II) the greater of the target level and the actual level of performance through the effective time of the merger for incomplete performance periods, but for purposes hereof have been calculated assuming the achievement of performance criteria at maximum levels; and (f) 345,123 shares of Common Stock underlying all other performance-vesting restricted stock unit awards granted after December 31, 2025 (the "2026 PSU Awards"), to be converted into restricted cash awards in an amount equal to the number of shares of Common Stock subject to such 2026 PSU Awards multiplied by the per share merger consideration, for which performance goals are being deemed achieved at the target level of performance. (2) Estimated solely for the purposes of calculating the filing fee, as of June 18, 2026, the underlying value of the transaction was calculated pursuant to Rule 0-11(c)(1) of the Securities Exchange Act of 1934, as amended (the "Exchange Act") as the sum of: (a) the product of 60,786,315 issued and outstanding shares of Common Stock and the per share merger consideration of $38.50; (b) the product of 73,800 shares of Common Stock underlying stock options and $28.90, which is the difference between the per share merger consideration of $38.50 and such stock options' weighted average exercise price of $9.5971; (c) the product of 3,803,554 shares of Common Stock underlying RSU Awards and the per share merger consideration of $38.50; (d) the product of 769,109 shares of Common Stock underlying the Rule of 40 PSU Awards and the per share merger consideration of $38.50; (e) the product of 522,046 shares of Common Stock underlying the Pre-2026 PSU Awards and the per share merger consideration of $38.50; and (f) the product of 345,123 shares of Common Stock underlying the 2026 PSU Awards and the per share merger consideration of $38.50. (3) In accordance with Section 14(g) of the Exchange Act and Rule 0-11(c)(1) thereunder, the filing fee was determined by multiplying the proposed maximum aggregate value of the transaction calculated in note (2) by 0.00013810.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12.gif"/><Relationship Id="rId17" Type="http://schemas.openxmlformats.org/officeDocument/2006/relationships/image" Target="media/image11.gif"/><Relationship Id="rId18" Type="http://schemas.openxmlformats.org/officeDocument/2006/relationships/image" Target="media/image12.gif"/><Relationship Id="rId19" Type="http://schemas.openxmlformats.org/officeDocument/2006/relationships/image" Target="media/image11.gif"/><Relationship Id="rId20" Type="http://schemas.openxmlformats.org/officeDocument/2006/relationships/image" Target="media/image12.gif"/><Relationship Id="rId21" Type="http://schemas.openxmlformats.org/officeDocument/2006/relationships/image" Target="media/image11.gif"/><Relationship Id="rId22" Type="http://schemas.openxmlformats.org/officeDocument/2006/relationships/image" Target="media/image11.gif"/><Relationship Id="rId23" Type="http://schemas.openxmlformats.org/officeDocument/2006/relationships/image" Target="media/image11.gif"/><Relationship Id="rId24" Type="http://schemas.openxmlformats.org/officeDocument/2006/relationships/image" Target="media/image11.gif"/><Relationship Id="rId25" Type="http://schemas.openxmlformats.org/officeDocument/2006/relationships/image" Target="media/image11.gif"/><Relationship Id="rId26" Type="http://schemas.openxmlformats.org/officeDocument/2006/relationships/image" Target="media/image11.gif"/><Relationship Id="rId27" Type="http://schemas.openxmlformats.org/officeDocument/2006/relationships/image" Target="media/image12.gif"/><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181758</Words>
  <Characters>972662</Characters>
  <CharactersWithSpaces>1170702</CharactersWithSpaces>
  <Paragraphs>19459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