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February 17,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LiveRamp Holdings,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001-38669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83-1269307</w:t>
      </w:r>
    </w:p>
    <w:p>
      <w:pPr>
        <w:spacing w:after="0" w:line="31" w:lineRule="exact"/>
        <w:rPr>
          <w:sz w:val="24"/>
          <w:szCs w:val="24"/>
          <w:color w:val="auto"/>
        </w:rPr>
      </w:pPr>
    </w:p>
    <w:p>
      <w:pPr>
        <w:sectPr>
          <w:pgSz w:w="11900" w:h="16838" w:orient="portrait"/>
          <w:cols w:equalWidth="0" w:num="3">
            <w:col w:w="4500" w:space="720"/>
            <w:col w:w="2880" w:space="720"/>
            <w:col w:w="2200"/>
          </w:cols>
          <w:pgMar w:left="440" w:top="368" w:right="439" w:bottom="1440" w:gutter="0" w:footer="0" w:header="0"/>
          <w:type w:val="continuous"/>
        </w:sectPr>
      </w:pPr>
    </w:p>
    <w:p>
      <w:pPr>
        <w:spacing w:after="0" w:line="12" w:lineRule="exact"/>
        <w:rPr>
          <w:sz w:val="24"/>
          <w:szCs w:val="24"/>
          <w:color w:val="auto"/>
        </w:rPr>
      </w:pPr>
    </w:p>
    <w:p>
      <w:pPr>
        <w:jc w:val="center"/>
        <w:ind w:right="740"/>
        <w:spacing w:after="0"/>
        <w:rPr>
          <w:sz w:val="20"/>
          <w:szCs w:val="20"/>
          <w:color w:val="auto"/>
        </w:rPr>
      </w:pPr>
      <w:r>
        <w:rPr>
          <w:rFonts w:ascii="Arial" w:cs="Arial" w:eastAsia="Arial" w:hAnsi="Arial"/>
          <w:sz w:val="13"/>
          <w:szCs w:val="13"/>
          <w:b w:val="1"/>
          <w:bCs w:val="1"/>
          <w:color w:val="auto"/>
        </w:rPr>
        <w:t>(State or Other Jurisdiction</w:t>
      </w:r>
    </w:p>
    <w:p>
      <w:pPr>
        <w:jc w:val="center"/>
        <w:ind w:right="7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3" w:lineRule="exact"/>
        <w:rPr>
          <w:sz w:val="24"/>
          <w:szCs w:val="24"/>
          <w:color w:val="auto"/>
        </w:rPr>
      </w:pPr>
    </w:p>
    <w:p>
      <w:pPr>
        <w:sectPr>
          <w:pgSz w:w="11900" w:h="16838" w:orient="portrait"/>
          <w:cols w:equalWidth="0" w:num="3">
            <w:col w:w="4480" w:space="720"/>
            <w:col w:w="2760" w:space="720"/>
            <w:col w:w="2340"/>
          </w:cols>
          <w:pgMar w:left="440" w:top="368" w:right="439" w:bottom="1440" w:gutter="0" w:footer="0" w:header="0"/>
          <w:type w:val="continuous"/>
        </w:sectPr>
      </w:pPr>
    </w:p>
    <w:p>
      <w:pPr>
        <w:jc w:val="center"/>
        <w:ind w:right="1840"/>
        <w:spacing w:after="0"/>
        <w:rPr>
          <w:sz w:val="20"/>
          <w:szCs w:val="20"/>
          <w:color w:val="auto"/>
        </w:rPr>
      </w:pPr>
      <w:r>
        <w:rPr>
          <w:rFonts w:ascii="Arial" w:cs="Arial" w:eastAsia="Arial" w:hAnsi="Arial"/>
          <w:sz w:val="15"/>
          <w:szCs w:val="15"/>
          <w:b w:val="1"/>
          <w:bCs w:val="1"/>
          <w:color w:val="auto"/>
        </w:rPr>
        <w:t>225 Bush Street, Seventeenth Floor</w:t>
      </w:r>
    </w:p>
    <w:p>
      <w:pPr>
        <w:spacing w:after="0" w:line="62"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San Francisco, CA</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94104</w:t>
      </w:r>
    </w:p>
    <w:p>
      <w:pPr>
        <w:spacing w:after="0" w:line="62" w:lineRule="exact"/>
        <w:rPr>
          <w:sz w:val="24"/>
          <w:szCs w:val="24"/>
          <w:color w:val="auto"/>
        </w:rPr>
      </w:pPr>
    </w:p>
    <w:p>
      <w:pPr>
        <w:sectPr>
          <w:pgSz w:w="11900" w:h="16838" w:orient="portrait"/>
          <w:cols w:equalWidth="0" w:num="2">
            <w:col w:w="7400" w:space="720"/>
            <w:col w:w="2900"/>
          </w:cols>
          <w:pgMar w:left="440" w:top="368" w:right="439" w:bottom="1440" w:gutter="0" w:footer="0" w:header="0"/>
          <w:type w:val="continuous"/>
        </w:sectPr>
      </w:pPr>
    </w:p>
    <w:p>
      <w:pPr>
        <w:ind w:left="154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56" w:lineRule="exact"/>
        <w:rPr>
          <w:sz w:val="24"/>
          <w:szCs w:val="24"/>
          <w:color w:val="auto"/>
        </w:rPr>
      </w:pPr>
    </w:p>
    <w:p>
      <w:pPr>
        <w:sectPr>
          <w:pgSz w:w="11900" w:h="16838" w:orient="portrait"/>
          <w:cols w:equalWidth="0" w:num="2">
            <w:col w:w="7280" w:space="720"/>
            <w:col w:w="3020"/>
          </w:cols>
          <w:pgMar w:left="440" w:top="368" w:right="439" w:bottom="1440" w:gutter="0" w:footer="0" w:header="0"/>
          <w:type w:val="continuous"/>
        </w:sectPr>
      </w:pPr>
    </w:p>
    <w:p>
      <w:pPr>
        <w:jc w:val="center"/>
        <w:ind w:right="20"/>
        <w:spacing w:after="0"/>
        <w:rPr>
          <w:sz w:val="20"/>
          <w:szCs w:val="20"/>
          <w:color w:val="auto"/>
        </w:rPr>
      </w:pPr>
      <w:r>
        <w:rPr>
          <w:rFonts w:ascii="Arial" w:cs="Arial" w:eastAsia="Arial" w:hAnsi="Arial"/>
          <w:sz w:val="18"/>
          <w:szCs w:val="18"/>
          <w:b w:val="1"/>
          <w:bCs w:val="1"/>
          <w:color w:val="auto"/>
        </w:rPr>
        <w:t>(866) 352-3267</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(Registrant’s Telephone Number, Including Area Code)</w:t>
      </w:r>
    </w:p>
    <w:p>
      <w:pPr>
        <w:sectPr>
          <w:pgSz w:w="11900" w:h="16838" w:orient="portrait"/>
          <w:cols w:equalWidth="0" w:num="1">
            <w:col w:w="11020"/>
          </w:cols>
          <w:pgMar w:left="440" w:top="368" w:right="439" w:bottom="1440" w:gutter="0" w:footer="0" w:header="0"/>
          <w:type w:val="continuous"/>
        </w:sectPr>
      </w:pPr>
    </w:p>
    <w:p>
      <w:pPr>
        <w:spacing w:after="0" w:line="15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220980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ind w:left="1520"/>
              <w:spacing w:after="0"/>
              <w:rPr>
                <w:sz w:val="20"/>
                <w:szCs w:val="20"/>
                <w:color w:val="auto"/>
              </w:rPr>
            </w:pPr>
            <w:r>
              <w:rPr>
                <w:rFonts w:ascii="Arial" w:cs="Arial" w:eastAsia="Arial" w:hAnsi="Arial"/>
                <w:sz w:val="14"/>
                <w:szCs w:val="14"/>
                <w:b w:val="1"/>
                <w:bCs w:val="1"/>
                <w:color w:val="auto"/>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ind w:left="1520"/>
              <w:spacing w:after="0"/>
              <w:rPr>
                <w:sz w:val="20"/>
                <w:szCs w:val="20"/>
                <w:color w:val="auto"/>
              </w:rPr>
            </w:pPr>
            <w:r>
              <w:rPr>
                <w:rFonts w:ascii="Arial" w:cs="Arial" w:eastAsia="Arial" w:hAnsi="Arial"/>
                <w:sz w:val="14"/>
                <w:szCs w:val="14"/>
                <w:b w:val="1"/>
                <w:bCs w:val="1"/>
                <w:color w:val="auto"/>
              </w:rPr>
              <w:t>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$.10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ind w:left="1480"/>
              <w:spacing w:after="0"/>
              <w:rPr>
                <w:sz w:val="20"/>
                <w:szCs w:val="20"/>
                <w:color w:val="auto"/>
              </w:rPr>
            </w:pPr>
            <w:r>
              <w:rPr>
                <w:rFonts w:ascii="Arial" w:cs="Arial" w:eastAsia="Arial" w:hAnsi="Arial"/>
                <w:sz w:val="18"/>
                <w:szCs w:val="18"/>
                <w:b w:val="1"/>
                <w:bCs w:val="1"/>
                <w:color w:val="auto"/>
              </w:rPr>
              <w:t>RAMP</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56"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3.02</w:t>
      </w:r>
      <w:r>
        <w:rPr>
          <w:sz w:val="20"/>
          <w:szCs w:val="20"/>
          <w:color w:val="auto"/>
        </w:rPr>
        <w:tab/>
      </w:r>
      <w:r>
        <w:rPr>
          <w:rFonts w:ascii="Arial" w:cs="Arial" w:eastAsia="Arial" w:hAnsi="Arial"/>
          <w:sz w:val="15"/>
          <w:szCs w:val="15"/>
          <w:b w:val="1"/>
          <w:bCs w:val="1"/>
          <w:u w:val="single" w:color="auto"/>
          <w:color w:val="auto"/>
        </w:rPr>
        <w:t>Unregistered Sales of Equity Securities</w:t>
      </w:r>
      <w:r>
        <w:rPr>
          <w:rFonts w:ascii="Arial" w:cs="Arial" w:eastAsia="Arial" w:hAnsi="Arial"/>
          <w:sz w:val="15"/>
          <w:szCs w:val="15"/>
          <w:b w:val="1"/>
          <w:bCs w:val="1"/>
          <w:color w:val="auto"/>
        </w:rPr>
        <w:t>.</w:t>
      </w:r>
    </w:p>
    <w:p>
      <w:pPr>
        <w:spacing w:after="0" w:line="121" w:lineRule="exact"/>
        <w:rPr>
          <w:sz w:val="20"/>
          <w:szCs w:val="20"/>
          <w:color w:val="auto"/>
        </w:rPr>
      </w:pPr>
    </w:p>
    <w:p>
      <w:pPr>
        <w:ind w:firstLine="991"/>
        <w:spacing w:after="0" w:line="267" w:lineRule="auto"/>
        <w:rPr>
          <w:sz w:val="20"/>
          <w:szCs w:val="20"/>
          <w:color w:val="auto"/>
        </w:rPr>
      </w:pPr>
      <w:r>
        <w:rPr>
          <w:rFonts w:ascii="Arial" w:cs="Arial" w:eastAsia="Arial" w:hAnsi="Arial"/>
          <w:sz w:val="17"/>
          <w:szCs w:val="17"/>
          <w:color w:val="auto"/>
        </w:rPr>
        <w:t>On February 17, 2021, LiveRamp Holdings, Inc., a Delaware corporation (the “Company”), acquired DataFleets, Ltd. (“DataFleets”) pursuant to that certain Merger Agreement by and among LiveRamp, Inc., a wholly-owned subsidiary of the Company (“LiveRamp”), Denali Merger Sub, Inc., a wholly-owned subsidiary of LiveRamp, DataFleets and Fortis Advisors LLC (as stockholder representative), dated as of February 7, 2021. In connection with closing, LiveRamp and the co-founders of DataFleets entered into Founder Consideration Holdback Agreements, dated as of February 7, 2021 (the “Holdback Agreements”), pursuant to which approximately $18.1 million of the aggregate acquisition consideration otherwise payable to the co-founders in the merger was held back and subject to vesting in three equal annual installments on the anniversary of the closing date (or such earlier date as the Board of Directors of the Company may determine), contingent upon the applicable co-founder’s continued employment with LiveRamp through each vesting date. Upon each vesting, such vested portion of the holdback amounts will be settled in a number of shares of common stock of the Company equal to the portion of such holdback amounts then vesting divided by the volume weighted average trading price of the Company’s common stock for the thirty trading days ending on the trading day that is immediately preceding the day that is three business days prior to the vesting date (the “Vesting Share Price”). With respect to each vesting, in the event that the Vesting Share Price is less than 85% of the volume weighted average trading price of LiveRamp common stock for the thirty trading days ending on the trading day that is immediately preceding the closing date of the DataFleets acquisition (the “Closing Share Price Floor”), then the Company, at its option, may elect to determine the number of shares issuable upon such vesting using either the Vesting Share Price or the Closing Share Price Floor. If the Company elects to utilize the Closing Share Price Floor for such calculation, the Company must pay to each of the co-founders, within 10 days following the vesting date, an amount in cash equal to (i) the number of shares issued to such co-founder on such vesting date multiplied by (ii) the difference between the Closing Share Price Floor and the Vesting Share Price.</w:t>
      </w:r>
    </w:p>
    <w:p>
      <w:pPr>
        <w:spacing w:after="0" w:line="191" w:lineRule="exact"/>
        <w:rPr>
          <w:sz w:val="20"/>
          <w:szCs w:val="20"/>
          <w:color w:val="auto"/>
        </w:rPr>
      </w:pPr>
    </w:p>
    <w:p>
      <w:pPr>
        <w:ind w:firstLine="991"/>
        <w:spacing w:after="0" w:line="273" w:lineRule="auto"/>
        <w:rPr>
          <w:sz w:val="20"/>
          <w:szCs w:val="20"/>
          <w:color w:val="auto"/>
        </w:rPr>
      </w:pPr>
      <w:r>
        <w:rPr>
          <w:rFonts w:ascii="Arial" w:cs="Arial" w:eastAsia="Arial" w:hAnsi="Arial"/>
          <w:sz w:val="17"/>
          <w:szCs w:val="17"/>
          <w:color w:val="auto"/>
        </w:rPr>
        <w:t>On February 17, 2022, the Company issued 90,083 shares of common stock of the Company in the aggregate to the co-founders pursuant to a distribution under the Holdback Agreements (the “Restricted Shares”). The co-founders are “accredited investors” within the meaning of Rule 501 promulgated under the Securities Act of 1933, as amended (the “Securities Act”) and such shares were issued pursuant to an exemption from registration provided by Section 4(a)(2) of the Securities Act. In connection with this vesting, the Company elected to calculate the number of shares to be issued using the Closing Share Price Floor. Accordingly, in accordance with the requirements of the Holdback Agreements, the Company will pay the co-founders an aggregate amount in cash equal to $2,058,173 within 10 days after the vesting date.</w:t>
      </w:r>
    </w:p>
    <w:p>
      <w:pPr>
        <w:spacing w:after="0" w:line="322"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u w:val="single" w:color="auto"/>
          <w:color w:val="auto"/>
        </w:rPr>
        <w:t>Other Information</w:t>
      </w:r>
      <w:r>
        <w:rPr>
          <w:rFonts w:ascii="Arial" w:cs="Arial" w:eastAsia="Arial" w:hAnsi="Arial"/>
          <w:sz w:val="16"/>
          <w:szCs w:val="16"/>
          <w:b w:val="1"/>
          <w:bCs w:val="1"/>
          <w:color w:val="auto"/>
        </w:rPr>
        <w:t>.</w:t>
      </w:r>
    </w:p>
    <w:p>
      <w:pPr>
        <w:spacing w:after="0" w:line="121" w:lineRule="exact"/>
        <w:rPr>
          <w:sz w:val="20"/>
          <w:szCs w:val="20"/>
          <w:color w:val="auto"/>
        </w:rPr>
      </w:pPr>
    </w:p>
    <w:p>
      <w:pPr>
        <w:ind w:right="60" w:firstLine="991"/>
        <w:spacing w:after="0" w:line="293" w:lineRule="auto"/>
        <w:rPr>
          <w:sz w:val="20"/>
          <w:szCs w:val="20"/>
          <w:color w:val="auto"/>
        </w:rPr>
      </w:pPr>
      <w:r>
        <w:rPr>
          <w:rFonts w:ascii="Arial" w:cs="Arial" w:eastAsia="Arial" w:hAnsi="Arial"/>
          <w:sz w:val="16"/>
          <w:szCs w:val="16"/>
          <w:color w:val="auto"/>
        </w:rPr>
        <w:t>Effective February 17, 2021, the Company entered into a registration rights agreement (the “Rights Agreement”) with the co-founders. Under the Rights Agreement, the Company has undertaken to provide certain Securities Act registration rights on behalf of the co-founders. Pursuant to the Rights Agreement, the Company filed a Registration Statement on Form S-3 (File No. 333-262790), including a base prospectus, with the Securities and Exchange Commission that was effective February 16, 2022 (as amended, the “Registration Statement”). The Company is presently filing a prospectus supplement to include a subsequent resale by the co-founders of the Restricted Shares in the Registration Statement. In connection with such registration, the Company attaches Exhibits 5.1 and 23.1 hereto, which shall be incorporated by reference into the Registration Statement.</w:t>
      </w:r>
    </w:p>
    <w:p>
      <w:pPr>
        <w:spacing w:after="0" w:line="30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u w:val="single" w:color="auto"/>
          <w:color w:val="auto"/>
        </w:rPr>
        <w:t>Financial Statements and Exhibits</w:t>
      </w:r>
      <w:r>
        <w:rPr>
          <w:rFonts w:ascii="Arial" w:cs="Arial" w:eastAsia="Arial" w:hAnsi="Arial"/>
          <w:sz w:val="16"/>
          <w:szCs w:val="16"/>
          <w:b w:val="1"/>
          <w:bCs w:val="1"/>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20"/>
        <w:spacing w:after="0"/>
        <w:tabs>
          <w:tab w:leader="none" w:pos="86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88" w:lineRule="exact"/>
        <w:rPr>
          <w:sz w:val="20"/>
          <w:szCs w:val="20"/>
          <w:color w:val="auto"/>
        </w:rPr>
      </w:pPr>
    </w:p>
    <w:p>
      <w:pPr>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5.1</w:t>
      </w:r>
      <w:r>
        <w:rPr>
          <w:sz w:val="20"/>
          <w:szCs w:val="20"/>
          <w:color w:val="auto"/>
        </w:rPr>
        <w:tab/>
      </w:r>
      <w:hyperlink w:anchor="page4">
        <w:r>
          <w:rPr>
            <w:rFonts w:ascii="Arial" w:cs="Arial" w:eastAsia="Arial" w:hAnsi="Arial"/>
            <w:sz w:val="16"/>
            <w:szCs w:val="16"/>
            <w:u w:val="single" w:color="auto"/>
            <w:color w:val="0000EE"/>
          </w:rPr>
          <w:t>Opinion of Jerry C. Jones, Chief Ethics and Legal Officer &amp; Executive Vice President</w:t>
        </w:r>
      </w:hyperlink>
    </w:p>
    <w:p>
      <w:pPr>
        <w:spacing w:after="0" w:line="117" w:lineRule="exact"/>
        <w:rPr>
          <w:sz w:val="20"/>
          <w:szCs w:val="20"/>
          <w:color w:val="auto"/>
        </w:rPr>
      </w:pPr>
    </w:p>
    <w:p>
      <w:pPr>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23.1</w:t>
      </w:r>
      <w:r>
        <w:rPr>
          <w:sz w:val="20"/>
          <w:szCs w:val="20"/>
          <w:color w:val="auto"/>
        </w:rPr>
        <w:tab/>
      </w:r>
      <w:hyperlink w:anchor="page4">
        <w:r>
          <w:rPr>
            <w:rFonts w:ascii="Arial" w:cs="Arial" w:eastAsia="Arial" w:hAnsi="Arial"/>
            <w:sz w:val="16"/>
            <w:szCs w:val="16"/>
            <w:u w:val="single" w:color="auto"/>
            <w:color w:val="0000EE"/>
          </w:rPr>
          <w:t>Consent of Jerry C. Jones, Chief Ethics and Legal Officer &amp; Executive Vice President (included in Exhibit 5.1)</w:t>
        </w:r>
      </w:hyperlink>
    </w:p>
    <w:p>
      <w:pPr>
        <w:spacing w:after="0" w:line="11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w:t>
      </w:r>
    </w:p>
    <w:p>
      <w:pPr>
        <w:sectPr>
          <w:pgSz w:w="11900" w:h="16838" w:orient="portrait"/>
          <w:cols w:equalWidth="0" w:num="1">
            <w:col w:w="11000"/>
          </w:cols>
          <w:pgMar w:left="440" w:top="297" w:right="45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980"/>
        <w:spacing w:after="0"/>
        <w:rPr>
          <w:sz w:val="20"/>
          <w:szCs w:val="20"/>
          <w:color w:val="auto"/>
        </w:rPr>
      </w:pPr>
      <w:r>
        <w:rPr>
          <w:rFonts w:ascii="Arial" w:cs="Arial" w:eastAsia="Arial" w:hAnsi="Arial"/>
          <w:sz w:val="18"/>
          <w:szCs w:val="18"/>
          <w:b w:val="1"/>
          <w:bCs w:val="1"/>
          <w:color w:val="auto"/>
        </w:rPr>
        <w:t>LIVERAMP HOLDINGS,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Jerry C.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Jerry C. Jones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7"/>
          <w:szCs w:val="17"/>
          <w:color w:val="auto"/>
        </w:rPr>
        <w:t>Chief Ethics and Legal Officer &amp; Executive Vice</w:t>
      </w:r>
    </w:p>
    <w:p>
      <w:pPr>
        <w:spacing w:after="0" w:line="21"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President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17, 2022</w:t>
      </w:r>
    </w:p>
    <w:p>
      <w:pPr>
        <w:sectPr>
          <w:pgSz w:w="11900" w:h="16838" w:orient="portrait"/>
          <w:cols w:equalWidth="0" w:num="1">
            <w:col w:w="10700"/>
          </w:cols>
          <w:pgMar w:left="440" w:top="297"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17,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LiveRamp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225 Bush Street, Seventeenth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94104</w:t>
      </w:r>
    </w:p>
    <w:p>
      <w:pPr>
        <w:spacing w:after="0" w:line="234"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u w:val="single" w:color="auto"/>
          <w:color w:val="auto"/>
        </w:rPr>
        <w:t>Registration Statement on Form S-3 (File No. 333-262790)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 am acting as counsel to LiveRamp Holdings,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in connection with the registration of 90,083 shares</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of the Company’s Common Stock, par value $0.10 per share (the “</w:t>
      </w:r>
      <w:r>
        <w:rPr>
          <w:rFonts w:ascii="Arial" w:cs="Arial" w:eastAsia="Arial" w:hAnsi="Arial"/>
          <w:sz w:val="17"/>
          <w:szCs w:val="17"/>
          <w:b w:val="1"/>
          <w:bCs w:val="1"/>
          <w:color w:val="auto"/>
        </w:rPr>
        <w:t>Shares</w:t>
      </w:r>
      <w:r>
        <w:rPr>
          <w:rFonts w:ascii="Arial" w:cs="Arial" w:eastAsia="Arial" w:hAnsi="Arial"/>
          <w:sz w:val="17"/>
          <w:szCs w:val="17"/>
          <w:color w:val="auto"/>
        </w:rPr>
        <w:t>”), all of which will be sold by certain selling stockholders (the “</w:t>
      </w:r>
      <w:r>
        <w:rPr>
          <w:rFonts w:ascii="Arial" w:cs="Arial" w:eastAsia="Arial" w:hAnsi="Arial"/>
          <w:sz w:val="17"/>
          <w:szCs w:val="17"/>
          <w:b w:val="1"/>
          <w:bCs w:val="1"/>
          <w:color w:val="auto"/>
        </w:rPr>
        <w:t>Selling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Stockholders</w:t>
      </w:r>
      <w:r>
        <w:rPr>
          <w:rFonts w:ascii="Arial" w:cs="Arial" w:eastAsia="Arial" w:hAnsi="Arial"/>
          <w:sz w:val="16"/>
          <w:szCs w:val="16"/>
          <w:color w:val="auto"/>
        </w:rPr>
        <w:t>”), pursuant to the above-referenced Registration Statement on Form S-3, as may be amended and supplemented from time to time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Registration Statement</w:t>
      </w:r>
      <w:r>
        <w:rPr>
          <w:rFonts w:ascii="Arial" w:cs="Arial" w:eastAsia="Arial" w:hAnsi="Arial"/>
          <w:sz w:val="16"/>
          <w:szCs w:val="16"/>
          <w:color w:val="auto"/>
        </w:rPr>
        <w:t>”), filed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under the Securities Act of 1933, as amended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w:t>
      </w:r>
    </w:p>
    <w:p>
      <w:pPr>
        <w:spacing w:after="0" w:line="211"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In my capacity as counsel for the Company in connection with the registration of the Shares, I have examined the Registration Statement and originals or copies, certified or otherwise identified to my satisfaction, of such documents, corporate records, certificates of public officials and other instruments as I have deemed necessary for the purposes of rendering this opinion. In my examination, I have assumed the genuineness of all signatures, the authenticity of all documents submitted to me as originals, the conformity with the originals of all documents submitted to me as copies, the authenticity of the originals of such documents and the legal competence of all signatories to such documents.</w:t>
      </w:r>
    </w:p>
    <w:p>
      <w:pPr>
        <w:spacing w:after="0" w:line="176" w:lineRule="exact"/>
        <w:rPr>
          <w:sz w:val="20"/>
          <w:szCs w:val="20"/>
          <w:color w:val="auto"/>
        </w:rPr>
      </w:pPr>
    </w:p>
    <w:p>
      <w:pPr>
        <w:ind w:right="40" w:firstLine="440"/>
        <w:spacing w:after="0" w:line="286" w:lineRule="auto"/>
        <w:rPr>
          <w:sz w:val="20"/>
          <w:szCs w:val="20"/>
          <w:color w:val="auto"/>
        </w:rPr>
      </w:pPr>
      <w:r>
        <w:rPr>
          <w:rFonts w:ascii="Arial" w:cs="Arial" w:eastAsia="Arial" w:hAnsi="Arial"/>
          <w:sz w:val="17"/>
          <w:szCs w:val="17"/>
          <w:color w:val="auto"/>
        </w:rPr>
        <w:t>I render this opinion only with respect to, and express no opinion herein concerning the application or effect of the laws of any state or jurisdiction other than, the Delaware General Corporation Law, which includes the statutory provisions thereof, all applicable provisions of the Delaware Constitution and reported judicial decisions interpreting the foregoing, and the federal laws of the United States of America.</w:t>
      </w:r>
    </w:p>
    <w:p>
      <w:pPr>
        <w:spacing w:after="0" w:line="165"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Based upon the foregoing, I am of the opinion that the Shares to be sold by the Selling Stockholders have been duly authorized and are validly issued, fully paid and nonassessable.</w:t>
      </w:r>
    </w:p>
    <w:p>
      <w:pPr>
        <w:spacing w:after="0" w:line="170"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I consent to the use of this opinion as an exhibit to the Registration Statement, and I further consent to the use of my name wherever appearing in the Registration Statement, including the prospectus constituting a part thereof, and any amendment thereto. In giving my consent, I do not thereby admit that I am in the category of persons whose consent is required under Section 7 of the Securities Act or the rules and regulations of the Commission thereunder.</w:t>
      </w:r>
    </w:p>
    <w:p>
      <w:pPr>
        <w:spacing w:after="0" w:line="21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Jerry C.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Jerry C. Jones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Chief Ethics and Legal Officer &amp; Executive Vice President</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2022-02-17T05:17:30Z</dcterms:created>
  <dcterms:modified xsi:type="dcterms:W3CDTF">2022-02-17T05:17:30Z</dcterms:modified>
</cp:coreProperties>
</file>