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460" w:right="120"/>
        <w:spacing w:after="0" w:line="243" w:lineRule="auto"/>
        <w:rPr>
          <w:sz w:val="20"/>
          <w:szCs w:val="20"/>
          <w:color w:val="auto"/>
        </w:rPr>
      </w:pPr>
      <w:r>
        <w:rPr>
          <w:rFonts w:ascii="Arial" w:cs="Arial" w:eastAsia="Arial" w:hAnsi="Arial"/>
          <w:sz w:val="22"/>
          <w:szCs w:val="22"/>
          <w:b w:val="1"/>
          <w:bCs w:val="1"/>
          <w:color w:val="auto"/>
        </w:rPr>
        <w:t>FOR ANNUAL REPORTS OF EMPLOYEE STOCK PURCHASE, SAVINGS AND SIMILAR PLANS PURSUANT TO SECTION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459" w:hanging="452"/>
        <w:spacing w:after="0" w:line="24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179" w:hanging="452"/>
        <w:spacing w:after="0" w:line="269"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58"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1-38669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21" w:lineRule="exact"/>
        <w:rPr>
          <w:rFonts w:ascii="Arial" w:cs="Arial" w:eastAsia="Arial" w:hAnsi="Arial"/>
          <w:sz w:val="18"/>
          <w:szCs w:val="18"/>
          <w:color w:val="auto"/>
        </w:rPr>
      </w:pPr>
    </w:p>
    <w:p>
      <w:pPr>
        <w:ind w:left="3780"/>
        <w:spacing w:after="0"/>
        <w:rPr>
          <w:rFonts w:ascii="Arial" w:cs="Arial" w:eastAsia="Arial" w:hAnsi="Arial"/>
          <w:sz w:val="18"/>
          <w:szCs w:val="18"/>
          <w:color w:val="auto"/>
        </w:rPr>
      </w:pPr>
      <w:r>
        <w:rPr>
          <w:rFonts w:ascii="Arial" w:cs="Arial" w:eastAsia="Arial" w:hAnsi="Arial"/>
          <w:sz w:val="18"/>
          <w:szCs w:val="18"/>
          <w:b w:val="1"/>
          <w:bCs w:val="1"/>
          <w:color w:val="auto"/>
        </w:rPr>
        <w:t>LiveRamp Holdings, Inc. Retirement Savings Plan</w:t>
      </w:r>
    </w:p>
    <w:p>
      <w:pPr>
        <w:spacing w:after="0" w:line="25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LiveRamp Holdings, Inc.</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225 Bush Street, Seventeenth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San Francisco, CA 94104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LIVERAMP HOLDINGS, INC.</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RETIREMENT SAVINGS PLAN</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Financial Statements and Supplemental Schedule December 31, 2018 and 2017</w:t>
      </w:r>
    </w:p>
    <w:p>
      <w:pPr>
        <w:spacing w:after="0" w:line="248"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(With Report of Independent Registered Public Accounting Firm Thereon)</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LIVERAMP HOLDINGS,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RETIREMENT SAVINGS PLAN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8860" w:type="dxa"/>
            <w:vAlign w:val="bottom"/>
            <w:gridSpan w:val="6"/>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5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21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Net Assets Available for Benefits – December 31, 2018 and 2017</w:t>
              </w:r>
            </w:hyperlink>
          </w:p>
        </w:tc>
        <w:tc>
          <w:tcPr>
            <w:tcW w:w="3060" w:type="dxa"/>
            <w:vAlign w:val="bottom"/>
            <w:gridSpan w:val="3"/>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886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 Year ended December 31, 2018</w:t>
              </w:r>
            </w:hyperlink>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6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220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22"/>
        </w:trPr>
        <w:tc>
          <w:tcPr>
            <w:tcW w:w="21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Supplemental Schedule</w:t>
            </w:r>
          </w:p>
        </w:tc>
        <w:tc>
          <w:tcPr>
            <w:tcW w:w="6700" w:type="dxa"/>
            <w:vAlign w:val="bottom"/>
            <w:gridSpan w:val="5"/>
          </w:tcPr>
          <w:p>
            <w:pPr>
              <w:spacing w:after="0"/>
              <w:rPr>
                <w:sz w:val="19"/>
                <w:szCs w:val="19"/>
                <w:color w:val="auto"/>
              </w:rPr>
            </w:pPr>
          </w:p>
        </w:tc>
        <w:tc>
          <w:tcPr>
            <w:tcW w:w="2500" w:type="dxa"/>
            <w:vAlign w:val="bottom"/>
          </w:tcPr>
          <w:p>
            <w:pPr>
              <w:spacing w:after="0"/>
              <w:rPr>
                <w:sz w:val="19"/>
                <w:szCs w:val="19"/>
                <w:color w:val="auto"/>
              </w:rPr>
            </w:pPr>
          </w:p>
        </w:tc>
      </w:tr>
      <w:tr>
        <w:trPr>
          <w:trHeight w:val="190"/>
        </w:trPr>
        <w:tc>
          <w:tcPr>
            <w:tcW w:w="8860" w:type="dxa"/>
            <w:vAlign w:val="bottom"/>
            <w:gridSpan w:val="6"/>
          </w:tcPr>
          <w:p>
            <w:pPr>
              <w:spacing w:after="0" w:line="190" w:lineRule="exact"/>
              <w:rPr>
                <w:rFonts w:ascii="Arial" w:cs="Arial" w:eastAsia="Arial" w:hAnsi="Arial"/>
                <w:sz w:val="18"/>
                <w:szCs w:val="18"/>
                <w:color w:val="0000EE"/>
              </w:rPr>
            </w:pPr>
            <w:hyperlink w:anchor="page13">
              <w:r>
                <w:rPr>
                  <w:rFonts w:ascii="Arial" w:cs="Arial" w:eastAsia="Arial" w:hAnsi="Arial"/>
                  <w:sz w:val="18"/>
                  <w:szCs w:val="18"/>
                  <w:color w:val="0000EE"/>
                </w:rPr>
                <w:t>Schedule H, Line 4i – Schedule of Assets (Held at End of Year) – December 31, 2018</w:t>
              </w:r>
            </w:hyperlink>
          </w:p>
        </w:tc>
        <w:tc>
          <w:tcPr>
            <w:tcW w:w="2500" w:type="dxa"/>
            <w:vAlign w:val="bottom"/>
          </w:tcPr>
          <w:p>
            <w:pPr>
              <w:jc w:val="right"/>
              <w:spacing w:after="0" w:line="190" w:lineRule="exact"/>
              <w:rPr>
                <w:sz w:val="20"/>
                <w:szCs w:val="20"/>
                <w:color w:val="auto"/>
              </w:rPr>
            </w:pPr>
            <w:r>
              <w:rPr>
                <w:rFonts w:ascii="Arial" w:cs="Arial" w:eastAsia="Arial" w:hAnsi="Arial"/>
                <w:sz w:val="18"/>
                <w:szCs w:val="18"/>
                <w:color w:val="auto"/>
              </w:rPr>
              <w:t>10</w:t>
            </w:r>
          </w:p>
        </w:tc>
      </w:tr>
      <w:tr>
        <w:trPr>
          <w:trHeight w:val="20"/>
        </w:trPr>
        <w:tc>
          <w:tcPr>
            <w:tcW w:w="21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80" w:right="40" w:hanging="579"/>
        <w:spacing w:after="0" w:line="342" w:lineRule="auto"/>
        <w:tabs>
          <w:tab w:leader="none" w:pos="560" w:val="left"/>
        </w:tabs>
        <w:rPr>
          <w:sz w:val="20"/>
          <w:szCs w:val="20"/>
          <w:color w:val="auto"/>
        </w:rPr>
      </w:pPr>
      <w:r>
        <w:rPr>
          <w:rFonts w:ascii="Arial" w:cs="Arial" w:eastAsia="Arial" w:hAnsi="Arial"/>
          <w:sz w:val="16"/>
          <w:szCs w:val="16"/>
          <w:color w:val="auto"/>
        </w:rPr>
        <w:t>Note:</w:t>
        <w:tab/>
        <w:t>All other supplemental schedules have been omitted because they are not applicable or are not required by Section 2520.103-10 of the Department of Labor’s Rules and Regulations for Reporting and Disclosure under the Employee Retirement Income Security Act of 1974,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0000EE"/>
        </w:rPr>
        <w:t>Exhibit 23.1 – Consent of BKD, LLP</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 and Plan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LiveRamp Holdings, Inc.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statements of net assets available for benefits of LiveRamp Holdings, Inc. Retirement Savings Plan (the Plan) (formerly Acxiom Corporation Retirement Savings Plan) as of December 31, 2018 and 2017, the related statement of changes in net assets available for benefits for the years then ended December 31, 2018, and the related notes (collectively referred to as the financial statements). In our opinion, the financial statements referred to above present fairly, in all material respects, the net assets available for benefits of the Plan as of December 31, 2018 and 2017, and the changes in net assets available for benefits for the year ended December 31, 2018, in conformity with accounting principles generally accepted in the United States of America.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Opinion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w:t>
      </w:r>
    </w:p>
    <w:p>
      <w:pPr>
        <w:spacing w:after="0" w:line="170"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on Supplemental Information</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The supplemental information in the accompanying Schedule of Assets (Held at End of Year)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conformity with the Department of Labor’s Rules and Regulations for Reporting and Disclosure under the </w:t>
      </w:r>
      <w:r>
        <w:rPr>
          <w:rFonts w:ascii="Arial" w:cs="Arial" w:eastAsia="Arial" w:hAnsi="Arial"/>
          <w:sz w:val="16"/>
          <w:szCs w:val="16"/>
          <w:i w:val="1"/>
          <w:iCs w:val="1"/>
          <w:color w:val="auto"/>
        </w:rPr>
        <w:t>Employee Retirement Income Security Act of 1974</w:t>
      </w:r>
      <w:r>
        <w:rPr>
          <w:rFonts w:ascii="Arial" w:cs="Arial" w:eastAsia="Arial" w:hAnsi="Arial"/>
          <w:sz w:val="16"/>
          <w:szCs w:val="16"/>
          <w:color w:val="auto"/>
        </w:rPr>
        <w:t>. In our opinion, the Schedule of Assets (Held at End of Year) is fairly stated, in all material respects, in relation to the basic financial statements taken as a whole.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BKD,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2019</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LIVERAMP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SAVINGS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 and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LiveRamp Holdings, Inc. (formerly known as Acxiom Corporation) common stock</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54,396,095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63,431,019</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Participant brokerage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2,679,797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2,443,224</w:t>
            </w:r>
          </w:p>
        </w:tc>
      </w:tr>
      <w:tr>
        <w:trPr>
          <w:trHeight w:val="216"/>
        </w:trPr>
        <w:tc>
          <w:tcPr>
            <w:tcW w:w="9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Mutual funds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166,156,888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190,410,860</w:t>
            </w:r>
          </w:p>
        </w:tc>
      </w:tr>
      <w:tr>
        <w:trPr>
          <w:trHeight w:val="216"/>
        </w:trPr>
        <w:tc>
          <w:tcPr>
            <w:tcW w:w="9100" w:type="dxa"/>
            <w:vAlign w:val="bottom"/>
          </w:tcPr>
          <w:p>
            <w:pPr>
              <w:ind w:left="720"/>
              <w:spacing w:after="0"/>
              <w:rPr>
                <w:sz w:val="20"/>
                <w:szCs w:val="20"/>
                <w:color w:val="auto"/>
              </w:rPr>
            </w:pPr>
            <w:r>
              <w:rPr>
                <w:rFonts w:ascii="Arial" w:cs="Arial" w:eastAsia="Arial" w:hAnsi="Arial"/>
                <w:sz w:val="18"/>
                <w:szCs w:val="18"/>
                <w:color w:val="auto"/>
              </w:rPr>
              <w:t>Common collective trust funds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204,155,175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253,514,818</w:t>
            </w:r>
          </w:p>
        </w:tc>
      </w:tr>
      <w:tr>
        <w:trPr>
          <w:trHeight w:val="27"/>
        </w:trPr>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investments at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427,387,955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509,799,921</w:t>
            </w:r>
          </w:p>
        </w:tc>
      </w:tr>
      <w:tr>
        <w:trPr>
          <w:trHeight w:val="216"/>
        </w:trPr>
        <w:tc>
          <w:tcPr>
            <w:tcW w:w="9100" w:type="dxa"/>
            <w:vAlign w:val="bottom"/>
          </w:tcPr>
          <w:p>
            <w:pPr>
              <w:ind w:left="360"/>
              <w:spacing w:after="0"/>
              <w:rPr>
                <w:sz w:val="20"/>
                <w:szCs w:val="20"/>
                <w:color w:val="auto"/>
              </w:rPr>
            </w:pPr>
            <w:r>
              <w:rPr>
                <w:rFonts w:ascii="Arial" w:cs="Arial" w:eastAsia="Arial" w:hAnsi="Arial"/>
                <w:sz w:val="18"/>
                <w:szCs w:val="18"/>
                <w:color w:val="auto"/>
              </w:rPr>
              <w:t>Notes receivable from participants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3,996,555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5,241,032</w:t>
            </w: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43,992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w:t>
            </w:r>
          </w:p>
        </w:tc>
      </w:tr>
      <w:tr>
        <w:trPr>
          <w:trHeight w:val="223"/>
        </w:trPr>
        <w:tc>
          <w:tcPr>
            <w:tcW w:w="9100" w:type="dxa"/>
            <w:vAlign w:val="bottom"/>
          </w:tcPr>
          <w:p>
            <w:pPr>
              <w:ind w:left="1080"/>
              <w:spacing w:after="0"/>
              <w:rPr>
                <w:sz w:val="20"/>
                <w:szCs w:val="20"/>
                <w:color w:val="auto"/>
              </w:rPr>
            </w:pPr>
            <w:r>
              <w:rPr>
                <w:rFonts w:ascii="Arial" w:cs="Arial" w:eastAsia="Arial" w:hAnsi="Arial"/>
                <w:sz w:val="18"/>
                <w:szCs w:val="18"/>
                <w:color w:val="auto"/>
              </w:rPr>
              <w:t>Net assets available for benefits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431,428,502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515,042,406</w:t>
            </w:r>
          </w:p>
        </w:tc>
        <w:tc>
          <w:tcPr>
            <w:tcW w:w="6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1827"/>
        <w:spacing w:after="0"/>
        <w:rPr>
          <w:sz w:val="20"/>
          <w:szCs w:val="20"/>
          <w:color w:val="auto"/>
        </w:rPr>
      </w:pPr>
      <w:r>
        <w:rPr>
          <w:rFonts w:ascii="Arial" w:cs="Arial" w:eastAsia="Arial" w:hAnsi="Arial"/>
          <w:sz w:val="18"/>
          <w:szCs w:val="18"/>
          <w:b w:val="1"/>
          <w:bCs w:val="1"/>
          <w:color w:val="auto"/>
        </w:rPr>
        <w:t>LIVERAMP HOLDINGS, INC.</w:t>
      </w:r>
    </w:p>
    <w:p>
      <w:pPr>
        <w:spacing w:after="0" w:line="27" w:lineRule="exact"/>
        <w:rPr>
          <w:sz w:val="20"/>
          <w:szCs w:val="20"/>
          <w:color w:val="auto"/>
        </w:rPr>
      </w:pPr>
    </w:p>
    <w:p>
      <w:pPr>
        <w:jc w:val="center"/>
        <w:ind w:left="1827"/>
        <w:spacing w:after="0"/>
        <w:rPr>
          <w:sz w:val="20"/>
          <w:szCs w:val="20"/>
          <w:color w:val="auto"/>
        </w:rPr>
      </w:pPr>
      <w:r>
        <w:rPr>
          <w:rFonts w:ascii="Arial" w:cs="Arial" w:eastAsia="Arial" w:hAnsi="Arial"/>
          <w:sz w:val="18"/>
          <w:szCs w:val="18"/>
          <w:b w:val="1"/>
          <w:bCs w:val="1"/>
          <w:color w:val="auto"/>
        </w:rPr>
        <w:t>RETIREMENT SAVINGS PLAN</w:t>
      </w:r>
    </w:p>
    <w:p>
      <w:pPr>
        <w:spacing w:after="0" w:line="211" w:lineRule="exact"/>
        <w:rPr>
          <w:sz w:val="20"/>
          <w:szCs w:val="20"/>
          <w:color w:val="auto"/>
        </w:rPr>
      </w:pPr>
    </w:p>
    <w:p>
      <w:pPr>
        <w:jc w:val="center"/>
        <w:ind w:left="1827"/>
        <w:spacing w:after="0"/>
        <w:rPr>
          <w:sz w:val="20"/>
          <w:szCs w:val="20"/>
          <w:color w:val="auto"/>
        </w:rPr>
      </w:pPr>
      <w:r>
        <w:rPr>
          <w:rFonts w:ascii="Arial" w:cs="Arial" w:eastAsia="Arial" w:hAnsi="Arial"/>
          <w:sz w:val="16"/>
          <w:szCs w:val="16"/>
          <w:color w:val="auto"/>
        </w:rPr>
        <w:t>Statement of Changes in Net Assets Available for Benefits</w:t>
      </w:r>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Year ended December 31, 2018</w:t>
      </w:r>
    </w:p>
    <w:p>
      <w:pPr>
        <w:spacing w:after="0" w:line="252" w:lineRule="exact"/>
        <w:rPr>
          <w:sz w:val="20"/>
          <w:szCs w:val="20"/>
          <w:color w:val="auto"/>
        </w:rPr>
      </w:pPr>
    </w:p>
    <w:p>
      <w:pPr>
        <w:jc w:val="center"/>
        <w:ind w:right="8153"/>
        <w:spacing w:after="0"/>
        <w:rPr>
          <w:sz w:val="20"/>
          <w:szCs w:val="20"/>
          <w:color w:val="auto"/>
        </w:rPr>
      </w:pPr>
      <w:r>
        <w:rPr>
          <w:rFonts w:ascii="Arial" w:cs="Arial" w:eastAsia="Arial" w:hAnsi="Arial"/>
          <w:sz w:val="16"/>
          <w:szCs w:val="16"/>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depreciation in fair value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investment income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Employer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Deductions from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Benefits paid to participants and beneficiaries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Plan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Total deductions</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Net decrease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beginning of year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7" w:hanging="187"/>
        <w:spacing w:after="0"/>
        <w:tabs>
          <w:tab w:leader="none" w:pos="187" w:val="left"/>
        </w:tabs>
        <w:numPr>
          <w:ilvl w:val="0"/>
          <w:numId w:val="4"/>
        </w:numPr>
        <w:rPr>
          <w:rFonts w:ascii="Arial" w:cs="Arial" w:eastAsia="Arial" w:hAnsi="Arial"/>
          <w:sz w:val="17"/>
          <w:szCs w:val="17"/>
          <w:color w:val="auto"/>
        </w:rPr>
      </w:pPr>
      <w:r>
        <w:rPr>
          <w:rFonts w:ascii="Arial" w:cs="Arial" w:eastAsia="Arial" w:hAnsi="Arial"/>
          <w:sz w:val="17"/>
          <w:szCs w:val="17"/>
          <w:color w:val="auto"/>
        </w:rPr>
        <w:t>15,131,077</w:t>
      </w:r>
    </w:p>
    <w:p>
      <w:pPr>
        <w:spacing w:after="0" w:line="34" w:lineRule="exact"/>
        <w:rPr>
          <w:rFonts w:ascii="Arial" w:cs="Arial" w:eastAsia="Arial" w:hAnsi="Arial"/>
          <w:sz w:val="17"/>
          <w:szCs w:val="17"/>
          <w:color w:val="auto"/>
        </w:rPr>
      </w:pPr>
    </w:p>
    <w:p>
      <w:pPr>
        <w:ind w:left="227"/>
        <w:spacing w:after="0"/>
        <w:rPr>
          <w:rFonts w:ascii="Arial" w:cs="Arial" w:eastAsia="Arial" w:hAnsi="Arial"/>
          <w:sz w:val="17"/>
          <w:szCs w:val="17"/>
          <w:color w:val="auto"/>
        </w:rPr>
      </w:pPr>
      <w:r>
        <w:rPr>
          <w:rFonts w:ascii="Arial" w:cs="Arial" w:eastAsia="Arial" w:hAnsi="Arial"/>
          <w:sz w:val="16"/>
          <w:szCs w:val="16"/>
          <w:color w:val="auto"/>
        </w:rPr>
        <w:t>(3,178,431)</w:t>
      </w:r>
    </w:p>
    <w:p>
      <w:pPr>
        <w:spacing w:after="0" w:line="44" w:lineRule="exact"/>
        <w:rPr>
          <w:rFonts w:ascii="Arial" w:cs="Arial" w:eastAsia="Arial" w:hAnsi="Arial"/>
          <w:sz w:val="17"/>
          <w:szCs w:val="17"/>
          <w:color w:val="auto"/>
        </w:rPr>
      </w:pPr>
    </w:p>
    <w:p>
      <w:pPr>
        <w:ind w:left="187"/>
        <w:spacing w:after="0"/>
        <w:rPr>
          <w:rFonts w:ascii="Arial" w:cs="Arial" w:eastAsia="Arial" w:hAnsi="Arial"/>
          <w:sz w:val="17"/>
          <w:szCs w:val="17"/>
          <w:color w:val="auto"/>
        </w:rPr>
      </w:pPr>
      <w:r>
        <w:rPr>
          <w:rFonts w:ascii="Arial" w:cs="Arial" w:eastAsia="Arial" w:hAnsi="Arial"/>
          <w:sz w:val="17"/>
          <w:szCs w:val="17"/>
          <w:color w:val="auto"/>
        </w:rPr>
        <w:t>11,952,646</w:t>
      </w:r>
    </w:p>
    <w:p>
      <w:pPr>
        <w:spacing w:after="0" w:line="47" w:lineRule="exact"/>
        <w:rPr>
          <w:rFonts w:ascii="Arial" w:cs="Arial" w:eastAsia="Arial" w:hAnsi="Arial"/>
          <w:sz w:val="17"/>
          <w:szCs w:val="17"/>
          <w:color w:val="auto"/>
        </w:rPr>
      </w:pPr>
    </w:p>
    <w:p>
      <w:pPr>
        <w:ind w:left="407"/>
        <w:spacing w:after="0"/>
        <w:rPr>
          <w:rFonts w:ascii="Arial" w:cs="Arial" w:eastAsia="Arial" w:hAnsi="Arial"/>
          <w:sz w:val="17"/>
          <w:szCs w:val="17"/>
          <w:color w:val="auto"/>
        </w:rPr>
      </w:pPr>
      <w:r>
        <w:rPr>
          <w:rFonts w:ascii="Arial" w:cs="Arial" w:eastAsia="Arial" w:hAnsi="Arial"/>
          <w:sz w:val="18"/>
          <w:szCs w:val="18"/>
          <w:color w:val="auto"/>
        </w:rPr>
        <w:t>210,625</w:t>
      </w:r>
    </w:p>
    <w:p>
      <w:pPr>
        <w:spacing w:after="0" w:line="252" w:lineRule="exact"/>
        <w:rPr>
          <w:rFonts w:ascii="Arial" w:cs="Arial" w:eastAsia="Arial" w:hAnsi="Arial"/>
          <w:sz w:val="17"/>
          <w:szCs w:val="17"/>
          <w:color w:val="auto"/>
        </w:rPr>
      </w:pPr>
    </w:p>
    <w:p>
      <w:pPr>
        <w:ind w:left="187"/>
        <w:spacing w:after="0"/>
        <w:rPr>
          <w:rFonts w:ascii="Arial" w:cs="Arial" w:eastAsia="Arial" w:hAnsi="Arial"/>
          <w:sz w:val="17"/>
          <w:szCs w:val="17"/>
          <w:color w:val="auto"/>
        </w:rPr>
      </w:pPr>
      <w:r>
        <w:rPr>
          <w:rFonts w:ascii="Arial" w:cs="Arial" w:eastAsia="Arial" w:hAnsi="Arial"/>
          <w:sz w:val="17"/>
          <w:szCs w:val="17"/>
          <w:color w:val="auto"/>
        </w:rPr>
        <w:t>20,165,010</w:t>
      </w:r>
    </w:p>
    <w:p>
      <w:pPr>
        <w:spacing w:after="0" w:line="34" w:lineRule="exact"/>
        <w:rPr>
          <w:rFonts w:ascii="Arial" w:cs="Arial" w:eastAsia="Arial" w:hAnsi="Arial"/>
          <w:sz w:val="17"/>
          <w:szCs w:val="17"/>
          <w:color w:val="auto"/>
        </w:rPr>
      </w:pPr>
    </w:p>
    <w:p>
      <w:pPr>
        <w:ind w:left="287"/>
        <w:spacing w:after="0"/>
        <w:rPr>
          <w:rFonts w:ascii="Arial" w:cs="Arial" w:eastAsia="Arial" w:hAnsi="Arial"/>
          <w:sz w:val="17"/>
          <w:szCs w:val="17"/>
          <w:color w:val="auto"/>
        </w:rPr>
      </w:pPr>
      <w:r>
        <w:rPr>
          <w:rFonts w:ascii="Arial" w:cs="Arial" w:eastAsia="Arial" w:hAnsi="Arial"/>
          <w:sz w:val="17"/>
          <w:szCs w:val="17"/>
          <w:color w:val="auto"/>
        </w:rPr>
        <w:t>6,146,509</w:t>
      </w:r>
    </w:p>
    <w:p>
      <w:pPr>
        <w:spacing w:after="0" w:line="20" w:lineRule="exact"/>
        <w:rPr>
          <w:rFonts w:ascii="Arial" w:cs="Arial" w:eastAsia="Arial" w:hAnsi="Arial"/>
          <w:sz w:val="17"/>
          <w:szCs w:val="17"/>
          <w:color w:val="auto"/>
        </w:rPr>
      </w:pPr>
    </w:p>
    <w:p>
      <w:pPr>
        <w:ind w:left="287"/>
        <w:spacing w:after="0"/>
        <w:rPr>
          <w:rFonts w:ascii="Arial" w:cs="Arial" w:eastAsia="Arial" w:hAnsi="Arial"/>
          <w:sz w:val="17"/>
          <w:szCs w:val="17"/>
          <w:color w:val="auto"/>
        </w:rPr>
      </w:pPr>
      <w:r>
        <w:rPr>
          <w:rFonts w:ascii="Arial" w:cs="Arial" w:eastAsia="Arial" w:hAnsi="Arial"/>
          <w:sz w:val="17"/>
          <w:szCs w:val="17"/>
          <w:color w:val="auto"/>
        </w:rPr>
        <w:t>1,177,267</w:t>
      </w:r>
    </w:p>
    <w:p>
      <w:pPr>
        <w:spacing w:after="0" w:line="33" w:lineRule="exact"/>
        <w:rPr>
          <w:rFonts w:ascii="Arial" w:cs="Arial" w:eastAsia="Arial" w:hAnsi="Arial"/>
          <w:sz w:val="17"/>
          <w:szCs w:val="17"/>
          <w:color w:val="auto"/>
        </w:rPr>
      </w:pPr>
    </w:p>
    <w:p>
      <w:pPr>
        <w:ind w:left="187"/>
        <w:spacing w:after="0"/>
        <w:rPr>
          <w:rFonts w:ascii="Arial" w:cs="Arial" w:eastAsia="Arial" w:hAnsi="Arial"/>
          <w:sz w:val="17"/>
          <w:szCs w:val="17"/>
          <w:color w:val="auto"/>
        </w:rPr>
      </w:pPr>
      <w:r>
        <w:rPr>
          <w:rFonts w:ascii="Arial" w:cs="Arial" w:eastAsia="Arial" w:hAnsi="Arial"/>
          <w:sz w:val="17"/>
          <w:szCs w:val="17"/>
          <w:color w:val="auto"/>
        </w:rPr>
        <w:t>27,488,786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-1006475</wp:posOffset>
            </wp:positionV>
            <wp:extent cx="6343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-852170</wp:posOffset>
            </wp:positionV>
            <wp:extent cx="6343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-697230</wp:posOffset>
            </wp:positionV>
            <wp:extent cx="6343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6343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22225</wp:posOffset>
            </wp:positionV>
            <wp:extent cx="6343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44"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122,773,146</w:t>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492,815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343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 w:lineRule="exact"/>
        <w:rPr>
          <w:sz w:val="20"/>
          <w:szCs w:val="20"/>
          <w:color w:val="auto"/>
        </w:rPr>
      </w:pPr>
    </w:p>
    <w:p>
      <w:pPr>
        <w:ind w:left="107"/>
        <w:spacing w:after="0"/>
        <w:rPr>
          <w:sz w:val="20"/>
          <w:szCs w:val="20"/>
          <w:color w:val="auto"/>
        </w:rPr>
      </w:pPr>
      <w:r>
        <w:rPr>
          <w:rFonts w:ascii="Arial" w:cs="Arial" w:eastAsia="Arial" w:hAnsi="Arial"/>
          <w:sz w:val="17"/>
          <w:szCs w:val="17"/>
          <w:u w:val="single" w:color="auto"/>
          <w:color w:val="auto"/>
        </w:rPr>
        <w:t>123,265,961</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(83,613,904)</w:t>
      </w:r>
    </w:p>
    <w:p>
      <w:pPr>
        <w:spacing w:after="0" w:line="23" w:lineRule="exact"/>
        <w:rPr>
          <w:sz w:val="20"/>
          <w:szCs w:val="20"/>
          <w:color w:val="auto"/>
        </w:rPr>
      </w:pPr>
    </w:p>
    <w:p>
      <w:pPr>
        <w:ind w:left="107"/>
        <w:spacing w:after="0"/>
        <w:rPr>
          <w:sz w:val="20"/>
          <w:szCs w:val="20"/>
          <w:color w:val="auto"/>
        </w:rPr>
      </w:pPr>
      <w:r>
        <w:rPr>
          <w:rFonts w:ascii="Arial" w:cs="Arial" w:eastAsia="Arial" w:hAnsi="Arial"/>
          <w:sz w:val="17"/>
          <w:szCs w:val="17"/>
          <w:u w:val="single" w:color="auto"/>
          <w:color w:val="auto"/>
        </w:rPr>
        <w:t>515,042,406</w:t>
      </w:r>
    </w:p>
    <w:p>
      <w:pPr>
        <w:spacing w:after="0" w:line="33" w:lineRule="exact"/>
        <w:rPr>
          <w:sz w:val="20"/>
          <w:szCs w:val="20"/>
          <w:color w:val="auto"/>
        </w:rPr>
      </w:pPr>
    </w:p>
    <w:p>
      <w:pPr>
        <w:ind w:left="7"/>
        <w:spacing w:after="0"/>
        <w:rPr>
          <w:sz w:val="20"/>
          <w:szCs w:val="20"/>
          <w:color w:val="auto"/>
        </w:rPr>
      </w:pPr>
      <w:r>
        <w:rPr>
          <w:rFonts w:ascii="Arial" w:cs="Arial" w:eastAsia="Arial" w:hAnsi="Arial"/>
          <w:sz w:val="17"/>
          <w:szCs w:val="17"/>
          <w:u w:val="single" w:color="auto"/>
          <w:color w:val="auto"/>
        </w:rPr>
        <w:t>$431,428,502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6343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ectPr>
          <w:pgSz w:w="11900" w:h="16838" w:orient="portrait"/>
          <w:cols w:equalWidth="0" w:num="2">
            <w:col w:w="9593" w:space="720"/>
            <w:col w:w="1067"/>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Plan Description</w:t>
      </w:r>
    </w:p>
    <w:p>
      <w:pPr>
        <w:spacing w:after="0" w:line="121" w:lineRule="exact"/>
        <w:rPr>
          <w:rFonts w:ascii="Arial" w:cs="Arial" w:eastAsia="Arial" w:hAnsi="Arial"/>
          <w:sz w:val="18"/>
          <w:szCs w:val="18"/>
          <w:b w:val="1"/>
          <w:bCs w:val="1"/>
          <w:color w:val="auto"/>
        </w:rPr>
      </w:pPr>
    </w:p>
    <w:p>
      <w:pPr>
        <w:ind w:left="460" w:right="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LiveRamp Holdings, Inc. Retirement Savings Plan (“Plan”) (formerly Acxiom Corporation Retirement Savings Plan) provides only general information. Participants should refer to the Plan document for a more complete description of the Plan’s provisions.</w:t>
      </w:r>
    </w:p>
    <w:p>
      <w:pPr>
        <w:spacing w:after="0" w:line="17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Plan Sponsor</w:t>
      </w:r>
    </w:p>
    <w:p>
      <w:pPr>
        <w:spacing w:after="0" w:line="117" w:lineRule="exact"/>
        <w:rPr>
          <w:sz w:val="20"/>
          <w:szCs w:val="20"/>
          <w:color w:val="auto"/>
        </w:rPr>
      </w:pPr>
    </w:p>
    <w:p>
      <w:pPr>
        <w:jc w:val="both"/>
        <w:ind w:left="920" w:right="160"/>
        <w:spacing w:after="0" w:line="286" w:lineRule="auto"/>
        <w:rPr>
          <w:sz w:val="20"/>
          <w:szCs w:val="20"/>
          <w:color w:val="auto"/>
        </w:rPr>
      </w:pPr>
      <w:r>
        <w:rPr>
          <w:rFonts w:ascii="Arial" w:cs="Arial" w:eastAsia="Arial" w:hAnsi="Arial"/>
          <w:sz w:val="16"/>
          <w:szCs w:val="16"/>
          <w:color w:val="auto"/>
        </w:rPr>
        <w:t>On September 20, 2018, Acxiom Corporation implemented a holding company reorganization (“Reorganization”), as a result of which Acxiom Holdings, Inc. (“Holdings”) became the successor issuer to Acxiom Corporation and each issued and outstanding share of Acxiom Corporation common stock converted into one share of Holdings, having the same rights, powers, preferences, qualifications, limitations and restrictions as the Acxiom Corporation common stock being converted. On October 1, 2018, Holdings changed its name to LiveRamp Holdings, Inc.</w:t>
      </w:r>
    </w:p>
    <w:p>
      <w:pPr>
        <w:spacing w:after="0" w:line="2" w:lineRule="exact"/>
        <w:rPr>
          <w:sz w:val="20"/>
          <w:szCs w:val="20"/>
          <w:color w:val="auto"/>
        </w:rPr>
      </w:pPr>
    </w:p>
    <w:p>
      <w:pPr>
        <w:ind w:left="920" w:right="40"/>
        <w:spacing w:after="0" w:line="295" w:lineRule="auto"/>
        <w:rPr>
          <w:sz w:val="20"/>
          <w:szCs w:val="20"/>
          <w:color w:val="auto"/>
        </w:rPr>
      </w:pPr>
      <w:r>
        <w:rPr>
          <w:rFonts w:ascii="Arial" w:cs="Arial" w:eastAsia="Arial" w:hAnsi="Arial"/>
          <w:sz w:val="16"/>
          <w:szCs w:val="16"/>
          <w:color w:val="auto"/>
        </w:rPr>
        <w:t>(“LiveRamp,” “Company,” or “Employer”) and voluntarily delisted its common stock on NASDAQ and transferred that listing to NYSE. The common stock of LiveRamp began trading on October 2, 2018, under the ticker symbol “RAMP.” As a result of the Reorganization, LiveRamp succeeded Acxiom Corporation as the Plan Sponsor. Reference made herein to Company contributions of LiveRamp common stock during the years ended 2017 and 2018 include contributions of Acxiom Corporation common stock occurring before implementation of the Reorganization.</w:t>
      </w:r>
    </w:p>
    <w:p>
      <w:pPr>
        <w:spacing w:after="0" w:line="162" w:lineRule="exact"/>
        <w:rPr>
          <w:sz w:val="20"/>
          <w:szCs w:val="20"/>
          <w:color w:val="auto"/>
        </w:rPr>
      </w:pPr>
    </w:p>
    <w:p>
      <w:pPr>
        <w:ind w:left="920" w:right="340"/>
        <w:spacing w:after="0" w:line="342" w:lineRule="auto"/>
        <w:rPr>
          <w:sz w:val="20"/>
          <w:szCs w:val="20"/>
          <w:color w:val="auto"/>
        </w:rPr>
      </w:pPr>
      <w:r>
        <w:rPr>
          <w:rFonts w:ascii="Arial" w:cs="Arial" w:eastAsia="Arial" w:hAnsi="Arial"/>
          <w:sz w:val="16"/>
          <w:szCs w:val="16"/>
          <w:color w:val="auto"/>
        </w:rPr>
        <w:t>On October 1, 2018, the Company sold its Acxiom Marketing Services business, which resulted in a significant reduction in workforce. As a result, Plan management determined a partial termination of the Plan had occurred and fully vested employees terminated during 2018.</w:t>
      </w:r>
    </w:p>
    <w:p>
      <w:pPr>
        <w:spacing w:after="0" w:line="1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The Plan is a defined contribution plan covering substantially all employees of LiveRamp and its domestic subsidiaries. The Plan is subject to the provisions of the Employee Retirement Income Security Act of 1974, as amended (“ERISA”). The Administrative Committee, as appointed by the Chairman of the Internal Compensation Committee, is the administrator for the Plan.</w:t>
      </w:r>
    </w:p>
    <w:p>
      <w:pPr>
        <w:spacing w:after="0" w:line="208"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Participation</w:t>
      </w:r>
    </w:p>
    <w:p>
      <w:pPr>
        <w:spacing w:after="0" w:line="117" w:lineRule="exact"/>
        <w:rPr>
          <w:sz w:val="20"/>
          <w:szCs w:val="20"/>
          <w:color w:val="auto"/>
        </w:rPr>
      </w:pPr>
    </w:p>
    <w:p>
      <w:pPr>
        <w:ind w:left="920" w:right="240"/>
        <w:spacing w:after="0" w:line="342" w:lineRule="auto"/>
        <w:rPr>
          <w:sz w:val="20"/>
          <w:szCs w:val="20"/>
          <w:color w:val="auto"/>
        </w:rPr>
      </w:pPr>
      <w:r>
        <w:rPr>
          <w:rFonts w:ascii="Arial" w:cs="Arial" w:eastAsia="Arial" w:hAnsi="Arial"/>
          <w:sz w:val="16"/>
          <w:szCs w:val="16"/>
          <w:color w:val="auto"/>
        </w:rPr>
        <w:t>Employees of the Company may participate in the Plan upon commencement of employment, except for those employees, if any, who already receive retirement benefits in connection with a collective bargaining agreement, certain nonresident employees, and leased employees.</w:t>
      </w:r>
    </w:p>
    <w:p>
      <w:pPr>
        <w:spacing w:after="0" w:line="15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Contributions</w:t>
      </w:r>
    </w:p>
    <w:p>
      <w:pPr>
        <w:spacing w:after="0" w:line="117"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The Plan includes a 401(k) provision whereby each participant may defer up to 30% of annual compensation, not to exceed limits determined under Section 415(c) of the Internal Revenue Code (“IRC”).</w:t>
      </w:r>
    </w:p>
    <w:p>
      <w:pPr>
        <w:spacing w:after="0" w:line="170" w:lineRule="exact"/>
        <w:rPr>
          <w:sz w:val="20"/>
          <w:szCs w:val="20"/>
          <w:color w:val="auto"/>
        </w:rPr>
      </w:pPr>
    </w:p>
    <w:p>
      <w:pPr>
        <w:ind w:left="920" w:right="460"/>
        <w:spacing w:after="0" w:line="277" w:lineRule="auto"/>
        <w:rPr>
          <w:sz w:val="20"/>
          <w:szCs w:val="20"/>
          <w:color w:val="auto"/>
        </w:rPr>
      </w:pPr>
      <w:r>
        <w:rPr>
          <w:rFonts w:ascii="Arial" w:cs="Arial" w:eastAsia="Arial" w:hAnsi="Arial"/>
          <w:sz w:val="18"/>
          <w:szCs w:val="18"/>
          <w:color w:val="auto"/>
        </w:rPr>
        <w:t>The Plan allows discretionary matching contributions up to 50% of deferrals not in excess of 6% of participants’ compensation. During the current year the Company made matching contributions at the 50% level.</w:t>
      </w:r>
    </w:p>
    <w:p>
      <w:pPr>
        <w:spacing w:after="0" w:line="170" w:lineRule="exact"/>
        <w:rPr>
          <w:sz w:val="20"/>
          <w:szCs w:val="20"/>
          <w:color w:val="auto"/>
        </w:rPr>
      </w:pPr>
    </w:p>
    <w:p>
      <w:pPr>
        <w:ind w:left="920" w:right="300"/>
        <w:spacing w:after="0" w:line="302" w:lineRule="auto"/>
        <w:rPr>
          <w:sz w:val="20"/>
          <w:szCs w:val="20"/>
          <w:color w:val="auto"/>
        </w:rPr>
      </w:pPr>
      <w:r>
        <w:rPr>
          <w:rFonts w:ascii="Arial" w:cs="Arial" w:eastAsia="Arial" w:hAnsi="Arial"/>
          <w:sz w:val="16"/>
          <w:szCs w:val="16"/>
          <w:color w:val="auto"/>
        </w:rPr>
        <w:t>Participant contributions to the Plan are invested as directed by participants into various investment options. The Company’s matching contributions are made with LiveRamp common stock and are recorded based on the fair value of the common stock at the date contributed. During the year ended December 31, 2018, the Company contributed 220,545 shares of LiveRamp common stock. Immediately upon deposit into the Plan, the match shares are 100% diversifiable, at the election of the participant, among the other investment options within the Plan.</w:t>
      </w:r>
    </w:p>
    <w:p>
      <w:pPr>
        <w:spacing w:after="0" w:line="18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Participant Accounts</w:t>
      </w:r>
    </w:p>
    <w:p>
      <w:pPr>
        <w:spacing w:after="0" w:line="117" w:lineRule="exact"/>
        <w:rPr>
          <w:sz w:val="20"/>
          <w:szCs w:val="20"/>
          <w:color w:val="auto"/>
        </w:rPr>
      </w:pPr>
    </w:p>
    <w:p>
      <w:pPr>
        <w:ind w:left="920" w:right="260"/>
        <w:spacing w:after="0" w:line="259" w:lineRule="auto"/>
        <w:rPr>
          <w:sz w:val="20"/>
          <w:szCs w:val="20"/>
          <w:color w:val="auto"/>
        </w:rPr>
      </w:pPr>
      <w:r>
        <w:rPr>
          <w:rFonts w:ascii="Arial" w:cs="Arial" w:eastAsia="Arial" w:hAnsi="Arial"/>
          <w:sz w:val="18"/>
          <w:szCs w:val="18"/>
          <w:color w:val="auto"/>
        </w:rPr>
        <w:t>Each participant’s account is credited with the participant’s contribution, rollovers, if any, the Company’s matching contribution, and discretionary contributions, if any, and is adjusted for investment income/losses and expenses. Allocations of income/losses and expenses are made according to formulas specified in the Plan based on participant compensation or account balances. The benefit to which a participant is entitled is the benefit that can be provided from the participant’s vested account.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Notes Receivable from Participants</w:t>
      </w:r>
    </w:p>
    <w:p>
      <w:pPr>
        <w:spacing w:after="0" w:line="117" w:lineRule="exact"/>
        <w:rPr>
          <w:sz w:val="20"/>
          <w:szCs w:val="20"/>
          <w:color w:val="auto"/>
        </w:rPr>
      </w:pPr>
    </w:p>
    <w:p>
      <w:pPr>
        <w:ind w:left="920" w:right="40"/>
        <w:spacing w:after="0" w:line="297" w:lineRule="auto"/>
        <w:rPr>
          <w:sz w:val="20"/>
          <w:szCs w:val="20"/>
          <w:color w:val="auto"/>
        </w:rPr>
      </w:pPr>
      <w:r>
        <w:rPr>
          <w:rFonts w:ascii="Arial" w:cs="Arial" w:eastAsia="Arial" w:hAnsi="Arial"/>
          <w:sz w:val="16"/>
          <w:szCs w:val="16"/>
          <w:color w:val="auto"/>
        </w:rPr>
        <w:t>Participants may borrow from their Plan accounts a minimum of $1,000 up to a maximum equal to the lesser of $50,000, less the highest outstanding balance in the previous 12 months or 50% of their vested account balance. Loans are repayable through payroll deductions ranging up to five years unless the loan is for the purchase of a primary residence, in which case the loan can be repaid over ten years. The loans are secured by the balance in the participant’s account and bear interest at the prime rate in effect at the date of the loan plus 1.0%. The interest rates on outstanding participant loans at December 31, 2018 range from 4.25% to 6.50%, with maturity dates ranging from January 2019 to July 2028.</w:t>
      </w:r>
    </w:p>
    <w:p>
      <w:pPr>
        <w:spacing w:after="0" w:line="30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Vesting</w:t>
      </w:r>
    </w:p>
    <w:p>
      <w:pPr>
        <w:spacing w:after="0" w:line="117"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Participants are immediately vested in their voluntary contributions, rollovers, if any, and the earnings thereon. Participants are vested in the remainder of their accounts based on years of service, whereby partial vesting occurs in 20% increments beginning after two years of service until participants become fully vested after six years of service. Effective September 30, 2016, participants that complete an hour of service on or after September 30, 2016, are partially vested in 33% increments beginning after one year of service until participants become fully vested after three years of service. If applicable, nonvested portions of Company contributions are forfeited when a terminated employee takes a distribution and are used to reduce future Company matching contributions or to pay plan expenses.</w:t>
      </w:r>
    </w:p>
    <w:p>
      <w:pPr>
        <w:spacing w:after="0" w:line="178" w:lineRule="exact"/>
        <w:rPr>
          <w:sz w:val="20"/>
          <w:szCs w:val="20"/>
          <w:color w:val="auto"/>
        </w:rPr>
      </w:pPr>
    </w:p>
    <w:p>
      <w:pPr>
        <w:ind w:left="920" w:right="320"/>
        <w:spacing w:after="0" w:line="259" w:lineRule="auto"/>
        <w:rPr>
          <w:sz w:val="20"/>
          <w:szCs w:val="20"/>
          <w:color w:val="auto"/>
        </w:rPr>
      </w:pPr>
      <w:r>
        <w:rPr>
          <w:rFonts w:ascii="Arial" w:cs="Arial" w:eastAsia="Arial" w:hAnsi="Arial"/>
          <w:sz w:val="18"/>
          <w:szCs w:val="18"/>
          <w:color w:val="auto"/>
        </w:rPr>
        <w:t>At December 31, 2018 and 2017, forfeited nonvested accounts totaled $358,106 and $162,236, respectively. These accounts will be used to reduce future Employer contributions. During 2018, $650,069 of participants’ accounts were forfeited. Forfeited nonvested accounts reduced Employer contributions by $592,704. During 2018, the forfeiture account balance was increased by $200,827 on the fair market value of the investments held in the account.</w:t>
      </w:r>
    </w:p>
    <w:p>
      <w:pPr>
        <w:spacing w:after="0" w:line="335"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 Options</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Upon enrollment in the Plan, a participant may direct employee contributions in any of 13 mutual funds, 16 common collective trust funds, or the LiveRamp common stock fund. In addition, participants have the option to open a self-directed brokerage account with T. Rowe Price Company (“T. Rowe Price”) in order to invest in numerous other stocks, bonds, and mutual funds.</w:t>
      </w:r>
    </w:p>
    <w:p>
      <w:pPr>
        <w:spacing w:after="0" w:line="33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Benefits Paid to Participants and Beneficiaries</w:t>
      </w:r>
    </w:p>
    <w:p>
      <w:pPr>
        <w:spacing w:after="0" w:line="117" w:lineRule="exact"/>
        <w:rPr>
          <w:sz w:val="20"/>
          <w:szCs w:val="20"/>
          <w:color w:val="auto"/>
        </w:rPr>
      </w:pPr>
    </w:p>
    <w:p>
      <w:pPr>
        <w:jc w:val="both"/>
        <w:ind w:left="920" w:right="120"/>
        <w:spacing w:after="0" w:line="264" w:lineRule="auto"/>
        <w:rPr>
          <w:sz w:val="20"/>
          <w:szCs w:val="20"/>
          <w:color w:val="auto"/>
        </w:rPr>
      </w:pPr>
      <w:r>
        <w:rPr>
          <w:rFonts w:ascii="Arial" w:cs="Arial" w:eastAsia="Arial" w:hAnsi="Arial"/>
          <w:sz w:val="18"/>
          <w:szCs w:val="18"/>
          <w:color w:val="auto"/>
        </w:rPr>
        <w:t>Benefits paid upon retirement, death, or disability are made in the form of a lump-sum payment of cash or common stock of the Company. If a participant receives benefits prior to retirement, death, or disability, the benefits paid from the participant’s Employer contribution account shall not exceed the participant’s vested balance therein.</w:t>
      </w:r>
    </w:p>
    <w:p>
      <w:pPr>
        <w:spacing w:after="0" w:line="32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5"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Basis of Accounting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financial statements of the Plan are prepared under the accrual method of accounting.</w:t>
      </w:r>
    </w:p>
    <w:p>
      <w:pPr>
        <w:spacing w:after="0" w:line="37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 Valuation and Income Recognition</w:t>
      </w:r>
    </w:p>
    <w:p>
      <w:pPr>
        <w:spacing w:after="0" w:line="117"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The Plan’s investments are reported at fair value. Fair value is the price that would be received to sell an asset or paid to transfer a liability in an orderly transaction between market participants at the measurement date.</w:t>
      </w:r>
    </w:p>
    <w:p>
      <w:pPr>
        <w:spacing w:after="0" w:line="170" w:lineRule="exact"/>
        <w:rPr>
          <w:sz w:val="20"/>
          <w:szCs w:val="20"/>
          <w:color w:val="auto"/>
        </w:rPr>
      </w:pPr>
    </w:p>
    <w:p>
      <w:pPr>
        <w:ind w:left="920" w:right="500"/>
        <w:spacing w:after="0" w:line="264" w:lineRule="auto"/>
        <w:rPr>
          <w:sz w:val="20"/>
          <w:szCs w:val="20"/>
          <w:color w:val="auto"/>
        </w:rPr>
      </w:pPr>
      <w:r>
        <w:rPr>
          <w:rFonts w:ascii="Arial" w:cs="Arial" w:eastAsia="Arial" w:hAnsi="Arial"/>
          <w:sz w:val="18"/>
          <w:szCs w:val="18"/>
          <w:color w:val="auto"/>
        </w:rPr>
        <w:t>Purchases and sales of securities are recorded on a trade-date basis. Dividends are recorded on the ex-dividend date. Interest is recorded as earned. Net appreciation/depreciation in fair value of investments represents realized gains (losses) on investments sold and unrealized appreciation (depreciation) on investments held at year-end.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Notes Receivable from Participants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Notes receivable from participants are stated at amortized cost, which represents the unpaid principal balance plus accrued interest.</w:t>
      </w:r>
    </w:p>
    <w:p>
      <w:pPr>
        <w:spacing w:after="0" w:line="385"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changes therein, and disclosure of contingent assets and liabilities. Actual results could differ from those estimates.</w:t>
      </w:r>
    </w:p>
    <w:p>
      <w:pPr>
        <w:spacing w:after="0" w:line="330"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Payment of Benefits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Benefits are recorded when paid.</w:t>
      </w:r>
    </w:p>
    <w:p>
      <w:pPr>
        <w:spacing w:after="0" w:line="37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Certain expenses of maintaining the Plan are paid by the Plan, unless otherwise paid by the Company. Expenses that are paid by the Company are excluded from these financial statements. Fees related to the administration of notes receivable from participants are charged directly to the participant’s account and are included in administrative expenses. Investment related expenses are included in net appreciation (depreciation) of fair value of investments.</w:t>
      </w:r>
    </w:p>
    <w:p>
      <w:pPr>
        <w:spacing w:after="0" w:line="335"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left="920" w:right="120"/>
        <w:spacing w:after="0" w:line="257" w:lineRule="auto"/>
        <w:rPr>
          <w:sz w:val="20"/>
          <w:szCs w:val="20"/>
          <w:color w:val="auto"/>
        </w:rPr>
      </w:pPr>
      <w:r>
        <w:rPr>
          <w:rFonts w:ascii="Arial" w:cs="Arial" w:eastAsia="Arial" w:hAnsi="Arial"/>
          <w:sz w:val="18"/>
          <w:szCs w:val="18"/>
          <w:color w:val="auto"/>
        </w:rPr>
        <w:t xml:space="preserve">In August 2018, the Financial Accounting Standards Board issued ASU 2018-13, </w:t>
      </w:r>
      <w:r>
        <w:rPr>
          <w:rFonts w:ascii="Arial" w:cs="Arial" w:eastAsia="Arial" w:hAnsi="Arial"/>
          <w:sz w:val="18"/>
          <w:szCs w:val="18"/>
          <w:i w:val="1"/>
          <w:iCs w:val="1"/>
          <w:color w:val="auto"/>
        </w:rPr>
        <w:t>Fair Value Measurement (Topic 820): Disclosure Framework-Changes to the Disclosure Requirements for Fair Value Measurement</w:t>
      </w:r>
      <w:r>
        <w:rPr>
          <w:rFonts w:ascii="Arial" w:cs="Arial" w:eastAsia="Arial" w:hAnsi="Arial"/>
          <w:sz w:val="18"/>
          <w:szCs w:val="18"/>
          <w:color w:val="auto"/>
        </w:rPr>
        <w:t>. ASU 2018-13 modifies certain disclosure requirements on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in Topic 820. The guidance is effective for fiscal years beginning after December 15, 2019. The guidance is to be applied prospectively or retrospectively, depending on the different provisions. The Plan is currently evaluating the impact of ASU 2018-13 on the financial statements and related disclosures.</w:t>
      </w:r>
    </w:p>
    <w:p>
      <w:pPr>
        <w:spacing w:after="0" w:line="33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46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The Plan applies the provisions of Accounting Standards Codification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 defines fair value, establishes a framework for measuring fair value, and requires disclosure about assets and liabilities measured at fair value. Specifically, ASC 820:</w:t>
      </w:r>
    </w:p>
    <w:p>
      <w:pPr>
        <w:spacing w:after="0" w:line="29" w:lineRule="exact"/>
        <w:rPr>
          <w:rFonts w:ascii="Arial" w:cs="Arial" w:eastAsia="Arial" w:hAnsi="Arial"/>
          <w:sz w:val="18"/>
          <w:szCs w:val="18"/>
          <w:b w:val="1"/>
          <w:bCs w:val="1"/>
          <w:color w:val="auto"/>
        </w:rPr>
      </w:pPr>
    </w:p>
    <w:p>
      <w:pPr>
        <w:ind w:left="900" w:right="54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Defines fair value as the price that would be received to sell an asset or paid to transfer a liability in an orderly transaction between market participants at the measurement date, and establishes a framework for measuring fair value;</w:t>
      </w:r>
    </w:p>
    <w:p>
      <w:pPr>
        <w:spacing w:after="0" w:line="75"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Establishes a three-level hierarchy based upon the transparency of inputs to the valuation of an asset or liability as of the measurement date. The hierarchy gives the highest priority to unadjusted quoted prices in active markets for identical assets or liabilities (Level 1) and lowest priority to unobservable inputs (Level 3);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Expands disclosures about instruments measured at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the fair value hierarchy under ASC 820 are described below: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 These are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9" w:lineRule="exact"/>
        <w:rPr>
          <w:sz w:val="20"/>
          <w:szCs w:val="20"/>
          <w:color w:val="auto"/>
        </w:rPr>
      </w:pPr>
    </w:p>
    <w:p>
      <w:pPr>
        <w:jc w:val="center"/>
        <w:ind w:right="60"/>
        <w:spacing w:after="0" w:line="449"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 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a summary of the Plan’s investments measured at fair value as of December 31, 2018 and 2017:</w:t>
      </w:r>
    </w:p>
    <w:p>
      <w:pPr>
        <w:spacing w:after="0" w:line="3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Investments at fair value as of December 31, 2018</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Quoted prices</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in</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Significant other</w:t>
            </w: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Unobservable</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 active</w:t>
            </w:r>
          </w:p>
        </w:tc>
        <w:tc>
          <w:tcPr>
            <w:tcW w:w="4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net assets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market</w:t>
            </w:r>
          </w:p>
        </w:tc>
        <w:tc>
          <w:tcPr>
            <w:tcW w:w="400" w:type="dxa"/>
            <w:vAlign w:val="bottom"/>
          </w:tcPr>
          <w:p>
            <w:pPr>
              <w:spacing w:after="0"/>
              <w:rPr>
                <w:sz w:val="12"/>
                <w:szCs w:val="12"/>
                <w:color w:val="auto"/>
              </w:rPr>
            </w:pPr>
          </w:p>
        </w:tc>
        <w:tc>
          <w:tcPr>
            <w:tcW w:w="15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inputs</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40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benefits</w:t>
            </w:r>
          </w:p>
        </w:tc>
        <w:tc>
          <w:tcPr>
            <w:tcW w:w="0" w:type="dxa"/>
            <w:vAlign w:val="bottom"/>
          </w:tcPr>
          <w:p>
            <w:pPr>
              <w:spacing w:after="0"/>
              <w:rPr>
                <w:sz w:val="1"/>
                <w:szCs w:val="1"/>
                <w:color w:val="auto"/>
              </w:rPr>
            </w:pP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LiveRamp Holdings, Inc. (formerly known as Acxiom</w:t>
            </w: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 common stock (i)</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54,396,095</w:t>
            </w:r>
          </w:p>
        </w:tc>
        <w:tc>
          <w:tcPr>
            <w:tcW w:w="4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54,396,095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Common collective trusts (ii)</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204,155,175</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204,155,175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Mutual funds (iii)</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166,156,888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166,156,888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Participant-directed brokerage accounts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2,679,797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2,679,797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assets at fair value</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223,232,780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204,155,175</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427,387,955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5"/>
              </w:rPr>
              <w:t>Investments at fair value as of December 31, 2017</w:t>
            </w: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Quoted prices</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in</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Significant other</w:t>
            </w: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Unobservable</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 active</w:t>
            </w:r>
          </w:p>
        </w:tc>
        <w:tc>
          <w:tcPr>
            <w:tcW w:w="4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net assets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market</w:t>
            </w:r>
          </w:p>
        </w:tc>
        <w:tc>
          <w:tcPr>
            <w:tcW w:w="400" w:type="dxa"/>
            <w:vAlign w:val="bottom"/>
          </w:tcPr>
          <w:p>
            <w:pPr>
              <w:spacing w:after="0"/>
              <w:rPr>
                <w:sz w:val="12"/>
                <w:szCs w:val="12"/>
                <w:color w:val="auto"/>
              </w:rPr>
            </w:pPr>
          </w:p>
        </w:tc>
        <w:tc>
          <w:tcPr>
            <w:tcW w:w="15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inputs</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400" w:type="dxa"/>
            <w:vAlign w:val="bottom"/>
          </w:tcPr>
          <w:p>
            <w:pPr>
              <w:spacing w:after="0"/>
              <w:rPr>
                <w:sz w:val="14"/>
                <w:szCs w:val="14"/>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benefits</w:t>
            </w:r>
          </w:p>
        </w:tc>
        <w:tc>
          <w:tcPr>
            <w:tcW w:w="0" w:type="dxa"/>
            <w:vAlign w:val="bottom"/>
          </w:tcPr>
          <w:p>
            <w:pPr>
              <w:spacing w:after="0"/>
              <w:rPr>
                <w:sz w:val="1"/>
                <w:szCs w:val="1"/>
                <w:color w:val="auto"/>
              </w:rPr>
            </w:pPr>
          </w:p>
        </w:tc>
      </w:tr>
      <w:tr>
        <w:trPr>
          <w:trHeight w:val="182"/>
        </w:trPr>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LiveRamp Holdings, Inc. (formerly known as Acxiom</w:t>
            </w: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Corporation) common stock (i)</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63,431,019</w:t>
            </w:r>
          </w:p>
        </w:tc>
        <w:tc>
          <w:tcPr>
            <w:tcW w:w="4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63,431,019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Common collective trusts (ii)</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460"/>
              <w:spacing w:after="0"/>
              <w:rPr>
                <w:sz w:val="20"/>
                <w:szCs w:val="20"/>
                <w:color w:val="auto"/>
              </w:rPr>
            </w:pPr>
            <w:r>
              <w:rPr>
                <w:rFonts w:ascii="Arial" w:cs="Arial" w:eastAsia="Arial" w:hAnsi="Arial"/>
                <w:sz w:val="18"/>
                <w:szCs w:val="18"/>
                <w:color w:val="auto"/>
              </w:rPr>
              <w:t>253,514,818</w:t>
            </w: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253,514,818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Mutual funds (iii)</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190,410,860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190,410,860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Participant-directed brokerage accounts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2,443,224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2,443,224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assets at fair value</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256,285,103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253,514,818</w:t>
            </w: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509,799,921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Valued at the closing price reported in the active market in which the individual securities are traded.</w:t>
      </w:r>
    </w:p>
    <w:p>
      <w:pPr>
        <w:spacing w:after="0" w:line="27"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Common collective trusts (“CCT”): </w:t>
      </w:r>
      <w:r>
        <w:rPr>
          <w:rFonts w:ascii="Arial" w:cs="Arial" w:eastAsia="Arial" w:hAnsi="Arial"/>
          <w:sz w:val="18"/>
          <w:szCs w:val="18"/>
          <w:color w:val="auto"/>
        </w:rPr>
        <w:t>Valued daily at the net asset value (“NAV”) of the underlying CCT. The NAV is based on the fair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investments held by the fund less its liabilities. Participant transactions (purchases and sales) may occur daily. Were the Plan to initiate a full redemption of the collective trust, the investment advisor reserves the right to temporarily delay withdrawal from the trust in order to ensure that securities liquidations will be carried out in an orderly business manner.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180" w:hanging="452"/>
        <w:spacing w:after="0" w:line="26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Mutual Funds: </w:t>
      </w:r>
      <w:r>
        <w:rPr>
          <w:rFonts w:ascii="Arial" w:cs="Arial" w:eastAsia="Arial" w:hAnsi="Arial"/>
          <w:sz w:val="18"/>
          <w:szCs w:val="18"/>
          <w:color w:val="auto"/>
        </w:rPr>
        <w:t>Valued at the daily closing price as reported by the fund. Mutual funds held by the Plan are open-end mutual funds that are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 These funds are required to publish their daily NAV and to transact at that price. The mutual funds held by the Plan are deemed to be actively traded.</w:t>
      </w:r>
    </w:p>
    <w:p>
      <w:pPr>
        <w:spacing w:after="0" w:line="180" w:lineRule="exact"/>
        <w:rPr>
          <w:rFonts w:ascii="Arial" w:cs="Arial" w:eastAsia="Arial" w:hAnsi="Arial"/>
          <w:sz w:val="18"/>
          <w:szCs w:val="18"/>
          <w:color w:val="auto"/>
        </w:rPr>
      </w:pPr>
    </w:p>
    <w:p>
      <w:pPr>
        <w:ind w:left="460"/>
        <w:spacing w:after="0" w:line="312" w:lineRule="auto"/>
        <w:rPr>
          <w:rFonts w:ascii="Arial" w:cs="Arial" w:eastAsia="Arial" w:hAnsi="Arial"/>
          <w:sz w:val="18"/>
          <w:szCs w:val="18"/>
          <w:color w:val="auto"/>
        </w:rPr>
      </w:pPr>
      <w:r>
        <w:rPr>
          <w:rFonts w:ascii="Arial" w:cs="Arial" w:eastAsia="Arial" w:hAnsi="Arial"/>
          <w:sz w:val="16"/>
          <w:szCs w:val="16"/>
          <w:color w:val="auto"/>
        </w:rPr>
        <w:t>The methods described above may produce a fair value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as of the reporting date.</w:t>
      </w:r>
    </w:p>
    <w:p>
      <w:pPr>
        <w:spacing w:after="0" w:line="29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Plan Administration</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is administered by the administrative committee. T. Rowe Price is the recordkeeper and trustee of the Plan.</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Tax Status</w:t>
      </w:r>
    </w:p>
    <w:p>
      <w:pPr>
        <w:spacing w:after="0" w:line="121" w:lineRule="exact"/>
        <w:rPr>
          <w:rFonts w:ascii="Arial" w:cs="Arial" w:eastAsia="Arial" w:hAnsi="Arial"/>
          <w:sz w:val="18"/>
          <w:szCs w:val="18"/>
          <w:b w:val="1"/>
          <w:bCs w:val="1"/>
          <w:color w:val="auto"/>
        </w:rPr>
      </w:pPr>
    </w:p>
    <w:p>
      <w:pPr>
        <w:ind w:left="460" w:right="4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Internal Revenue Service (“IRS”) has determined and informed the Company in a letter dated May 30, 2014, that the Plan is designed in accordance with applicable sections of the IRC. The Plan has been amended since receiving the determination letter. The amendments to the plan include: (1) the definition of “spouse;” (2) the addition of a year-end true-up to the discretionary matching contribution; (3) vesting of certain participants as a result of corporate transactions; (4) allowing in-service distributions from rollover accounts at any time; (5) the addition of a Roth elective contribution feature; and (6) changing from six-year graded vesting of Employer contributions to three-year graded vesting. The plan administrator believes that the Plan is currently designed and being operated in compliance with the applicable requirements of the IRC.</w:t>
      </w:r>
    </w:p>
    <w:p>
      <w:pPr>
        <w:spacing w:after="0" w:line="164" w:lineRule="exact"/>
        <w:rPr>
          <w:rFonts w:ascii="Arial" w:cs="Arial" w:eastAsia="Arial" w:hAnsi="Arial"/>
          <w:sz w:val="18"/>
          <w:szCs w:val="18"/>
          <w:b w:val="1"/>
          <w:bCs w:val="1"/>
          <w:color w:val="auto"/>
        </w:rPr>
      </w:pPr>
    </w:p>
    <w:p>
      <w:pPr>
        <w:ind w:left="4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Management is required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concluded that as of December 31, 2018 and 2017, there are no uncertain positions taken or expected to be taken. The Plan has recognized no interest or penalties related to uncertain tax positions. The Plan is subject to routine audits by taxing jurisdictions; however, there are currently no audits for any tax periods in progress.</w:t>
      </w:r>
    </w:p>
    <w:p>
      <w:pPr>
        <w:spacing w:after="0" w:line="332" w:lineRule="exact"/>
        <w:rPr>
          <w:rFonts w:ascii="Arial" w:cs="Arial" w:eastAsia="Arial" w:hAnsi="Arial"/>
          <w:sz w:val="18"/>
          <w:szCs w:val="18"/>
          <w:b w:val="1"/>
          <w:bCs w:val="1"/>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investments represent mutual funds and common and collective trusts managed by T. Rowe Price, the trustee. Other related party transactions involve the purchases, sales and holdings of common stock of the Company and notes receivable from participants. During 2018 and 2017, total fees paid to related parties were $492,815 and $517,378, respectively.</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following is a reconciliation of net assets available for benefits per the financial statements at December 31, 2018 and 2017 to the Form 5500:</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Net assets available for benefits per financial statements</w:t>
            </w:r>
          </w:p>
        </w:tc>
        <w:tc>
          <w:tcPr>
            <w:tcW w:w="2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$431,428,502</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515,042,406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Participant loans in default-deemed distributions</w:t>
            </w:r>
          </w:p>
        </w:tc>
        <w:tc>
          <w:tcPr>
            <w:tcW w:w="20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(39,278)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(38,385)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431,389,224</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515,004,021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0" w:type="dxa"/>
            <w:vAlign w:val="bottom"/>
            <w:vMerge w:val="restart"/>
          </w:tcPr>
          <w:p>
            <w:pPr>
              <w:jc w:val="right"/>
              <w:ind w:right="1696"/>
              <w:spacing w:after="0"/>
              <w:rPr>
                <w:sz w:val="20"/>
                <w:szCs w:val="20"/>
                <w:color w:val="auto"/>
              </w:rPr>
            </w:pPr>
            <w:r>
              <w:rPr>
                <w:rFonts w:ascii="Arial" w:cs="Arial" w:eastAsia="Arial" w:hAnsi="Arial"/>
                <w:sz w:val="18"/>
                <w:szCs w:val="18"/>
                <w:color w:val="auto"/>
              </w:rPr>
              <w:t>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net changes in net assets per the financial statements to the Form 5500:</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660" w:type="dxa"/>
            <w:vAlign w:val="bottom"/>
          </w:tcPr>
          <w:p>
            <w:pPr>
              <w:spacing w:after="0"/>
              <w:rPr>
                <w:sz w:val="14"/>
                <w:szCs w:val="14"/>
                <w:color w:val="auto"/>
              </w:rPr>
            </w:pPr>
          </w:p>
        </w:tc>
        <w:tc>
          <w:tcPr>
            <w:tcW w:w="98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per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$(83,613,904)</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6660" w:type="dxa"/>
            <w:vAlign w:val="bottom"/>
          </w:tcPr>
          <w:p>
            <w:pPr>
              <w:spacing w:after="0" w:line="201" w:lineRule="exact"/>
              <w:rPr>
                <w:sz w:val="20"/>
                <w:szCs w:val="20"/>
                <w:color w:val="auto"/>
              </w:rPr>
            </w:pPr>
            <w:r>
              <w:rPr>
                <w:rFonts w:ascii="Arial" w:cs="Arial" w:eastAsia="Arial" w:hAnsi="Arial"/>
                <w:sz w:val="18"/>
                <w:szCs w:val="18"/>
                <w:color w:val="auto"/>
                <w:w w:val="99"/>
              </w:rPr>
              <w:t>Adjustment for defaulted participant loans-deemed distributions as of December 31,</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2018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39,278</w:t>
            </w:r>
          </w:p>
        </w:tc>
        <w:tc>
          <w:tcPr>
            <w:tcW w:w="120" w:type="dxa"/>
            <w:vAlign w:val="bottom"/>
          </w:tcPr>
          <w:p>
            <w:pPr>
              <w:spacing w:after="0"/>
              <w:rPr>
                <w:sz w:val="20"/>
                <w:szCs w:val="20"/>
                <w:color w:val="auto"/>
              </w:rPr>
            </w:pPr>
          </w:p>
        </w:tc>
      </w:tr>
      <w:tr>
        <w:trPr>
          <w:trHeight w:val="202"/>
        </w:trPr>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 for defaulted participant loans-deemed distributions as of December 31,</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(38,385)</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 changes in net assets per Form 5500</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(83,613,011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21" w:lineRule="exact"/>
        <w:rPr>
          <w:rFonts w:ascii="Arial" w:cs="Arial" w:eastAsia="Arial" w:hAnsi="Arial"/>
          <w:sz w:val="18"/>
          <w:szCs w:val="18"/>
          <w:b w:val="1"/>
          <w:bCs w:val="1"/>
          <w:color w:val="auto"/>
        </w:rPr>
      </w:pPr>
    </w:p>
    <w:p>
      <w:pPr>
        <w:jc w:val="both"/>
        <w:ind w:left="4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Upon complete discontinuance of contributions, termination, or partial termination of the Plan, participants will become 100% vested in their accounts. Upon full termination of the Plan, the value of such accounts shall be distributed as provided in the Plan.</w:t>
      </w:r>
    </w:p>
    <w:p>
      <w:pPr>
        <w:spacing w:after="0" w:line="291" w:lineRule="exact"/>
        <w:rPr>
          <w:rFonts w:ascii="Arial" w:cs="Arial" w:eastAsia="Arial" w:hAnsi="Arial"/>
          <w:sz w:val="18"/>
          <w:szCs w:val="18"/>
          <w:b w:val="1"/>
          <w:bCs w:val="1"/>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21" w:lineRule="exact"/>
        <w:rPr>
          <w:rFonts w:ascii="Arial" w:cs="Arial" w:eastAsia="Arial" w:hAnsi="Arial"/>
          <w:sz w:val="18"/>
          <w:szCs w:val="18"/>
          <w:b w:val="1"/>
          <w:bCs w:val="1"/>
          <w:color w:val="auto"/>
        </w:rPr>
      </w:pPr>
    </w:p>
    <w:p>
      <w:pPr>
        <w:ind w:left="46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those changes could materially affect the amounts reported in the statements of net assets available for benefits.</w:t>
      </w:r>
    </w:p>
    <w:p>
      <w:pPr>
        <w:spacing w:after="0" w:line="146"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Market conditions may result in a high degree of volatility and increase the risks and short-term liquidity associated with certain investments held by the Plan, which could impact the value of investments after the date of these financial statements. Due to uncertainties inherent in the estimations and assumptions process, it is at least reasonably possible that changes in these estimates and assumptions in the near term would be material to the financial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LIVERAMP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SAVINGS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w w:val="92"/>
              </w:rPr>
              <w:t>Identity of issuer, borrower, lessor, or similar party</w:t>
            </w:r>
          </w:p>
        </w:tc>
        <w:tc>
          <w:tcPr>
            <w:tcW w:w="1640" w:type="dxa"/>
            <w:vAlign w:val="bottom"/>
          </w:tcPr>
          <w:p>
            <w:pPr>
              <w:spacing w:after="0"/>
              <w:rPr>
                <w:sz w:val="14"/>
                <w:szCs w:val="14"/>
                <w:color w:val="auto"/>
              </w:rPr>
            </w:pPr>
          </w:p>
        </w:tc>
        <w:tc>
          <w:tcPr>
            <w:tcW w:w="4560" w:type="dxa"/>
            <w:vAlign w:val="bottom"/>
            <w:gridSpan w:val="2"/>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8"/>
        </w:trPr>
        <w:tc>
          <w:tcPr>
            <w:tcW w:w="3140" w:type="dxa"/>
            <w:vAlign w:val="bottom"/>
            <w:tcBorders>
              <w:bottom w:val="single" w:sz="8" w:color="auto"/>
            </w:tcBorders>
            <w:vMerge w:val="continue"/>
          </w:tcPr>
          <w:p>
            <w:pPr>
              <w:spacing w:after="0"/>
              <w:rPr>
                <w:sz w:val="15"/>
                <w:szCs w:val="15"/>
                <w:color w:val="auto"/>
              </w:rPr>
            </w:pPr>
          </w:p>
        </w:tc>
        <w:tc>
          <w:tcPr>
            <w:tcW w:w="1640" w:type="dxa"/>
            <w:vAlign w:val="bottom"/>
          </w:tcPr>
          <w:p>
            <w:pPr>
              <w:spacing w:after="0"/>
              <w:rPr>
                <w:sz w:val="15"/>
                <w:szCs w:val="15"/>
                <w:color w:val="auto"/>
              </w:rPr>
            </w:pPr>
          </w:p>
        </w:tc>
        <w:tc>
          <w:tcPr>
            <w:tcW w:w="456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 LiveRamp Holdings, Inc.</w:t>
            </w:r>
          </w:p>
        </w:tc>
        <w:tc>
          <w:tcPr>
            <w:tcW w:w="164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Common stock</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1,408,131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54,396,095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w w:val="91"/>
              </w:rPr>
              <w:t>Participant Directed Brokerage Accounts</w:t>
            </w:r>
          </w:p>
        </w:tc>
        <w:tc>
          <w:tcPr>
            <w:tcW w:w="6200" w:type="dxa"/>
            <w:vAlign w:val="bottom"/>
            <w:gridSpan w:val="3"/>
          </w:tcPr>
          <w:p>
            <w:pPr>
              <w:ind w:left="1640"/>
              <w:spacing w:after="0"/>
              <w:rPr>
                <w:sz w:val="20"/>
                <w:szCs w:val="20"/>
                <w:color w:val="auto"/>
              </w:rPr>
            </w:pPr>
            <w:r>
              <w:rPr>
                <w:rFonts w:ascii="Arial" w:cs="Arial" w:eastAsia="Arial" w:hAnsi="Arial"/>
                <w:sz w:val="18"/>
                <w:szCs w:val="18"/>
                <w:color w:val="auto"/>
              </w:rPr>
              <w:t>Tradelink Investments</w:t>
            </w:r>
          </w:p>
        </w:tc>
        <w:tc>
          <w:tcPr>
            <w:tcW w:w="860" w:type="dxa"/>
            <w:vAlign w:val="bottom"/>
          </w:tcPr>
          <w:p>
            <w:pPr>
              <w:jc w:val="right"/>
              <w:spacing w:after="0"/>
              <w:rPr>
                <w:sz w:val="20"/>
                <w:szCs w:val="20"/>
                <w:color w:val="auto"/>
              </w:rPr>
            </w:pPr>
            <w:r>
              <w:rPr>
                <w:rFonts w:ascii="Arial" w:cs="Arial" w:eastAsia="Arial" w:hAnsi="Arial"/>
                <w:sz w:val="18"/>
                <w:szCs w:val="18"/>
                <w:color w:val="auto"/>
              </w:rPr>
              <w:t>2,679,797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2,679,797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6200" w:type="dxa"/>
            <w:vAlign w:val="bottom"/>
            <w:gridSpan w:val="3"/>
            <w:shd w:val="clear" w:color="auto" w:fill="CCEEFF"/>
          </w:tcPr>
          <w:p>
            <w:pPr>
              <w:ind w:left="1640"/>
              <w:spacing w:after="0"/>
              <w:rPr>
                <w:sz w:val="20"/>
                <w:szCs w:val="20"/>
                <w:color w:val="auto"/>
              </w:rPr>
            </w:pPr>
            <w:r>
              <w:rPr>
                <w:rFonts w:ascii="Arial" w:cs="Arial" w:eastAsia="Arial" w:hAnsi="Arial"/>
                <w:sz w:val="18"/>
                <w:szCs w:val="18"/>
                <w:color w:val="auto"/>
              </w:rPr>
              <w:t>Mutual funds: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PIMCO Total Return Instl.</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917,906</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9,114,805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MetWest Total Return Bond Fund Class I</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558,906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5,807,030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T. Rowe Price</w:t>
            </w: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Government Money</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102,009</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102,009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BlackRock Global Allocation, I</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1,637,028</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Harbor International Fund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29,943</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1,009,960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T. Rowe Price</w:t>
            </w: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Balanced Fund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921,767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19,716,601</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JP Morgan Large Cap Growth Fund, R6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678,125</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23,103,723</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T. Rowe Price</w:t>
            </w: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Growth Stock Fund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718,811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41,051,285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Invesco Diversified Dividend R6</w:t>
            </w:r>
          </w:p>
        </w:tc>
        <w:tc>
          <w:tcPr>
            <w:tcW w:w="860" w:type="dxa"/>
            <w:vAlign w:val="bottom"/>
          </w:tcPr>
          <w:p>
            <w:pPr>
              <w:jc w:val="right"/>
              <w:spacing w:after="0"/>
              <w:rPr>
                <w:sz w:val="20"/>
                <w:szCs w:val="20"/>
                <w:color w:val="auto"/>
              </w:rPr>
            </w:pPr>
            <w:r>
              <w:rPr>
                <w:rFonts w:ascii="Arial" w:cs="Arial" w:eastAsia="Arial" w:hAnsi="Arial"/>
                <w:sz w:val="18"/>
                <w:szCs w:val="18"/>
                <w:color w:val="auto"/>
              </w:rPr>
              <w:t>1,090,417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19,049,583</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JP Morgan Mid Cap Value Instl.</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197,014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6,497,520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Carillon Eagle Small Cap Growth R6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161,748</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7,378,956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American Funds Europacific Growth – R6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278,279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12,519,773</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Schwab S&amp;P 500 Index Select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500,356</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19,168,615</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mutual funds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166,156,888</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6200" w:type="dxa"/>
            <w:vAlign w:val="bottom"/>
            <w:gridSpan w:val="3"/>
          </w:tcPr>
          <w:p>
            <w:pPr>
              <w:ind w:left="1640"/>
              <w:spacing w:after="0"/>
              <w:rPr>
                <w:sz w:val="20"/>
                <w:szCs w:val="20"/>
                <w:color w:val="auto"/>
              </w:rPr>
            </w:pPr>
            <w:r>
              <w:rPr>
                <w:rFonts w:ascii="Arial" w:cs="Arial" w:eastAsia="Arial" w:hAnsi="Arial"/>
                <w:sz w:val="18"/>
                <w:szCs w:val="18"/>
                <w:color w:val="auto"/>
              </w:rPr>
              <w:t>Common collective trust funds:</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T. Rowe Price</w:t>
            </w: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Horizons Trust 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276,206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10,131,219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T. Rowe Price</w:t>
            </w: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U.S. Mid-Cap Growth EQ Trust D</w:t>
            </w:r>
          </w:p>
        </w:tc>
        <w:tc>
          <w:tcPr>
            <w:tcW w:w="860" w:type="dxa"/>
            <w:vAlign w:val="bottom"/>
          </w:tcPr>
          <w:p>
            <w:pPr>
              <w:jc w:val="right"/>
              <w:spacing w:after="0"/>
              <w:rPr>
                <w:sz w:val="20"/>
                <w:szCs w:val="20"/>
                <w:color w:val="auto"/>
              </w:rPr>
            </w:pPr>
            <w:r>
              <w:rPr>
                <w:rFonts w:ascii="Arial" w:cs="Arial" w:eastAsia="Arial" w:hAnsi="Arial"/>
                <w:sz w:val="18"/>
                <w:szCs w:val="18"/>
                <w:color w:val="auto"/>
              </w:rPr>
              <w:t>1,546,893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36,846,993</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T. Rowe Price</w:t>
            </w: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Small-Cap Value EQ Trust 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879,405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16,462,468</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T. Rowe Price</w:t>
            </w: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Retirement 2005 Trust F</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12,835</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184,827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T. Rowe Price</w:t>
            </w: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Retirement 2010 Trust F</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1,690,361</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T. Rowe Price</w:t>
            </w: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Retirement 2015 Trust F</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136,356</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2,163,968</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T. Rowe Price</w:t>
            </w: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Retirement 2020 Trust F</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817,253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13,664,462</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T. Rowe Price</w:t>
            </w: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Retirement 2025 Trust F</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930,237</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16,279,139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T. Rowe Price</w:t>
            </w: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Retirement 2030 Trust F</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21,295,018</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T. Rowe Price</w:t>
            </w: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Retirement 2035 Trust F</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842,237</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15,749,826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T. Rowe Price</w:t>
            </w: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Retirement 2040 Trust F</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831,364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15,820,860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T. Rowe Price</w:t>
            </w: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Retirement 2045 Trust F</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430,674</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8,204,333</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T. Rowe Price</w:t>
            </w: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Retirement 2050 Trust F</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330,576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6,294,176</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T. Rowe Price</w:t>
            </w: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Retirement 2055 Trust F</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278,469</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5,302,057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T. Rowe Price</w:t>
            </w: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Retirement 2060 Trust F</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141,702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1,725,935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 T. Rowe Price</w:t>
            </w:r>
          </w:p>
        </w:tc>
        <w:tc>
          <w:tcPr>
            <w:tcW w:w="1640" w:type="dxa"/>
            <w:vAlign w:val="bottom"/>
          </w:tcPr>
          <w:p>
            <w:pPr>
              <w:spacing w:after="0"/>
              <w:rPr>
                <w:sz w:val="18"/>
                <w:szCs w:val="18"/>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Stable Value Fund Class N</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32,339,533</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32,339,533</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common collective trust funds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204,155,175</w:t>
            </w:r>
          </w:p>
        </w:tc>
        <w:tc>
          <w:tcPr>
            <w:tcW w:w="0" w:type="dxa"/>
            <w:vAlign w:val="bottom"/>
          </w:tcPr>
          <w:p>
            <w:pPr>
              <w:spacing w:after="0"/>
              <w:rPr>
                <w:sz w:val="1"/>
                <w:szCs w:val="1"/>
                <w:color w:val="auto"/>
              </w:rPr>
            </w:pPr>
          </w:p>
        </w:tc>
      </w:tr>
      <w:tr>
        <w:trPr>
          <w:trHeight w:val="216"/>
        </w:trPr>
        <w:tc>
          <w:tcPr>
            <w:tcW w:w="9340" w:type="dxa"/>
            <w:vAlign w:val="bottom"/>
            <w:gridSpan w:val="4"/>
          </w:tcPr>
          <w:p>
            <w:pPr>
              <w:spacing w:after="0"/>
              <w:rPr>
                <w:sz w:val="20"/>
                <w:szCs w:val="20"/>
                <w:color w:val="auto"/>
              </w:rPr>
            </w:pPr>
            <w:r>
              <w:rPr>
                <w:rFonts w:ascii="Arial" w:cs="Arial" w:eastAsia="Arial" w:hAnsi="Arial"/>
                <w:sz w:val="18"/>
                <w:szCs w:val="18"/>
                <w:color w:val="auto"/>
                <w:w w:val="95"/>
              </w:rPr>
              <w:t>* Notes receivable from Participants, interest rates range from 4.25% – 6.50% and maturities of January 2019 to July 2028.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3,996,555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6200" w:type="dxa"/>
            <w:vAlign w:val="bottom"/>
            <w:gridSpan w:val="3"/>
            <w:shd w:val="clear" w:color="auto" w:fill="CCEEFF"/>
          </w:tcPr>
          <w:p>
            <w:pPr>
              <w:ind w:left="1640"/>
              <w:spacing w:after="0"/>
              <w:rPr>
                <w:sz w:val="20"/>
                <w:szCs w:val="20"/>
                <w:color w:val="auto"/>
              </w:rPr>
            </w:pPr>
            <w:r>
              <w:rPr>
                <w:rFonts w:ascii="Arial" w:cs="Arial" w:eastAsia="Arial" w:hAnsi="Arial"/>
                <w:sz w:val="18"/>
                <w:szCs w:val="18"/>
                <w:color w:val="auto"/>
              </w:rPr>
              <w:t>Total investments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431,384,510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Historical cost information is not presented on this schedule, as all investments are participant directed.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a party in interest to the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independent auditors’ report.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LiveRamp Holdings, Inc. has duly caused this annual report to be signed on</w:t>
      </w:r>
      <w:r>
        <w:rPr>
          <w:rFonts w:ascii="Arial" w:cs="Arial" w:eastAsia="Arial" w:hAnsi="Arial"/>
          <w:sz w:val="18"/>
          <w:szCs w:val="18"/>
          <w:i w:val="1"/>
          <w:iCs w:val="1"/>
          <w:color w:val="auto"/>
        </w:rPr>
        <w:t xml:space="preserve"> </w:t>
      </w:r>
      <w:r>
        <w:rPr>
          <w:rFonts w:ascii="Arial" w:cs="Arial" w:eastAsia="Arial" w:hAnsi="Arial"/>
          <w:sz w:val="18"/>
          <w:szCs w:val="18"/>
          <w:color w:val="auto"/>
        </w:rPr>
        <w:t>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LiveRamp Holdings, Inc.</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Sponsor and Administrator of the</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LiveRamp Holdings, Inc. Retirement Savings Plan</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June 25, 2019</w:t>
      </w:r>
      <w:r>
        <w:rPr>
          <w:sz w:val="20"/>
          <w:szCs w:val="20"/>
          <w:color w:val="auto"/>
        </w:rPr>
        <w:tab/>
      </w:r>
      <w:r>
        <w:rPr>
          <w:rFonts w:ascii="Arial" w:cs="Arial" w:eastAsia="Arial" w:hAnsi="Arial"/>
          <w:sz w:val="16"/>
          <w:szCs w:val="16"/>
          <w:color w:val="auto"/>
        </w:rPr>
        <w:t>By:  /s/ Jerry C. Jones</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Jerry C.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-130175</wp:posOffset>
            </wp:positionV>
            <wp:extent cx="33274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Ethics and Legal Officer &amp; Executive Vice President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LiveRamp Holdings, Inc.</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hereby consent to the incorporation by reference in the Registration Statements (Nos. 333-57470, 333-136919, 333-158005, 333-221162 and 333-223520) on Form S-8 of LiveRamp Holdings, Inc. of our report dated June 25, 2019, with respect to the statements of net assets available for benefits of the LiveRamp Holdings, Inc. Retirement Savings Plan, as of December 31, 2018 and 2017, the related statement of changes in net assets available for benefits for the year ended December 31, 2018, and the supplemental schedule H, line 4i-schedule of assets (held at end of year) as of December 31, 2018, which is included in the December 31, 2018 Annual Report on Form 11-K of the LiveRamp Holdings, Inc. Retirement Savings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BKD,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Little Rock, Arkansas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25,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2"/>
    </w:lvl>
  </w:abstractNum>
  <w:abstractNum w:abstractNumId="7">
    <w:nsid w:val="519B500D"/>
    <w:multiLevelType w:val="hybridMultilevel"/>
    <w:lvl w:ilvl="0">
      <w:lvlJc w:val="left"/>
      <w:lvlText w:val="(%1)"/>
      <w:numFmt w:val="lowerLetter"/>
      <w:start w:val="3"/>
    </w:lvl>
  </w:abstractNum>
  <w:abstractNum w:abstractNumId="8">
    <w:nsid w:val="431BD7B7"/>
    <w:multiLevelType w:val="hybridMultilevel"/>
    <w:lvl w:ilvl="0">
      <w:lvlJc w:val="left"/>
      <w:lvlText w:val="(%1)"/>
      <w:numFmt w:val="lowerLetter"/>
      <w:start w:val="4"/>
    </w:lvl>
  </w:abstractNum>
  <w:abstractNum w:abstractNumId="9">
    <w:nsid w:val="3F2DBA31"/>
    <w:multiLevelType w:val="hybridMultilevel"/>
    <w:lvl w:ilvl="0">
      <w:lvlJc w:val="left"/>
      <w:lvlText w:val="(%1)"/>
      <w:numFmt w:val="lowerLetter"/>
      <w:start w:val="5"/>
    </w:lvl>
  </w:abstractNum>
  <w:abstractNum w:abstractNumId="10">
    <w:nsid w:val="7C83E458"/>
    <w:multiLevelType w:val="hybridMultilevel"/>
    <w:lvl w:ilvl="0">
      <w:lvlJc w:val="left"/>
      <w:lvlText w:val="(%1)"/>
      <w:numFmt w:val="lowerLetter"/>
      <w:start w:val="6"/>
    </w:lvl>
  </w:abstractNum>
  <w:abstractNum w:abstractNumId="11">
    <w:nsid w:val="257130A3"/>
    <w:multiLevelType w:val="hybridMultilevel"/>
    <w:lvl w:ilvl="0">
      <w:lvlJc w:val="left"/>
      <w:lvlText w:val="(%1)"/>
      <w:numFmt w:val="lowerLetter"/>
      <w:start w:val="7"/>
    </w:lvl>
  </w:abstractNum>
  <w:abstractNum w:abstractNumId="12">
    <w:nsid w:val="62BBD95A"/>
    <w:multiLevelType w:val="hybridMultilevel"/>
    <w:lvl w:ilvl="0">
      <w:lvlJc w:val="left"/>
      <w:lvlText w:val="(%1)"/>
      <w:numFmt w:val="lowerLetter"/>
      <w:start w:val="8"/>
    </w:lvl>
  </w:abstractNum>
  <w:abstractNum w:abstractNumId="13">
    <w:nsid w:val="436C6125"/>
    <w:multiLevelType w:val="hybridMultilevel"/>
    <w:lvl w:ilvl="0">
      <w:lvlJc w:val="left"/>
      <w:lvlText w:val="(%1)"/>
      <w:numFmt w:val="lowerRoman"/>
      <w:start w:val="1"/>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2"/>
    </w:lvl>
  </w:abstractNum>
  <w:abstractNum w:abstractNumId="17">
    <w:nsid w:val="2443A858"/>
    <w:multiLevelType w:val="hybridMultilevel"/>
    <w:lvl w:ilvl="0">
      <w:lvlJc w:val="left"/>
      <w:lvlText w:val="(%1)"/>
      <w:numFmt w:val="lowerLetter"/>
      <w:start w:val="3"/>
    </w:lvl>
  </w:abstractNum>
  <w:abstractNum w:abstractNumId="18">
    <w:nsid w:val="2D1D5AE9"/>
    <w:multiLevelType w:val="hybridMultilevel"/>
    <w:lvl w:ilvl="0">
      <w:lvlJc w:val="left"/>
      <w:lvlText w:val="(%1)"/>
      <w:numFmt w:val="lowerLetter"/>
      <w:start w:val="4"/>
    </w:lvl>
  </w:abstractNum>
  <w:abstractNum w:abstractNumId="19">
    <w:nsid w:val="6763845E"/>
    <w:multiLevelType w:val="hybridMultilevel"/>
    <w:lvl w:ilvl="0">
      <w:lvlJc w:val="left"/>
      <w:lvlText w:val="(%1)"/>
      <w:numFmt w:val="lowerLetter"/>
      <w:start w:val="5"/>
    </w:lvl>
  </w:abstractNum>
  <w:abstractNum w:abstractNumId="20">
    <w:nsid w:val="75A2A8D4"/>
    <w:multiLevelType w:val="hybridMultilevel"/>
    <w:lvl w:ilvl="0">
      <w:lvlJc w:val="left"/>
      <w:lvlText w:val="(%1)"/>
      <w:numFmt w:val="lowerLetter"/>
      <w:start w:val="6"/>
    </w:lvl>
  </w:abstractNum>
  <w:abstractNum w:abstractNumId="21">
    <w:nsid w:val="8EDBDAB"/>
    <w:multiLevelType w:val="hybridMultilevel"/>
    <w:lvl w:ilvl="0">
      <w:lvlJc w:val="left"/>
      <w:lvlText w:val="(%1)"/>
      <w:numFmt w:val="lowerLetter"/>
      <w:start w:val="7"/>
    </w:lvl>
  </w:abstractNum>
  <w:abstractNum w:abstractNumId="22">
    <w:nsid w:val="79838CB2"/>
    <w:multiLevelType w:val="hybridMultilevel"/>
    <w:lvl w:ilvl="0">
      <w:lvlJc w:val="left"/>
      <w:lvlText w:val="(%1)"/>
      <w:numFmt w:val="decimal"/>
      <w:start w:val="3"/>
    </w:lvl>
    <w:lvl w:ilvl="1">
      <w:lvlJc w:val="left"/>
      <w:lvlText w:val="•"/>
      <w:numFmt w:val="bullet"/>
      <w:start w:val="1"/>
    </w:lvl>
  </w:abstractNum>
  <w:abstractNum w:abstractNumId="23">
    <w:nsid w:val="4353D0CD"/>
    <w:multiLevelType w:val="hybridMultilevel"/>
    <w:lvl w:ilvl="0">
      <w:lvlJc w:val="left"/>
      <w:lvlText w:val="(%1)"/>
      <w:numFmt w:val="lowerRoman"/>
      <w:start w:val="1"/>
    </w:lvl>
  </w:abstractNum>
  <w:abstractNum w:abstractNumId="24">
    <w:nsid w:val="B03E0C6"/>
    <w:multiLevelType w:val="hybridMultilevel"/>
    <w:lvl w:ilvl="0">
      <w:lvlJc w:val="left"/>
      <w:lvlText w:val="(%1)"/>
      <w:numFmt w:val="lowerRoman"/>
      <w:start w:val="3"/>
    </w:lvl>
  </w:abstractNum>
  <w:abstractNum w:abstractNumId="25">
    <w:nsid w:val="189A769B"/>
    <w:multiLevelType w:val="hybridMultilevel"/>
    <w:lvl w:ilvl="0">
      <w:lvlJc w:val="left"/>
      <w:lvlText w:val="(%1)"/>
      <w:numFmt w:val="decimal"/>
      <w:start w:val="4"/>
    </w:lvl>
  </w:abstractNum>
  <w:abstractNum w:abstractNumId="26">
    <w:nsid w:val="54E49EB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2019-12-01T11:32:54Z</dcterms:created>
  <dcterms:modified xsi:type="dcterms:W3CDTF">2019-12-01T11:32:54Z</dcterms:modified>
</cp:coreProperties>
</file>