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(Mark One) </w:t>
      </w:r>
    </w:p>
    <w:tbl>
      <w:tblPr>
        <w:tblW w:w="9356" w:type="dxa"/>
        <w:jc w:val="center"/>
        <w:tblInd w:w="0" w:type="dxa"/>
        <w:tblLayout w:type="fixed"/>
        <w:tblCellMar>
          <w:top w:w="28" w:type="dxa"/>
          <w:left w:w="28" w:type="dxa"/>
          <w:bottom w:w="28" w:type="dxa"/>
          <w:right w:w="28" w:type="dxa"/>
        </w:tblCellMar>
      </w:tblPr>
      <w:tblGrid>
        <w:gridCol w:w="124"/>
        <w:gridCol w:w="109"/>
        <w:gridCol w:w="109"/>
        <w:gridCol w:w="2636"/>
        <w:gridCol w:w="2636"/>
        <w:gridCol w:w="37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ANNUAL REPORT PURSUANT TO SECTION 13 OR 15(d) OF THE SECURITIES EXCHANGE ACT OF 1934</w:t>
            </w:r>
          </w:p>
        </w:tc>
      </w:tr>
    </w:tbl>
    <w:p>
      <w:pPr>
        <w:pStyle w:val="TextBody"/>
        <w:bidi w:val="0"/>
        <w:spacing w:lineRule="auto" w:line="288" w:before="0" w:after="0"/>
        <w:ind w:left="0" w:right="0" w:firstLine="540"/>
        <w:jc w:val="center"/>
        <w:rPr/>
      </w:pPr>
      <w:r>
        <w:rPr>
          <w:color w:val="000000"/>
        </w:rPr>
        <w:t> </w:t>
      </w:r>
      <w:r>
        <w:rPr>
          <w:rFonts w:ascii="Arial;sans-serif" w:hAnsi="Arial;sans-serif"/>
          <w:b w:val="false"/>
          <w:color w:val="000000"/>
          <w:sz w:val="18"/>
        </w:rPr>
        <w:t xml:space="preserve">For the fiscal year ended March 31, 2026 </w:t>
      </w:r>
    </w:p>
    <w:p>
      <w:pPr>
        <w:pStyle w:val="TextBody"/>
        <w:bidi w:val="0"/>
        <w:spacing w:lineRule="auto" w:line="288" w:before="0" w:after="0"/>
        <w:ind w:left="0" w:right="0" w:firstLine="540"/>
        <w:jc w:val="center"/>
        <w:rPr>
          <w:color w:val="000000"/>
        </w:rPr>
      </w:pPr>
      <w:r>
        <w:rPr>
          <w:color w:val="000000"/>
        </w:rPr>
        <w:t> </w:t>
      </w:r>
      <w:r>
        <w:rPr>
          <w:rFonts w:ascii="Arial;sans-serif" w:hAnsi="Arial;sans-serif"/>
          <w:b w:val="false"/>
          <w:color w:val="000000"/>
          <w:sz w:val="18"/>
        </w:rPr>
        <w:t>OR </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0" w:after="0"/>
        <w:ind w:left="0" w:right="0" w:firstLine="540"/>
        <w:jc w:val="center"/>
        <w:rPr/>
      </w:pPr>
      <w:r>
        <w:rPr>
          <w:color w:val="000000"/>
        </w:rPr>
        <w:t> </w:t>
      </w:r>
      <w:r>
        <w:rPr>
          <w:rFonts w:ascii="Arial;sans-serif" w:hAnsi="Arial;sans-serif"/>
          <w:b w:val="false"/>
          <w:color w:val="000000"/>
          <w:sz w:val="18"/>
        </w:rPr>
        <w:t>For the transition period from ----- to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 001-38669</w:t>
      </w:r>
    </w:p>
    <w:tbl>
      <w:tblPr>
        <w:tblW w:w="10028" w:type="dxa"/>
        <w:jc w:val="center"/>
        <w:tblInd w:w="0" w:type="dxa"/>
        <w:tblLayout w:type="fixed"/>
        <w:tblCellMar>
          <w:top w:w="28" w:type="dxa"/>
          <w:left w:w="28" w:type="dxa"/>
          <w:bottom w:w="28" w:type="dxa"/>
          <w:right w:w="28" w:type="dxa"/>
        </w:tblCellMar>
      </w:tblPr>
      <w:tblGrid>
        <w:gridCol w:w="1795"/>
        <w:gridCol w:w="1585"/>
        <w:gridCol w:w="1585"/>
        <w:gridCol w:w="468"/>
        <w:gridCol w:w="468"/>
        <w:gridCol w:w="468"/>
        <w:gridCol w:w="1063"/>
        <w:gridCol w:w="1063"/>
        <w:gridCol w:w="1533"/>
      </w:tblGrid>
      <w:tr>
        <w:trPr/>
        <w:tc>
          <w:tcPr>
            <w:tcW w:w="179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8"/>
              </w:rPr>
            </w:pPr>
            <w:r>
              <w:rPr>
                <w:rFonts w:ascii="Arial;sans-serif" w:hAnsi="Arial;sans-serif"/>
                <w:b/>
                <w:color w:val="000000"/>
                <w:sz w:val="28"/>
              </w:rPr>
              <w:t>LiveRamp Holdings, Inc.</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00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83-1269307</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225 Bush Street, Seventeenth Floor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San Francisco,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94104</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(888) 987-6764</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Stock, $.10 Par Value</w:t>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RAMP</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tc>
      </w:tr>
    </w:tbl>
    <w:p>
      <w:pPr>
        <w:pStyle w:val="TextBody"/>
        <w:bidi w:val="0"/>
        <w:spacing w:lineRule="auto" w:line="288" w:before="0" w:after="0"/>
        <w:ind w:left="0" w:right="0" w:firstLine="5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21"/>
        <w:gridCol w:w="809"/>
        <w:gridCol w:w="809"/>
        <w:gridCol w:w="849"/>
        <w:gridCol w:w="809"/>
        <w:gridCol w:w="809"/>
        <w:gridCol w:w="809"/>
        <w:gridCol w:w="809"/>
        <w:gridCol w:w="809"/>
        <w:gridCol w:w="809"/>
        <w:gridCol w:w="809"/>
        <w:gridCol w:w="1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if the registrant is a well-known seasoned issuer, as defined in Rule 405 of the Securities Act.</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if the registrant is not required to file reports pursuant to Section 13 or Section 15(d) of the Act.</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Yes [ ]</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 [X]</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Yes [X]</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 [ ]</w:t>
            </w:r>
          </w:p>
        </w:tc>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5"/>
        <w:gridCol w:w="1455"/>
        <w:gridCol w:w="1455"/>
        <w:gridCol w:w="1662"/>
        <w:gridCol w:w="1455"/>
        <w:gridCol w:w="2073"/>
      </w:tblGrid>
      <w:tr>
        <w:trPr/>
        <w:tc>
          <w:tcPr>
            <w:tcW w:w="210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c>
      </w:tr>
      <w:tr>
        <w:trPr/>
        <w:tc>
          <w:tcPr>
            <w:tcW w:w="5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 [X]</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   [ ]</w:t>
            </w:r>
          </w:p>
        </w:tc>
      </w:tr>
      <w:tr>
        <w:trPr/>
        <w:tc>
          <w:tcPr>
            <w:tcW w:w="5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 [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 ☐</w:t>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Emerging growth company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1"/>
        <w:gridCol w:w="793"/>
        <w:gridCol w:w="793"/>
        <w:gridCol w:w="1015"/>
        <w:gridCol w:w="793"/>
        <w:gridCol w:w="793"/>
        <w:gridCol w:w="996"/>
        <w:gridCol w:w="793"/>
        <w:gridCol w:w="793"/>
        <w:gridCol w:w="793"/>
        <w:gridCol w:w="793"/>
        <w:gridCol w:w="793"/>
        <w:gridCol w:w="156"/>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tc>
        <w:tc>
          <w:tcPr>
            <w:tcW w:w="156" w:type="dxa"/>
            <w:tcBorders/>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2"/>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2"/>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12"/>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If securities are registered pursuant Section 12(b) of the Act, indicate by check mark whether the financial statements of the registrant included in the filing reflect the correction of an error to previously issued financial statements. ☐</w:t>
            </w:r>
          </w:p>
        </w:tc>
        <w:tc>
          <w:tcPr>
            <w:tcW w:w="156" w:type="dxa"/>
            <w:tcBorders/>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tc>
        <w:tc>
          <w:tcPr>
            <w:tcW w:w="156" w:type="dxa"/>
            <w:tcBorders/>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w:t>
            </w:r>
          </w:p>
        </w:tc>
        <w:tc>
          <w:tcPr>
            <w:tcW w:w="156" w:type="dxa"/>
            <w:tcBorders/>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Yes  ☐ </w:t>
            </w:r>
          </w:p>
        </w:tc>
        <w:tc>
          <w:tcPr>
            <w:tcW w:w="25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aggregate market value of the voting stock held by non-affiliates of the registrant, based upon the closing sale price of the registrant’s Common Stock, $.10 par value per share, as of the last business day of the registrant’s most recently completed second fiscal quarter as reported on the New York Stock Exchange was approximately $1,170,058,106. (For purposes of determination of the above stated amount only, all directors, executive officers and 10% or more shareholders of the registrant are presumed to be affiliates.)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number of shares of common stock, $0.10 par value per share, outstanding as of May 15, 2026 was 60,087,866.</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before="0" w:after="0"/>
        <w:jc w:val="center"/>
        <w:rPr/>
      </w:pPr>
      <w:r>
        <w:rPr/>
      </w:r>
    </w:p>
    <w:p>
      <w:pPr>
        <w:pStyle w:val="TextBody"/>
        <w:bidi w:val="0"/>
        <w:spacing w:lineRule="auto" w:line="288" w:before="0" w:after="600"/>
        <w:jc w:val="left"/>
        <w:rPr/>
      </w:pPr>
      <w:r>
        <w:rPr>
          <w:rFonts w:ascii="Arial;sans-serif" w:hAnsi="Arial;sans-serif"/>
          <w:b w:val="false"/>
          <w:color w:val="000000"/>
          <w:sz w:val="20"/>
        </w:rPr>
        <w:t>Portions of the Proxy Statement for the 2026 Annual Meeting of Stockholders (“2026 Proxy Statement”) of LiveRamp Holdings, Inc. (“LiveRamp,” the “Company,” “we”, “us”, or “our”) are incorporated by reference into Part III of this Form 10-K.</w:t>
      </w:r>
      <w:r>
        <w:rPr>
          <w:color w:val="0563C1"/>
        </w:rPr>
        <w:t> </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1008"/>
        <w:gridCol w:w="885"/>
        <w:gridCol w:w="885"/>
        <w:gridCol w:w="2425"/>
        <w:gridCol w:w="2119"/>
        <w:gridCol w:w="2166"/>
        <w:gridCol w:w="208"/>
        <w:gridCol w:w="208"/>
        <w:gridCol w:w="301"/>
      </w:tblGrid>
      <w:tr>
        <w:trPr/>
        <w:tc>
          <w:tcPr>
            <w:tcW w:w="100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4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 No.</w:t>
            </w:r>
          </w:p>
        </w:tc>
      </w:tr>
      <w:tr>
        <w:trPr/>
        <w:tc>
          <w:tcPr>
            <w:tcW w:w="94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10">
              <w:r>
                <w:rPr>
                  <w:rStyle w:val="InternetLink"/>
                  <w:rFonts w:ascii="Arial;sans-serif" w:hAnsi="Arial;sans-serif"/>
                  <w:b w:val="false"/>
                  <w:color w:val="0000FF"/>
                  <w:sz w:val="20"/>
                  <w:u w:val="single"/>
                </w:rPr>
                <w:t>Documents Incorporated by Reference</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10">
              <w:r>
                <w:rPr>
                  <w:rStyle w:val="InternetLink"/>
                  <w:rFonts w:ascii="Arial;sans-serif" w:hAnsi="Arial;sans-serif"/>
                  <w:b w:val="false"/>
                  <w:color w:val="0000FF"/>
                  <w:sz w:val="16"/>
                  <w:u w:val="single"/>
                </w:rPr>
                <w:t>2</w:t>
              </w:r>
            </w:hyperlink>
          </w:p>
        </w:tc>
      </w:tr>
      <w:tr>
        <w:trPr/>
        <w:tc>
          <w:tcPr>
            <w:tcW w:w="9488"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292">
              <w:r>
                <w:rPr>
                  <w:rStyle w:val="InternetLink"/>
                  <w:rFonts w:ascii="Arial;sans-serif" w:hAnsi="Arial;sans-serif"/>
                  <w:b w:val="false"/>
                  <w:color w:val="0000FF"/>
                  <w:sz w:val="20"/>
                  <w:u w:val="single"/>
                </w:rPr>
                <w:t>Part I</w:t>
              </w:r>
            </w:hyperlink>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95">
              <w:r>
                <w:rPr>
                  <w:rStyle w:val="InternetLink"/>
                  <w:rFonts w:ascii="Arial;sans-serif" w:hAnsi="Arial;sans-serif"/>
                  <w:b w:val="false"/>
                  <w:color w:val="0000FF"/>
                  <w:sz w:val="20"/>
                  <w:u w:val="single"/>
                </w:rPr>
                <w:t>Availability of SEC Filings and Corporate Governance Information; Cautionary Statements </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95">
              <w:r>
                <w:rPr>
                  <w:rStyle w:val="InternetLink"/>
                  <w:rFonts w:ascii="Arial;sans-serif" w:hAnsi="Arial;sans-serif"/>
                  <w:b w:val="false"/>
                  <w:color w:val="0000FF"/>
                  <w:sz w:val="16"/>
                  <w:u w:val="single"/>
                </w:rPr>
                <w:t>4</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01">
              <w:r>
                <w:rPr>
                  <w:rStyle w:val="InternetLink"/>
                  <w:rFonts w:ascii="Arial;sans-serif" w:hAnsi="Arial;sans-serif"/>
                  <w:b w:val="false"/>
                  <w:color w:val="0000FF"/>
                  <w:sz w:val="20"/>
                  <w:u w:val="single"/>
                </w:rPr>
                <w:t>Business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01">
              <w:r>
                <w:rPr>
                  <w:rStyle w:val="InternetLink"/>
                  <w:rFonts w:ascii="Arial;sans-serif" w:hAnsi="Arial;sans-serif"/>
                  <w:b w:val="false"/>
                  <w:color w:val="0000FF"/>
                  <w:sz w:val="16"/>
                  <w:u w:val="single"/>
                </w:rPr>
                <w:t>8</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31">
              <w:r>
                <w:rPr>
                  <w:rStyle w:val="InternetLink"/>
                  <w:rFonts w:ascii="Arial;sans-serif" w:hAnsi="Arial;sans-serif"/>
                  <w:b w:val="false"/>
                  <w:color w:val="0000FF"/>
                  <w:sz w:val="20"/>
                  <w:u w:val="single"/>
                </w:rPr>
                <w:t>Risk Factors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31">
              <w:r>
                <w:rPr>
                  <w:rStyle w:val="InternetLink"/>
                  <w:rFonts w:ascii="Arial;sans-serif" w:hAnsi="Arial;sans-serif"/>
                  <w:b w:val="false"/>
                  <w:color w:val="0000FF"/>
                  <w:sz w:val="16"/>
                  <w:u w:val="single"/>
                </w:rPr>
                <w:t>22</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34">
              <w:r>
                <w:rPr>
                  <w:rStyle w:val="InternetLink"/>
                  <w:rFonts w:ascii="Arial;sans-serif" w:hAnsi="Arial;sans-serif"/>
                  <w:b w:val="false"/>
                  <w:color w:val="0000FF"/>
                  <w:sz w:val="20"/>
                  <w:u w:val="single"/>
                </w:rPr>
                <w:t>Unresolved Staff Comments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34">
              <w:r>
                <w:rPr>
                  <w:rStyle w:val="InternetLink"/>
                  <w:rFonts w:ascii="Arial;sans-serif" w:hAnsi="Arial;sans-serif"/>
                  <w:b w:val="false"/>
                  <w:color w:val="0000FF"/>
                  <w:sz w:val="16"/>
                  <w:u w:val="single"/>
                </w:rPr>
                <w:t>37</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1C.</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37">
              <w:r>
                <w:rPr>
                  <w:rStyle w:val="InternetLink"/>
                  <w:rFonts w:ascii="Arial;sans-serif" w:hAnsi="Arial;sans-serif"/>
                  <w:b w:val="false"/>
                  <w:color w:val="0000FF"/>
                  <w:sz w:val="20"/>
                  <w:u w:val="single"/>
                </w:rPr>
                <w:t>Cybersecurity</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37">
              <w:r>
                <w:rPr>
                  <w:rStyle w:val="InternetLink"/>
                  <w:rFonts w:ascii="Arial;sans-serif" w:hAnsi="Arial;sans-serif"/>
                  <w:b w:val="false"/>
                  <w:color w:val="0000FF"/>
                  <w:sz w:val="16"/>
                  <w:u w:val="single"/>
                </w:rPr>
                <w:t>37</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0">
              <w:r>
                <w:rPr>
                  <w:rStyle w:val="InternetLink"/>
                  <w:rFonts w:ascii="Arial;sans-serif" w:hAnsi="Arial;sans-serif"/>
                  <w:b w:val="false"/>
                  <w:color w:val="0000FF"/>
                  <w:sz w:val="20"/>
                  <w:u w:val="single"/>
                </w:rPr>
                <w:t>Properties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0">
              <w:r>
                <w:rPr>
                  <w:rStyle w:val="InternetLink"/>
                  <w:rFonts w:ascii="Arial;sans-serif" w:hAnsi="Arial;sans-serif"/>
                  <w:b w:val="false"/>
                  <w:color w:val="0000FF"/>
                  <w:sz w:val="16"/>
                  <w:u w:val="single"/>
                </w:rPr>
                <w:t>38</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 </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3">
              <w:r>
                <w:rPr>
                  <w:rStyle w:val="InternetLink"/>
                  <w:rFonts w:ascii="Arial;sans-serif" w:hAnsi="Arial;sans-serif"/>
                  <w:b w:val="false"/>
                  <w:color w:val="0000FF"/>
                  <w:sz w:val="20"/>
                  <w:u w:val="single"/>
                </w:rPr>
                <w:t>Legal Proceedings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3">
              <w:r>
                <w:rPr>
                  <w:rStyle w:val="InternetLink"/>
                  <w:rFonts w:ascii="Arial;sans-serif" w:hAnsi="Arial;sans-serif"/>
                  <w:b w:val="false"/>
                  <w:color w:val="0000FF"/>
                  <w:sz w:val="16"/>
                  <w:u w:val="single"/>
                </w:rPr>
                <w:t>39</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6">
              <w:r>
                <w:rPr>
                  <w:rStyle w:val="InternetLink"/>
                  <w:rFonts w:ascii="Arial;sans-serif" w:hAnsi="Arial;sans-serif"/>
                  <w:b w:val="false"/>
                  <w:color w:val="0000FF"/>
                  <w:sz w:val="20"/>
                  <w:u w:val="single"/>
                </w:rPr>
                <w:t>Mine Safety Disclosures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6">
              <w:r>
                <w:rPr>
                  <w:rStyle w:val="InternetLink"/>
                  <w:rFonts w:ascii="Arial;sans-serif" w:hAnsi="Arial;sans-serif"/>
                  <w:b w:val="false"/>
                  <w:color w:val="0000FF"/>
                  <w:sz w:val="16"/>
                  <w:u w:val="single"/>
                </w:rPr>
                <w:t>39</w:t>
              </w:r>
            </w:hyperlink>
          </w:p>
        </w:tc>
      </w:tr>
      <w:tr>
        <w:trPr/>
        <w:tc>
          <w:tcPr>
            <w:tcW w:w="9488"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220">
              <w:r>
                <w:rPr>
                  <w:rStyle w:val="InternetLink"/>
                  <w:rFonts w:ascii="Arial;sans-serif" w:hAnsi="Arial;sans-serif"/>
                  <w:b w:val="false"/>
                  <w:color w:val="0000FF"/>
                  <w:sz w:val="20"/>
                  <w:u w:val="single"/>
                </w:rPr>
                <w:t>Part II</w:t>
              </w:r>
            </w:hyperlink>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23">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23">
              <w:r>
                <w:rPr>
                  <w:rStyle w:val="InternetLink"/>
                  <w:rFonts w:ascii="Arial;sans-serif" w:hAnsi="Arial;sans-serif"/>
                  <w:b w:val="false"/>
                  <w:color w:val="0000FF"/>
                  <w:sz w:val="16"/>
                  <w:u w:val="single"/>
                </w:rPr>
                <w:t>40</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hyperlink w:anchor="icd3c643dc0b84294b83d26bde1788a30_226">
              <w:r>
                <w:rPr>
                  <w:rStyle w:val="InternetLink"/>
                  <w:rFonts w:ascii="Arial;sans-serif" w:hAnsi="Arial;sans-serif"/>
                  <w:b w:val="false"/>
                  <w:color w:val="0000FF"/>
                  <w:sz w:val="20"/>
                  <w:u w:val="single"/>
                </w:rPr>
                <w:t>Reserved</w:t>
              </w:r>
            </w:hyperlink>
            <w:r>
              <w:rPr>
                <w:rFonts w:ascii="Arial;sans-serif" w:hAnsi="Arial;sans-serif"/>
                <w:b w:val="false"/>
                <w:color w:val="000000"/>
                <w:sz w:val="20"/>
              </w:rPr>
              <w: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26">
              <w:r>
                <w:rPr>
                  <w:rStyle w:val="InternetLink"/>
                  <w:rFonts w:ascii="Arial;sans-serif" w:hAnsi="Arial;sans-serif"/>
                  <w:b w:val="false"/>
                  <w:color w:val="0000FF"/>
                  <w:sz w:val="16"/>
                  <w:u w:val="single"/>
                </w:rPr>
                <w:t>42</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29">
              <w:r>
                <w:rPr>
                  <w:rStyle w:val="InternetLink"/>
                  <w:rFonts w:ascii="Arial;sans-serif" w:hAnsi="Arial;sans-serif"/>
                  <w:b w:val="false"/>
                  <w:color w:val="0000FF"/>
                  <w:sz w:val="20"/>
                  <w:u w:val="single"/>
                </w:rPr>
                <w:t>Management’s Discussion and Analysis of Financial Condition and Results of Operations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29">
              <w:r>
                <w:rPr>
                  <w:rStyle w:val="InternetLink"/>
                  <w:rFonts w:ascii="Arial;sans-serif" w:hAnsi="Arial;sans-serif"/>
                  <w:b w:val="false"/>
                  <w:color w:val="0000FF"/>
                  <w:sz w:val="16"/>
                  <w:u w:val="single"/>
                </w:rPr>
                <w:t>42</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32">
              <w:r>
                <w:rPr>
                  <w:rStyle w:val="InternetLink"/>
                  <w:rFonts w:ascii="Arial;sans-serif" w:hAnsi="Arial;sans-serif"/>
                  <w:b w:val="false"/>
                  <w:color w:val="0000FF"/>
                  <w:sz w:val="20"/>
                  <w:u w:val="single"/>
                </w:rPr>
                <w:t>Quantitative and Qualitative Disclosures About Market Risk</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32">
              <w:r>
                <w:rPr>
                  <w:rStyle w:val="InternetLink"/>
                  <w:rFonts w:ascii="Arial;sans-serif" w:hAnsi="Arial;sans-serif"/>
                  <w:b w:val="false"/>
                  <w:color w:val="0000FF"/>
                  <w:sz w:val="16"/>
                  <w:u w:val="single"/>
                </w:rPr>
                <w:t>42</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35">
              <w:r>
                <w:rPr>
                  <w:rStyle w:val="InternetLink"/>
                  <w:rFonts w:ascii="Arial;sans-serif" w:hAnsi="Arial;sans-serif"/>
                  <w:b w:val="false"/>
                  <w:color w:val="0000FF"/>
                  <w:sz w:val="20"/>
                  <w:u w:val="single"/>
                </w:rPr>
                <w:t>Financial Statements and Supplementary Data</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35">
              <w:r>
                <w:rPr>
                  <w:rStyle w:val="InternetLink"/>
                  <w:rFonts w:ascii="Arial;sans-serif" w:hAnsi="Arial;sans-serif"/>
                  <w:b w:val="false"/>
                  <w:color w:val="0000FF"/>
                  <w:sz w:val="16"/>
                  <w:u w:val="single"/>
                </w:rPr>
                <w:t>43</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38">
              <w:r>
                <w:rPr>
                  <w:rStyle w:val="InternetLink"/>
                  <w:rFonts w:ascii="Arial;sans-serif" w:hAnsi="Arial;sans-serif"/>
                  <w:b w:val="false"/>
                  <w:color w:val="0000FF"/>
                  <w:sz w:val="20"/>
                  <w:u w:val="single"/>
                </w:rPr>
                <w:t>Changes in and Disagreements with Accountants on Accounting and Financial Disclosure</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38">
              <w:r>
                <w:rPr>
                  <w:rStyle w:val="InternetLink"/>
                  <w:rFonts w:ascii="Arial;sans-serif" w:hAnsi="Arial;sans-serif"/>
                  <w:b w:val="false"/>
                  <w:color w:val="0000FF"/>
                  <w:sz w:val="16"/>
                  <w:u w:val="single"/>
                </w:rPr>
                <w:t>43</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41">
              <w:r>
                <w:rPr>
                  <w:rStyle w:val="InternetLink"/>
                  <w:rFonts w:ascii="Arial;sans-serif" w:hAnsi="Arial;sans-serif"/>
                  <w:b w:val="false"/>
                  <w:color w:val="0000FF"/>
                  <w:sz w:val="20"/>
                  <w:u w:val="single"/>
                </w:rPr>
                <w:t>Controls and Procedures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41">
              <w:r>
                <w:rPr>
                  <w:rStyle w:val="InternetLink"/>
                  <w:rFonts w:ascii="Arial;sans-serif" w:hAnsi="Arial;sans-serif"/>
                  <w:b w:val="false"/>
                  <w:color w:val="0000FF"/>
                  <w:sz w:val="16"/>
                  <w:u w:val="single"/>
                </w:rPr>
                <w:t>43</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44">
              <w:r>
                <w:rPr>
                  <w:rStyle w:val="InternetLink"/>
                  <w:rFonts w:ascii="Arial;sans-serif" w:hAnsi="Arial;sans-serif"/>
                  <w:b w:val="false"/>
                  <w:color w:val="0000FF"/>
                  <w:sz w:val="20"/>
                  <w:u w:val="single"/>
                </w:rPr>
                <w:t>Other Information</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44">
              <w:r>
                <w:rPr>
                  <w:rStyle w:val="InternetLink"/>
                  <w:rFonts w:ascii="Arial;sans-serif" w:hAnsi="Arial;sans-serif"/>
                  <w:b w:val="false"/>
                  <w:color w:val="0000FF"/>
                  <w:sz w:val="16"/>
                  <w:u w:val="single"/>
                </w:rPr>
                <w:t>44</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9C. </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50">
              <w:r>
                <w:rPr>
                  <w:rStyle w:val="InternetLink"/>
                  <w:rFonts w:ascii="Arial;sans-serif" w:hAnsi="Arial;sans-serif"/>
                  <w:b w:val="false"/>
                  <w:color w:val="0000FF"/>
                  <w:sz w:val="20"/>
                  <w:u w:val="single"/>
                </w:rPr>
                <w:t>Disclosure Regarding Foreign Jurisdictions that Prevent Inspections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50">
              <w:r>
                <w:rPr>
                  <w:rStyle w:val="InternetLink"/>
                  <w:rFonts w:ascii="Arial;sans-serif" w:hAnsi="Arial;sans-serif"/>
                  <w:b w:val="false"/>
                  <w:color w:val="0000FF"/>
                  <w:sz w:val="16"/>
                  <w:u w:val="single"/>
                </w:rPr>
                <w:t>44</w:t>
              </w:r>
            </w:hyperlink>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253">
              <w:r>
                <w:rPr>
                  <w:rStyle w:val="InternetLink"/>
                  <w:rFonts w:ascii="Arial;sans-serif" w:hAnsi="Arial;sans-serif"/>
                  <w:b w:val="false"/>
                  <w:color w:val="0000FF"/>
                  <w:sz w:val="20"/>
                  <w:u w:val="single"/>
                </w:rPr>
                <w:t>Part III</w:t>
              </w:r>
            </w:hyperlink>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56">
              <w:r>
                <w:rPr>
                  <w:rStyle w:val="InternetLink"/>
                  <w:rFonts w:ascii="Arial;sans-serif" w:hAnsi="Arial;sans-serif"/>
                  <w:b w:val="false"/>
                  <w:color w:val="0000FF"/>
                  <w:sz w:val="20"/>
                  <w:u w:val="single"/>
                </w:rPr>
                <w:t>Directors, Executive Officers and Corporate Governance</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56">
              <w:r>
                <w:rPr>
                  <w:rStyle w:val="InternetLink"/>
                  <w:rFonts w:ascii="Arial;sans-serif" w:hAnsi="Arial;sans-serif"/>
                  <w:b w:val="false"/>
                  <w:color w:val="0000FF"/>
                  <w:sz w:val="16"/>
                  <w:u w:val="single"/>
                </w:rPr>
                <w:t>45</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59">
              <w:r>
                <w:rPr>
                  <w:rStyle w:val="InternetLink"/>
                  <w:rFonts w:ascii="Arial;sans-serif" w:hAnsi="Arial;sans-serif"/>
                  <w:b w:val="false"/>
                  <w:color w:val="0000FF"/>
                  <w:sz w:val="20"/>
                  <w:u w:val="single"/>
                </w:rPr>
                <w:t>Executive Compensation</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59">
              <w:r>
                <w:rPr>
                  <w:rStyle w:val="InternetLink"/>
                  <w:rFonts w:ascii="Arial;sans-serif" w:hAnsi="Arial;sans-serif"/>
                  <w:b w:val="false"/>
                  <w:color w:val="0000FF"/>
                  <w:sz w:val="16"/>
                  <w:u w:val="single"/>
                </w:rPr>
                <w:t>45</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62">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62">
              <w:r>
                <w:rPr>
                  <w:rStyle w:val="InternetLink"/>
                  <w:rFonts w:ascii="Arial;sans-serif" w:hAnsi="Arial;sans-serif"/>
                  <w:b w:val="false"/>
                  <w:color w:val="0000FF"/>
                  <w:sz w:val="16"/>
                  <w:u w:val="single"/>
                </w:rPr>
                <w:t>46</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65">
              <w:r>
                <w:rPr>
                  <w:rStyle w:val="InternetLink"/>
                  <w:rFonts w:ascii="Arial;sans-serif" w:hAnsi="Arial;sans-serif"/>
                  <w:b w:val="false"/>
                  <w:color w:val="0000FF"/>
                  <w:sz w:val="20"/>
                  <w:u w:val="single"/>
                </w:rPr>
                <w:t>Certain Relationships and Related Transactions, and Director Independence</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65">
              <w:r>
                <w:rPr>
                  <w:rStyle w:val="InternetLink"/>
                  <w:rFonts w:ascii="Arial;sans-serif" w:hAnsi="Arial;sans-serif"/>
                  <w:b w:val="false"/>
                  <w:color w:val="0000FF"/>
                  <w:sz w:val="16"/>
                  <w:u w:val="single"/>
                </w:rPr>
                <w:t>47</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68">
              <w:r>
                <w:rPr>
                  <w:rStyle w:val="InternetLink"/>
                  <w:rFonts w:ascii="Arial;sans-serif" w:hAnsi="Arial;sans-serif"/>
                  <w:b w:val="false"/>
                  <w:color w:val="0000FF"/>
                  <w:sz w:val="20"/>
                  <w:u w:val="single"/>
                </w:rPr>
                <w:t>Principal Accountant Fees and Services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68">
              <w:r>
                <w:rPr>
                  <w:rStyle w:val="InternetLink"/>
                  <w:rFonts w:ascii="Arial;sans-serif" w:hAnsi="Arial;sans-serif"/>
                  <w:b w:val="false"/>
                  <w:color w:val="0000FF"/>
                  <w:sz w:val="16"/>
                  <w:u w:val="single"/>
                </w:rPr>
                <w:t>47</w:t>
              </w:r>
            </w:hyperlink>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271">
              <w:r>
                <w:rPr>
                  <w:rStyle w:val="InternetLink"/>
                  <w:rFonts w:ascii="Arial;sans-serif" w:hAnsi="Arial;sans-serif"/>
                  <w:b w:val="false"/>
                  <w:color w:val="0000FF"/>
                  <w:sz w:val="20"/>
                  <w:u w:val="single"/>
                </w:rPr>
                <w:t>Part IV</w:t>
              </w:r>
            </w:hyperlink>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80">
              <w:r>
                <w:rPr>
                  <w:rStyle w:val="InternetLink"/>
                  <w:rFonts w:ascii="Arial;sans-serif" w:hAnsi="Arial;sans-serif"/>
                  <w:b w:val="false"/>
                  <w:color w:val="0000FF"/>
                  <w:sz w:val="20"/>
                  <w:u w:val="single"/>
                </w:rPr>
                <w:t>Exhibits and Financial Statement Schedules</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80">
              <w:r>
                <w:rPr>
                  <w:rStyle w:val="InternetLink"/>
                  <w:rFonts w:ascii="Arial;sans-serif" w:hAnsi="Arial;sans-serif"/>
                  <w:b w:val="false"/>
                  <w:color w:val="0000FF"/>
                  <w:sz w:val="16"/>
                  <w:u w:val="single"/>
                </w:rPr>
                <w:t>48</w:t>
              </w:r>
            </w:hyperlink>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74">
              <w:r>
                <w:rPr>
                  <w:rStyle w:val="InternetLink"/>
                  <w:rFonts w:ascii="Arial;sans-serif" w:hAnsi="Arial;sans-serif"/>
                  <w:b w:val="false"/>
                  <w:color w:val="0000FF"/>
                  <w:sz w:val="20"/>
                  <w:u w:val="single"/>
                </w:rPr>
                <w:t>Form 10-K Summary</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74">
              <w:r>
                <w:rPr>
                  <w:rStyle w:val="InternetLink"/>
                  <w:rFonts w:ascii="Arial;sans-serif" w:hAnsi="Arial;sans-serif"/>
                  <w:b w:val="false"/>
                  <w:color w:val="0000FF"/>
                  <w:sz w:val="16"/>
                  <w:u w:val="single"/>
                </w:rPr>
                <w:t>51</w:t>
              </w:r>
            </w:hyperlink>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77">
              <w:r>
                <w:rPr>
                  <w:rStyle w:val="InternetLink"/>
                  <w:rFonts w:ascii="Arial;sans-serif" w:hAnsi="Arial;sans-serif"/>
                  <w:b w:val="false"/>
                  <w:color w:val="0000FF"/>
                  <w:sz w:val="20"/>
                  <w:u w:val="single"/>
                </w:rPr>
                <w:t>Signatures </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77">
              <w:r>
                <w:rPr>
                  <w:rStyle w:val="InternetLink"/>
                  <w:rFonts w:ascii="Arial;sans-serif" w:hAnsi="Arial;sans-serif"/>
                  <w:b w:val="false"/>
                  <w:color w:val="0000FF"/>
                  <w:sz w:val="16"/>
                  <w:u w:val="single"/>
                </w:rPr>
                <w:t>52</w:t>
              </w:r>
            </w:hyperlink>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83">
              <w:r>
                <w:rPr>
                  <w:rStyle w:val="InternetLink"/>
                  <w:rFonts w:ascii="Arial;sans-serif" w:hAnsi="Arial;sans-serif"/>
                  <w:b w:val="false"/>
                  <w:color w:val="0000FF"/>
                  <w:sz w:val="20"/>
                  <w:u w:val="single"/>
                </w:rPr>
                <w:t>Index to Financial Supplement to Annual Report</w:t>
              </w:r>
            </w:hyperlink>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83">
              <w:r>
                <w:rPr>
                  <w:rStyle w:val="InternetLink"/>
                  <w:rFonts w:ascii="Arial;sans-serif" w:hAnsi="Arial;sans-serif"/>
                  <w:b w:val="false"/>
                  <w:color w:val="000080"/>
                  <w:sz w:val="16"/>
                  <w:u w:val="single"/>
                </w:rPr>
                <w:t>F-</w:t>
              </w:r>
            </w:hyperlink>
            <w:hyperlink w:anchor="icd3c643dc0b84294b83d26bde1788a30_283">
              <w:r>
                <w:rPr>
                  <w:rStyle w:val="InternetLink"/>
                  <w:rFonts w:ascii="Arial;sans-serif" w:hAnsi="Arial;sans-serif"/>
                  <w:b w:val="false"/>
                  <w:color w:val="000080"/>
                  <w:sz w:val="16"/>
                  <w:u w:val="single"/>
                </w:rPr>
                <w:t>1</w:t>
              </w:r>
            </w:hyperlink>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AVAILABILITY OF SEC FILINGS AND CORPORATE GOVERNANCE INFORMATION</w:t>
      </w:r>
    </w:p>
    <w:p>
      <w:pPr>
        <w:pStyle w:val="TextBody"/>
        <w:bidi w:val="0"/>
        <w:spacing w:lineRule="auto" w:line="288" w:before="0" w:after="0"/>
        <w:jc w:val="center"/>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Our website address is www.liveramp.com, where copies of documents that we have filed with the Securities and Exchange Commission (“SEC”) may be obtained free of charge as soon as reasonably practicable after being filed electronically. Included among those documents are our Annual Reports on Form 10-K, Quarterly Reports on Form 10-Q, Current Reports on Form 8-K, and amendments to those reports filed or furnished pursuant to Section 13(a) or 15(d) of the Securities Exchange Act of 1934, as amended (“Exchange Act”). Copies may also be obtained through the SEC’s EDGAR site at the website address http://www.sec.gov, or by sending a written request for copies to LiveRamp Investor Relations, 225 Bush Street, Seventeenth Floor, San Francisco, California 94104. Copies of all our SEC filings were available on our website during the past fiscal year covered by this Annual Report on Form 10-K. In addition, at the “Corporate Governance” section included in the investor relations section of our website, we have posted copies of our Corporate Governance Principles, the charters for the Audit/Finance, Talent and Compensation, Executive, and Governance/Nominating Committees of the Board of Directors, the codes of ethics</w:t>
      </w:r>
      <w:r>
        <w:rPr>
          <w:color w:val="000000"/>
        </w:rPr>
        <w:t> </w:t>
      </w:r>
      <w:r>
        <w:rPr>
          <w:rFonts w:ascii="Arial;sans-serif" w:hAnsi="Arial;sans-serif"/>
          <w:b w:val="false"/>
          <w:color w:val="000000"/>
          <w:sz w:val="20"/>
        </w:rPr>
        <w:t>applicable to directors, financial personnel and all employees, and other information relating to the governance of the Company. Although referenced herein, information contained on or connected to our corporate website is not incorporated by reference into this Annual Report on Form 10-K and should not be considered part of this report or any other filing we make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CAUTIONARY STATEMENTS RELEVANT TO FORWARD-LOOKING INFORMATION</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Annual Report on Form 10-K,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Forward-looking statements may include but are not limited to the following:</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management's expectations regarding the timing and consummation of the Merger (as defined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management’s expectations about the macro economy and trends within the consumer or business information industries, including the use of data and consumer expectations related thereto;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statements regarding our competitive position within our industry and our differentiation strategies;</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management's expectations regarding new and existing products, technologies and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laws, regulations and industry practices governing the collection and use of personal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potential impact of public health crises, similar to the COVID-19 pandemic, on our business, operations, and the markets in which we and our partners and customers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expectations regarding the impact of tax-related legislation on our tax position;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estimates, assumptions, projections and/or expectations regarding the Company's annualized future cost savings and expenses associated with our global workforce strategy and recent workforce restructuring;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regarding our liquidity needs or containing a projection of revenues, operating income (loss), income (loss), earnings (loss) per share, capital expenditures, research and development spending, dividends, capital structure, or other financial items;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of the plans and objectives of management for future operations, including, but not limited to, management's confidence in and strategies for performance of the combined businesses following the Merger and those statements contained under the heading “Growth Strategy” in Part I, Item 1 of this Annual Report on Form 10-K;</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of future performance, including, but not limited to, expectations regarding growth, sales, cash flows, and earnings and those statements contained in Management’s Discussion and Analysis of Financial Condition and Results of Operations contained in this Annual Report on Form 10-K;</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regarding future stock-based compensation expense;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containing any assumptions underlying or relating to any of the above statements;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statements containing a projection or estimate.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Among the factors that may cause actual results and expectations to differ from anticipated results and expectations expressed in such forward-looking statements are the following:</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factors described in Part I, “Item 1A. Risk Factors” and elsewhere in this report and those described from time to time in our future reports filed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the closing conditions in the Merger Agreement (as defined below) fail to be satisfied, or the closing the Merger is delayed or any event, change, or other circumstance occurs that could give rise to the right of one or multiple of the parties to terminate the Merger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Merger does not close when expected or at all because required regulatory, shareholder, or other approvals are not received or satisfied on a timely basis or at all;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Merger may be more expensive to complete than anticipated, including as a result of unexpected factors or events, including those resulting from the announcement, pendency or completion of the Merger;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Merger may disrupt our prior plans and operations, may lead to a disruption of management’s time and attention from ongoing business or may lead to unexpected costs, charges or expenses;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due to the Merger, certain customers may attempt to invoke provisions in their contracts allowing for termination upon a change in control, which may result in a decline in revenue and profit;</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certain restrictions as set forth in the Merger Agreement may impact our ability to pursue certain business opportunities or strategic transactions prior to the closing of the Merger;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directors and executive officers may have interests in the Merger that may be different from, or in addition to, the interests of our other stockholders;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if the Merger is completed, our stockholders will forgo the opportunity to benefit from potential future appreciation in the value of the Company;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 fair value of certain of our assets may not be equal to the carrying value of those assets now or in future time periods;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sales cycles may lengthen, including as a result of the Merger;</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will not be able to properly motivate our sales force or other employees, including as a result of the Merger;</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not be able to attract and retain qualified technical and leadership employees, or that we may lose key employees to other organizations, including as a result of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our global workforce strategy could encounter difficulty and not be as beneficial as planned;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we may not be able to sublease our exited office spaces on favorable terms and rates;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competent, competitive products, technologies or services will be introduced into the marketplace by other companies;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possibility that we will fail to keep up with rapidly changing technology practices in our products and services or that expected benefits from utilization of technological innovations, including artificial intelligence, may not be realized as soon as expected or at all;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there will be changes in consumer or business information industries and markets that negatively impact the Company;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will not be able to protect proprietary information and technology or to obtain necessary licenses on commercially reasonable terms;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data suppliers might withdraw data from us, leading to our inability to provide certain products and services, in particular that there might be restrictive legislation in the U.S. and other countries that restrict the availability of data;</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data purchasers will reduce their reliance on us by developing and using their own, or alternative, sources of data generally or with respect to certain data elements or categories;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enter into short-term contracts that would affect the predictability of our revenues;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the amount of volume-based and other transactional-based work will not be as expected;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experience a loss of data center capacity or capability or interruption of telecommunication links or power sources;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may experience failures or breaches of our network and data security systems, leading to potential adverse publicity, negative customer reaction, or liability to third parties;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our customers may cancel or modify their agreements with us (including as a result of the Merger), or may not make timely or complete payments;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will not successfully meet customer contract requirements or the service levels specified in the contracts, which may result in contract penalties or lost revenue;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we experience processing errors that result in credits to customers, re-performance of services or payment of damages to customers;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general and global negative conditions, risk related to tariffs and other trade restrictions, risk of recession, the military conflicts in Europe and the Middle East, capital markets volatility, bank failures, government shutdowns, cost increases and general inflationary pressure and other related causes;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tax rate and other effects of changes to U.S. federal tax law.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light of these risks, uncertainties and assumptions, the Company cautions readers not to place undue reliance on any forward-looking statements. Forward-looking statements and such risks, uncertainties and assumptions speak only as of the date of this Annual Report on Form 10-K,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  Business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Pending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16, 2026, the Company entered into an Agreement and Plan of Merger (the “Merger Agreement”) with MMS USA Holdings, Inc., a Delaware corporation (“Parent”) and a wholly owned subsidiary of Publicis (defined below), Covey Merger Sub, Inc., a Delaware corporation and a wholly owned subsidiary of Parent ("Merger Sub"), and, solely for the purpose of Section 10.14 thereto, Publicis Groupe S.A., a French société anonyme ("Publicis"), pursuant to which, among other things, at the effective time of the Merger (the "Effective Time"), Merger Sub will merge with and into the Company (the “Merger”), with the Company continuing as the surviving corporation and a direct wholly owned subsidiary of Parent.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the terms and subject to the conditions set forth in the Merger Agreement, at the Effective Time, each share of common stock, par value $0.10 per share, of the Company (“Company Common Stock”) issued and outstanding immediately prior to the Effective Time (other than any (i) Company Common Stock owned by stockholders that have properly perfected their rights of appraisal within the meaning of Section 262 of the Delaware General Corporation Law; (ii) Company Common Stock owned by the Company, Parent or Merger Sub; or (iii) Company Common Stock owned by any direct or indirect wholly owned subsidiary of Parent (other than Merger Sub) or of the Company) will be converted into the right to receive $38.50 in cash, without interest. The Merger is expected to close by the end of calendar year 2026, subject to customary closing conditions, including approval by the Company’s stockholders and the receipt of required regulatory approvals.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Merger is consummated, the Company Common Stock will be delisted from the New York Stock Exchange and deregistered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information about the Merger Agreement and the Merger will be set forth in the Company’s Definitive Proxy Statement on Schedule 14A that will be filed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Industry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experiencing a convergence of several key industry trends that are shaping the future of how data is used to power marketing and the customer experience. Some of these key industry trends include: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Using Data to Optimize the Customer Experience in the AI Era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AI transforms how consumers discover and purchase products, marketers increasingly realize that true competitive advantage lies in providing meaningful customer experiences that are personalized, relevant and cohesive across all marketing channels and customer interactions. These experiences are the key to brand differentiation and customer retention. Companies are also increasingly realizing that best-in-class customer experiences require enhanced insights that can only be achieved through a structured data collaboration effort that combines first-, second-, and third-party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the same time, consumers expect personalization from brands and new AI tools that make it possible for every consumer interaction to be individually relevant, addressable, and measurable.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Data is at the center of exceptional customer experiences but is still vastly underutilized. Organizations must capture, organize, analyze, and most importantly use customer data to power the customer experience. While AI is increasingly being used across marketing workflows to deliver better customer experiences, data remains the key determinant of success. By understanding which devices, email addresses, and postal addresses relate to the same individual, enterprise marketers can leverage that insight to deliver seamless experiences as consumers engage with a company across all touchpoints. Additionally, reaching consumers at the individual level helps organizations reduce marketing waste and more easily attribute their marketing spend to actual sales transactions. Enterprise marketers recognize the huge opportunity big data brings, yet many admit they are not using their data effectively to drive their customer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Growing Data Usage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Advances in technology, including AI and machine learning, and the consumer's widespread use of Internet connected devices and applications have made it possible to collect and rapidly process massive amounts of customer data. Data vendors and direct-to-consumer platforms are able to collect user information across a wide range of offline and online properties and platforms, and to aggregate and combine it with other data sources. With proper permissions, this data can be integrated with a company's own proprietary data and can be made non-identifiable if the use case requires it. Through the use of data, marketers and publishers can better enhance the customer experience and increase their customer lifetime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Growing Data Collaboration to Enable Commerce Media</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advertising market is being transformed by commerce media, a new form of advertising that closes the loop between media impressions and sales transactions. Commerce media provides brand advertisers with enhanced audience insights that drive more effective and efficient advertising and provides consumers with a more relevant experience. The foundation for commerce media is data collaboration where companies share first-party consumer data with trusted business partners in a manner that is secure and adheres to privacy regulations. Retail media was the first to scale, spurred by e-commerce, but other sectors are embracing the commerce media opportunity, including travel and hospitality, telecommunications, finance, automotive and healthcare</w:t>
      </w: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other examples of data collaboration use cases, such as enterprise companies connecting consumer data across internal functional groups or properties, cross-screen media measurement and analysis, and business partners sharing data that can be used to train proprietary AI models.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Growing Complexity of the Customer Journey in the AI Era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customer experience economy has evolved significantly in recent years, driven by rapid innovation and an explosion of data, marketing channels, devices, and applications. AI is the latest innovation and is changing where and how customers discover and purchase products. Consumers are increasingly using generative AI assistants and agents, with conversational prompts, to navigate the Internet and guide their online shopping journeys. Historically, brands interacted with consumers through a limited number of marketing channels, with limited visibility into the activities taking place. Today, companies interact with consumers across a growing number of touchpoints, including social, mobile, CTV, point-of-sale, and AI surfaces. The billions of interactions that take place each day between brands and consumers create a trove of valuable data that can be harnessed to power better customer interactions and experiences. However, most enterprise marketers remain unable to navigate through the complexity to effectively leverage this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innovation has fueled the growth of a highly fragmented technology landscape, forcing companies to contend with thousands of marketing technologies and data silos. To make every customer experience relevant across channels and devices, organizations need a trusted platform that can break down those silos, make data portable, and accurately recognize individuals throughout the customer journey. Marketing is becoming more audience-centric, automated, and optimized. However, several important factors still prevent data from being used effectively to optimize the customer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Identity.</w:t>
      </w:r>
      <w:r>
        <w:rPr>
          <w:color w:val="000000"/>
        </w:rPr>
        <w:t xml:space="preserve"> </w:t>
      </w:r>
      <w:r>
        <w:rPr>
          <w:rFonts w:ascii="Arial;sans-serif" w:hAnsi="Arial;sans-serif"/>
          <w:b w:val="false"/>
          <w:color w:val="000000"/>
          <w:sz w:val="20"/>
        </w:rPr>
        <w:t>For organizations to target audiences at the individual level, they must be able to recognize consumers across all channels and devices, and link multiple identifiers and data elements to create a single view of the customer. The evolving regulations around consumer data privacy highlight the importance of authenticated, first-party identity.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Scaled Data Assets.</w:t>
      </w:r>
      <w:r>
        <w:rPr>
          <w:color w:val="000000"/>
        </w:rPr>
        <w:t xml:space="preserve"> </w:t>
      </w:r>
      <w:r>
        <w:rPr>
          <w:rFonts w:ascii="Arial;sans-serif" w:hAnsi="Arial;sans-serif"/>
          <w:b w:val="false"/>
          <w:color w:val="000000"/>
          <w:sz w:val="20"/>
        </w:rPr>
        <w:t>Quality, depth, and</w:t>
      </w:r>
      <w:r>
        <w:rPr>
          <w:color w:val="000000"/>
        </w:rPr>
        <w:t xml:space="preserve"> </w:t>
      </w:r>
      <w:r>
        <w:rPr>
          <w:rFonts w:ascii="Arial;sans-serif" w:hAnsi="Arial;sans-serif"/>
          <w:b w:val="false"/>
          <w:color w:val="000000"/>
          <w:sz w:val="20"/>
        </w:rPr>
        <w:t>recency of data matter when deriving linkages between identifiers. Organizations must have access to an extensive set of data and be able to match that data with a high degree of accuracy to perform true cross-device audience addressability and measurement.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Connectivity.</w:t>
      </w:r>
      <w:r>
        <w:rPr>
          <w:color w:val="000000"/>
        </w:rPr>
        <w:t xml:space="preserve"> </w:t>
      </w:r>
      <w:r>
        <w:rPr>
          <w:rFonts w:ascii="Arial;sans-serif" w:hAnsi="Arial;sans-serif"/>
          <w:b w:val="false"/>
          <w:color w:val="000000"/>
          <w:sz w:val="20"/>
        </w:rPr>
        <w:t>The fragmented marketing landscape creates a need for a common network of integrations that make it easy and safe to connect and activate data anywhere in the ecosystem.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Data Control</w:t>
      </w:r>
      <w:r>
        <w:rPr>
          <w:rFonts w:ascii="Arial;sans-serif" w:hAnsi="Arial;sans-serif"/>
          <w:b w:val="false"/>
          <w:color w:val="000000"/>
          <w:sz w:val="20"/>
        </w:rPr>
        <w:t xml:space="preserve">. Organizations are increasingly looking to collaborate with their most important partners but do not want to give up control of their data or, in certain cases, do not want their data to leave their environment.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Walled Gardens.</w:t>
      </w:r>
      <w:r>
        <w:rPr>
          <w:color w:val="000000"/>
        </w:rPr>
        <w:t xml:space="preserve"> </w:t>
      </w:r>
      <w:r>
        <w:rPr>
          <w:rFonts w:ascii="Arial;sans-serif" w:hAnsi="Arial;sans-serif"/>
          <w:b w:val="false"/>
          <w:color w:val="000000"/>
          <w:sz w:val="20"/>
        </w:rPr>
        <w:t>Walled gardens, or marketing platforms that strictly control the use of data outside of their walls, are becoming more pervasive and can result in diminished control and transparency for brand advertisers. For consumers, it can result in a disjointed user experience. Organizations need a solution that enables an open ecosystem and ensures complete control over customer data, along with the flexibility to choose a diversified approach to meeting marketing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Data Governance.</w:t>
      </w:r>
      <w:r>
        <w:rPr>
          <w:color w:val="000000"/>
        </w:rPr>
        <w:t xml:space="preserve"> </w:t>
      </w:r>
      <w:r>
        <w:rPr>
          <w:rFonts w:ascii="Arial;sans-serif" w:hAnsi="Arial;sans-serif"/>
          <w:b w:val="false"/>
          <w:color w:val="000000"/>
          <w:sz w:val="20"/>
        </w:rPr>
        <w:t>Preserving brand integrity while delivering positive customer experiences is a top priority for every company. Organizations must be able to manage large sets of complex data ethically, securely, within legal boundaries, and in a way that protects consumers from harm. Importantly, they must also honor consumer preferences and put procedures in place that enable individuals to control how, when and for what reasons companies collect and use information about them.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Increasing Fragmentation of Consumer Identity</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Today, customer journeys span multiple channels and devices over time, resulting in data silos and fragmented identities. As consumers engage with brands across various touchpoints – over the web, mobile devices and applications, by email and television, and in physical stores – they may not be represented as single unique individuals with complex behaviors, appearing instead as disparate data points with dozens of different identifiers. Becky Smith who lives at 123 Main Street may appear as beckys@acme.com when she uses Facebook, becky@yahoo.com when she signs into Yahoo Finance, becky.smith@gmail.com when she conducts a Google search, cookie ABC when she browses cnn.com, device ID 234 on Hulu and so on. As a result, enterprise marketers struggle to understand, at scale, the cross-channel, cross-device habits of consumers and the different steps they take on their path to conversion. More specifically, data silos and fragmented identities prevent companies from being able to resolve all relevant data to a specific individual, which poses a challenge to the formation of accurate, actionable insights about a brand’s consumers or campaigns.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AI is Transforming Marketing Workflows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AI is changing how brands execute marketing and advertising campaigns. AI agents are being deployed by both advertising buyers and sellers to automate manual and fragmented workflows that support marketing activities. AI agents can autonomously orchestrate and execute multi-step tasks across multiple applications and functions. For example, conversational AI agents allow marketers to use natural language prompts to quickly generate target audiences, activate a campaign, and measure the results. A process that previously could take multiple hours, or days, can now be completed within minutes. Agentic workflows simplify and accelerate marketing throughput, resulting in significant operational efficiencies. The effectiveness of these automated AI workflows is contingent on the timely access to pertinent and accurate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Marketing Waste from Inaccurate Consumer Identification </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Every day, brands spend billions of dollars on advertising and marketing, yet many of the messages they deliver are irrelevant, repetitive, mistimed, or simply reach the wrong audience. In addition, as the marketing landscape continues to grow and splinter across a growing array of online and offline channels, it is increasingly difficult to attribute marketing spend to a measurable outcome, such as an in-store visit or purchase. Wasted marketing spend is largely driven by the fragmented ecosystem of brands, data providers, marketing applications, media providers, and agencies that are involved in the marketing process, but operate without cohesion. Without a common understanding of consumer identity to unify otherwise siloed data, brands are unable to define accurate audience segments and derive insights that would enable better decision making.</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Heightened Privacy and Security Concerns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Consumer privacy and security require ongoing diligence, especially with regulations such as the European General Data Protection Regulation ("GDPR") and the California Consumer Privacy Act ("CCPA"). The world, and the United States in particular, is experiencing rapid growth in data privacy laws, with a majority of the population of the United States now covered by state data collection and use privacy laws. Consumers' understanding of the benefits of marketing technology often lags the pace of innovation, giving rise to new demands from regulators and consumer advocacy groups across the world. These factors challenge the liability every company faces when processing consumer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Our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Leveraging our groundbreaking leadership in foundational identity and connectivity, we help our marketing and media owner customers deliver and measure marketing performance by unlocking siloed and fragmented consumer data and enabling responsible data collaboration.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middleware for the customer experience economy. LiveRamp provides the trusted collaboration platform that sits in between customer data and the thousands of applications powered by data. We make data consistent, consumable and portable. We ensure the seamless connection of data to and from the customer experience applications our clients use and the partners with which they collaborate. We empower businesses to make data more accessible and create richer, more meaningful experiences for their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/LiveRamp Data Collaboration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depicted in the graphic below, we power a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 Our platform is configured to be interoperable with the AI models, applications and agents that our customers and partners are deploying to derive marketing outcomes more effectively and efficiently.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/LiveRamp Data Collaboration Platform provides customers with four core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Live/Identity</w:t>
      </w:r>
      <w:r>
        <w:rPr>
          <w:rFonts w:ascii="Arial;sans-serif" w:hAnsi="Arial;sans-serif"/>
          <w:b w:val="false"/>
          <w:color w:val="000000"/>
          <w:sz w:val="20"/>
        </w:rPr>
        <w:t>. We provide enterprise identity infrastructure that resolves disparate consumer identities across different internal and external systems to create an accurate, connected view of the customer. Our approach to identity is built from two complementary graphs, combining offline data and online data and providing accuracy with a focus on privacy. LiveRamp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sans-serif" w:hAnsi="Arial;sans-serif"/>
          <w:b w:val="false"/>
          <w:color w:val="000000"/>
          <w:sz w:val="13"/>
        </w:rPr>
        <w:t>TM</w:t>
      </w:r>
      <w:r>
        <w:rPr>
          <w:rFonts w:ascii="Arial;sans-serif" w:hAnsi="Arial;sans-serif"/>
          <w:b w:val="false"/>
          <w:color w:val="000000"/>
          <w:sz w:val="20"/>
        </w:rPr>
        <w:t>, a durable and privacy-centric connector to the digital ecosystem. This provides marketers with a consistent view of the consumer that is necessary for audience segmentation, targeting, and measurement.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Live/Access. </w:t>
      </w:r>
      <w:r>
        <w:rPr>
          <w:rFonts w:ascii="Arial;sans-serif" w:hAnsi="Arial;sans-serif"/>
          <w:b w:val="false"/>
          <w:color w:val="000000"/>
          <w:sz w:val="20"/>
        </w:rPr>
        <w:t>Our Data Marketplace provides customers with simplified access to industry-leading third-party data providers globally. The 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Live/Connectivity. </w:t>
      </w:r>
      <w:r>
        <w:rPr>
          <w:rFonts w:ascii="Arial;sans-serif" w:hAnsi="Arial;sans-serif"/>
          <w:b w:val="false"/>
          <w:color w:val="000000"/>
          <w:sz w:val="20"/>
        </w:rPr>
        <w:t xml:space="preserve">We enable organizations to leverage their customer and prospect data in the digital and TV ecosystems and across 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Live/Insights. </w:t>
      </w:r>
      <w:r>
        <w:rPr>
          <w:rFonts w:ascii="Arial;sans-serif" w:hAnsi="Arial;sans-serif"/>
          <w:b w:val="false"/>
          <w:color w:val="000000"/>
          <w:sz w:val="20"/>
        </w:rPr>
        <w:t>Data Collaboration, using clean room technology, enables advanced measurement and analytics that helps produce insight-driven innovation. We enable data collaboration between organizations and their trusted partners in a neutral, manageable environment. Our platform provides customers with collaborative opportunities to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drawing>
          <wp:inline distT="0" distB="0" distL="0" distR="0">
            <wp:extent cx="6667500" cy="295275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6667500" cy="2952750"/>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Subscription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primarily charge for our platform services on an annual basis. Our subscription pricing is based primarily on data volume, which is a function of data input records and connection points.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Our solutions are sold to enterprise marketers and the companies they partner with to execute their marketing, including agencies, marketing technology providers, publishers and data providers. Today, we work with 846 direct customers worldwide and serve thousands of additional customers indirectly through our reseller partnership arrangements.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Brands and Agencies.</w:t>
      </w:r>
      <w:r>
        <w:rPr>
          <w:color w:val="000000"/>
        </w:rPr>
        <w:t xml:space="preserve"> </w:t>
      </w:r>
      <w:r>
        <w:rPr>
          <w:rFonts w:ascii="Arial;sans-serif" w:hAnsi="Arial;sans-serif"/>
          <w:b w:val="false"/>
          <w:color w:val="000000"/>
          <w:sz w:val="20"/>
        </w:rPr>
        <w:t>We work with over 500 of the largest brands and agencies in the world, helping them execute people-based marketing by creating an omni-channel understanding of the consumer, activating that understanding across their choice of digital marketing platforms and measuring the results to help optimize future marketing campaigns.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Advertising and Marketing Technology Providers.</w:t>
      </w:r>
      <w:r>
        <w:rPr>
          <w:color w:val="000000"/>
        </w:rPr>
        <w:t xml:space="preserve"> </w:t>
      </w:r>
      <w:r>
        <w:rPr>
          <w:rFonts w:ascii="Arial;sans-serif" w:hAnsi="Arial;sans-serif"/>
          <w:b w:val="false"/>
          <w:color w:val="000000"/>
          <w:sz w:val="20"/>
        </w:rPr>
        <w:t>We provide advertising and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Publishers.</w:t>
      </w:r>
      <w:r>
        <w:rPr>
          <w:color w:val="000000"/>
        </w:rPr>
        <w:t xml:space="preserve"> </w:t>
      </w:r>
      <w:r>
        <w:rPr>
          <w:rFonts w:ascii="Arial;sans-serif" w:hAnsi="Arial;sans-serif"/>
          <w:b w:val="false"/>
          <w:color w:val="000000"/>
          <w:sz w:val="20"/>
        </w:rPr>
        <w:t xml:space="preserve">We enable publishers of any size to offer people-based marketing on their properties. This adds value for brands by providing direct access to their customers and prospects in the publisher's premium inventory.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Data Sellers.</w:t>
      </w:r>
      <w:r>
        <w:rPr>
          <w:color w:val="000000"/>
        </w:rPr>
        <w:t xml:space="preserve"> </w:t>
      </w:r>
      <w:r>
        <w:rPr>
          <w:rFonts w:ascii="Arial;sans-serif" w:hAnsi="Arial;sans-serif"/>
          <w:b w:val="false"/>
          <w:color w:val="000000"/>
          <w:sz w:val="20"/>
        </w:rPr>
        <w:t>Leveraging our vast network of integrations, we enable data sellers to easily connect to the digital ecosystem and monetize their own data. Data can be distributed to customers or made available through the Data Marketplace. This adds value for brands as it allows them to augment their understanding of consumers and increase both their reach against and understanding of customers and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Marketplace and Other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Leveraging our common identity system and broad integration network, the LiveRamp Data Marketplace seamlessly connects data sellers’ audience data across the marketing ecosystem. The LiveRamp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 industries and encompassing all types of data. Data providers include sources and</w:t>
      </w:r>
      <w:r>
        <w:rPr>
          <w:color w:val="000000"/>
        </w:rPr>
        <w:t xml:space="preserve"> </w:t>
      </w:r>
      <w:r>
        <w:rPr>
          <w:rFonts w:ascii="Arial;sans-serif" w:hAnsi="Arial;sans-serif"/>
          <w:b w:val="false"/>
          <w:color w:val="000000"/>
          <w:sz w:val="20"/>
        </w:rPr>
        <w:t xml:space="preserve">brands exclusive to LiveRamp, emerging platforms with access to previously unavailable deterministic data, and data partnerships enabled by our platform.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complement our product offering, we provide professional services and enhanced support entitlements to help customers leverage our platform and drive business outcomes. Our services offering includes product implementation, data science analytics, audience measurement and general advisory. We generate revenue from services from bundled platform subscriptions and project fees paid by subscribers to our platform. Services revenue is less than 5% of total Company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Competitive Strengths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competitive strengths can be mapped back to our core capabilities around data access, identity, connectivity and data stewardship – which together create strong network effects that form a larger strategic moat around the entire business.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Premier Data Collaboration Network.</w:t>
      </w:r>
      <w:r>
        <w:rPr>
          <w:color w:val="000000"/>
        </w:rPr>
        <w:t xml:space="preserve"> </w:t>
      </w:r>
      <w:r>
        <w:rPr>
          <w:rFonts w:ascii="Arial;sans-serif" w:hAnsi="Arial;sans-serif"/>
          <w:b w:val="false"/>
          <w:color w:val="000000"/>
          <w:sz w:val="20"/>
        </w:rPr>
        <w:t>We offer an expansive, data-rich network of top-quality partners that spans the digital marketing ecosystem for incomparable scale and reach. We activate data across an ecosystem of more than 500 partners, representing one of the largest networks of connections in the digital marketing space. We use 100% deterministic matching, resulting in a strong combination of reach and accuracy. Additionally, through our Data Marketplace, we provide simplified access to more than 500,000 consumer data segments from the world's top data providers.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Most Advanced Consumer-Level Recognition.</w:t>
      </w:r>
      <w:r>
        <w:rPr>
          <w:color w:val="000000"/>
        </w:rPr>
        <w:t xml:space="preserve"> </w:t>
      </w:r>
      <w:r>
        <w:rPr>
          <w:rFonts w:ascii="Arial;sans-serif" w:hAnsi="Arial;sans-serif"/>
          <w:b w:val="false"/>
          <w:color w:val="000000"/>
          <w:sz w:val="20"/>
        </w:rPr>
        <w:t>Our proprietary, patented recognition technology draws upon an extensive historical reference base to identify and link together multiple consumer records and identifiers. We use the pioneering algorithms of AbiliTec® and deterministic digital matching to link individuals and households to the right digital identifiers including cookies, mobile device IDs, Advanced TV IDs, and user accounts at social networks. As a result, we are able to match online and offline data with a high degree of speed and accuracy.</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Groundbreaking Leadership in Privacy and Security.</w:t>
      </w:r>
      <w:r>
        <w:rPr>
          <w:color w:val="000000"/>
        </w:rPr>
        <w:t xml:space="preserve"> </w:t>
      </w:r>
      <w:r>
        <w:rPr>
          <w:rFonts w:ascii="Arial;sans-serif" w:hAnsi="Arial;sans-serif"/>
          <w:b w:val="false"/>
          <w:color w:val="000000"/>
          <w:sz w:val="20"/>
        </w:rPr>
        <w:t>LiveRamp is a standard bearer in consumer privacy and data stewardship. We have been a strong and vocal proponent of providing consumers with more visibility and control over their data. A few examples of our commitment in this area:</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In all of our major geographies we have privacy teams focused on the protection and responsible use of consumer data;</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We provide a privacy-enabled environment that allows marketers and partners to connect different types of data while protecting and governing its use; and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We have industry-leading expertise in connecting data across the online and offline worlds.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Scale Leader in Data Connectivity.</w:t>
      </w:r>
      <w:r>
        <w:rPr>
          <w:color w:val="000000"/>
        </w:rPr>
        <w:t xml:space="preserve"> </w:t>
      </w:r>
      <w:r>
        <w:rPr>
          <w:rFonts w:ascii="Arial;sans-serif" w:hAnsi="Arial;sans-serif"/>
          <w:b w:val="false"/>
          <w:color w:val="000000"/>
          <w:sz w:val="20"/>
        </w:rPr>
        <w:t>We are a category creator and one of the largest providers of data connectivity at scale. We match records with a high level of accuracy and offer the flexibility for activating data through our extensive set of integrations. Our platform processes more than 4 trillion data records daily.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 xml:space="preserve">Flexible Collaboration. </w:t>
      </w:r>
      <w:r>
        <w:rPr>
          <w:rFonts w:ascii="Arial;sans-serif" w:hAnsi="Arial;sans-serif"/>
          <w:b w:val="false"/>
          <w:color w:val="000000"/>
          <w:sz w:val="20"/>
        </w:rPr>
        <w:t>We have flexibility to collaborate wherever data lives, enabling the widest possible range of data collaboration use cases. We bring our technology to the customer’s data environment and can collaborate with cloud providers or across clouds. We offer broad configurability, controls and permissioning to meet varying customer requirements. Our platform is extensible and scalable to meet growing collaboration usage.</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Uniquely Neutral in the Marketing Ecosystem.</w:t>
      </w:r>
      <w:r>
        <w:rPr>
          <w:color w:val="000000"/>
        </w:rPr>
        <w:t xml:space="preserve"> </w:t>
      </w:r>
      <w:r>
        <w:rPr>
          <w:rFonts w:ascii="Arial;sans-serif" w:hAnsi="Arial;sans-serif"/>
          <w:b w:val="false"/>
          <w:color w:val="000000"/>
          <w:sz w:val="20"/>
        </w:rPr>
        <w:t>We are one of the only open and neutral data collaboration platforms operating at large scale. We provide the data connectivity required to build best-of-breed integrated marketing stacks, allowing our customers to innovate through their preferred choice of data, technology, and services providers. We strive to make every customer experience application more valuable. We enable the open marketing stack and power the open ecosystem.</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Strong Customer Relationships.</w:t>
      </w:r>
      <w:r>
        <w:rPr>
          <w:color w:val="000000"/>
        </w:rPr>
        <w:t xml:space="preserve"> </w:t>
      </w:r>
      <w:r>
        <w:rPr>
          <w:rFonts w:ascii="Arial;sans-serif" w:hAnsi="Arial;sans-serif"/>
          <w:b w:val="false"/>
          <w:color w:val="000000"/>
          <w:sz w:val="20"/>
        </w:rPr>
        <w:t>We work with 846 direct customers worldwide and serve thousands of additional customers indirectly through our partner and reseller network. We have deep relationships with companies and marketing leaders in key industries, including financial, insurance and investment services, information services, direct marketing, retail, automotive, telecommunications, technology, consumer packaged goods, media, healthcare, travel and hospitality, entertainment and non-profit. Our customers are loyal and typically increase their use of the platform over time, as evidenced by our growth in the number of customers whose subscription contracts exceed $1 million in annual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Growth Strategy</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is a category creator, thought leader and innovator in how data is used to power the customer experience. Key elements of our growth strategy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Grow our Customer Base. </w:t>
      </w:r>
      <w:r>
        <w:rPr>
          <w:rFonts w:ascii="Arial;sans-serif" w:hAnsi="Arial;sans-serif"/>
          <w:b w:val="false"/>
          <w:color w:val="000000"/>
          <w:sz w:val="20"/>
        </w:rPr>
        <w:t>We have strong relationships with many of the world’s largest brands, agencies, marketing technology providers, publishers and data providers. Today, we work with 846 direct customers globally; however, we believe our target market includes the 2,000 marketers, signaling there is still significant opportunity to add new customers to our roster. We expect to continue making investments in growing our sales and customer success team to support this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Increase Network Density to Expand Existing Customer Relationships</w:t>
      </w:r>
      <w:r>
        <w:rPr>
          <w:rFonts w:ascii="Arial;sans-serif" w:hAnsi="Arial;sans-serif"/>
          <w:b w:val="false"/>
          <w:color w:val="000000"/>
          <w:sz w:val="20"/>
        </w:rPr>
        <w:t xml:space="preserve">. A key growth lever for our business is the ability to land and expand – or grow existing customer relationships. Our subscription pricing is based on data volume, so over time, as customers expand their usage and leverage their data across more use cases, we are able to grow our relationships. We are focused on increasing the density of our collaboration network by adding more data owner nodes, such as large CTV publishers and commerce media networks, to enable more robust measurement of advertising effectiveness. An increase in nodes and use-cases should drive an increase in network edges, or connections between nodes, which will ultimately drive revenue. As of March 31, 2026, we worked with 133 customers whose subscription contracts exceed $1 million in annual revenue, and as we continue to expand our coverage beyond programmatic, we expect to see this number grow.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Expand Sales Channel Partnerships</w:t>
      </w:r>
      <w:r>
        <w:rPr>
          <w:rFonts w:ascii="Arial;sans-serif" w:hAnsi="Arial;sans-serif"/>
          <w:b w:val="false"/>
          <w:color w:val="000000"/>
          <w:sz w:val="20"/>
        </w:rPr>
        <w:t>. A growth opportunity for our business is forging sales partnerships and product integrations with adjacent technology platforms and service providers. We are actively expanding our channel sales efforts with customer data platforms, public cloud providers, cloud data warehouses, marketing clouds, and global systems integrators.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Continue to Innovate and Extend Leadership Position in Identity.</w:t>
      </w:r>
      <w:r>
        <w:rPr>
          <w:color w:val="000000"/>
        </w:rPr>
        <w:t xml:space="preserve"> </w:t>
      </w:r>
      <w:r>
        <w:rPr>
          <w:rFonts w:ascii="Arial;sans-serif" w:hAnsi="Arial;sans-serif"/>
          <w:b w:val="false"/>
          <w:color w:val="000000"/>
          <w:sz w:val="20"/>
        </w:rPr>
        <w:t>We intend to establish LiveRamp as the standard for consumer-level recognition across the marketing ecosystem, providing a single source of user identity for audience measurement and personalization.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Establish LiveRamp as the Trusted, Best and Essential Industry Standard for Data Collaboration.</w:t>
      </w:r>
      <w:r>
        <w:rPr>
          <w:color w:val="000000"/>
        </w:rPr>
        <w:t xml:space="preserve"> </w:t>
      </w:r>
      <w:r>
        <w:rPr>
          <w:rFonts w:ascii="Arial;sans-serif" w:hAnsi="Arial;sans-serif"/>
          <w:b w:val="false"/>
          <w:color w:val="000000"/>
          <w:sz w:val="20"/>
        </w:rPr>
        <w:t xml:space="preserve">We intend to continue to make substantial investments in our platform and solutions and extend our market leadership through innovation. Our investments will focus on automation, speed, higher match rates, expanded partner integrations and use cases, and new product development.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Expand Global Footprint.</w:t>
      </w:r>
      <w:r>
        <w:rPr>
          <w:color w:val="000000"/>
        </w:rPr>
        <w:t xml:space="preserve"> </w:t>
      </w:r>
      <w:r>
        <w:rPr>
          <w:rFonts w:ascii="Arial;sans-serif" w:hAnsi="Arial;sans-serif"/>
          <w:b w:val="false"/>
          <w:color w:val="000000"/>
          <w:sz w:val="20"/>
        </w:rPr>
        <w:t>Many of our customers and partners serve their customers on a global basis, and we intend to expand our presence outside of the United States to serve the needs of our customers in additional geographies. As we expand relationships with our existing customers, we are investing in select regions in Europe and APAC.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Expand Addressable Market.</w:t>
      </w:r>
      <w:r>
        <w:rPr>
          <w:color w:val="000000"/>
        </w:rPr>
        <w:t xml:space="preserve"> </w:t>
      </w:r>
      <w:r>
        <w:rPr>
          <w:rFonts w:ascii="Arial;sans-serif" w:hAnsi="Arial;sans-serif"/>
          <w:b w:val="false"/>
          <w:color w:val="000000"/>
          <w:sz w:val="20"/>
        </w:rPr>
        <w:t>Historically, our focus has been to enable data-driven advertising for paid media. As customers look to deploy data across additional use cases, we intend to power all customer experience use cases and expand our role inside the enterprise. Call centers, email and messaging campaigns, and supply chain management are examples of this strategy. In addition, over time, we intend to pursue adjacent markets beyond marketing, like risk and fraud, healthcare and government, where similar identity and data connectivity challenges exist.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Build an Exceptional Business. </w:t>
      </w:r>
      <w:r>
        <w:rPr>
          <w:rFonts w:ascii="Arial;sans-serif" w:hAnsi="Arial;sans-serif"/>
          <w:b w:val="false"/>
          <w:color w:val="000000"/>
          <w:sz w:val="20"/>
        </w:rPr>
        <w:t xml:space="preserve">We do not aspire to be mediocre, good, or even great – we intend to be the absolute best in everything we do. We attract and employ exceptional people, challenge them to accomplish exceptional things, and achieve exceptional results for our customers and shareholders. We do this through six guiding principles: 1) Above all, we do what is right; 2) We love our customers; 3) We say what we mean and do what we say; 4) We empower people; 5) We respect people and time; and 6) We get stuff done.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Privacy Considerations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growing online advertising and e-commerce industries are converging, with consumers expecting a seamless experience across all channels, in real time. This challenges marketing organizations to balance the deluge of data and demands of the consumer with responsible methods of managing data internally and with advertising technology intermediaries.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policies and operational practices governing our use of data that are designed to actively promote a set of meaningful privacy guidelines for digital advertising and direct marketing via all channels of addressable media, e-commerce, risk management and information industries as a whole. We have dedicated teams in place to oversee our compliance with the data protection regulations that govern our business activities in the various countries in which we operate.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United States Congress and state legislatures, along with federal regulatory authorities, have recently increased their attention and regulatory enforcement on matters concerning the collection and use of consumer data. Data privacy legislation has been introduced in the United States Congress, and a majority of the population of the United States is now covered by state data collection and use privacy laws. In all of the non-United States locations in which we do business, laws and regulations governing the collection and use of personal data either exist or are being developed.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expect the trend of enacting and revising data protection laws to continue and that new and expanded data privacy legislation in various forms will be implemented in the United States and in other countries around the globe. We are supportive of legislation that codifies current industry guidelines of accountability-based data governance that includes meaningful transparency for the individual, appropriate controls over personal information and choice of whether that information is shared with independent third parties for marketing purposes. We also support legislation requiring all custodians of sensitive information to deploy reasonable information security safeguards to protect that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laws and regulations, approaches to enforcement, and violations of laws or regulations by us could have a significant direct or indirect effect on our operations and financial condition, as detailed below and set forth under "Risk Factors-Risks Related to Government Regulation and Taxation."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Customers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customer base consists primarily of Fortune 1000 companies and organizations in the financial, insurance and investment services, information services, direct marketing, retail, automotive, telecommunications, technology, consumer packaged goods, media, healthcare, travel and hospitality, entertainment as well as in non-profit sectors. Given the strong network effects associated with our platform, we work with both enterprise marketers and the companies they partner with to execute their marketing, including agencies, marketing technology providers, publishers and data providers. We had 846 direct subscription customers at the end of fiscal year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seek to maintain long-term relationships with our customers. Our customers are loyal and typically grow their use of the platform over time, as evidenced by our growing number of customers year-over-year whose subscription contracts exceed $1 million in annual revenue, which totaled 133 at the end of fiscal year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ten largest customers represented approximately 30% of our revenues during the twelve months ended March 31, 2026. There were no customers that individually exceeded 10% of the Company's revenue during the twelve months ended March 31, 2026.</w:t>
      </w:r>
    </w:p>
    <w:p>
      <w:pPr>
        <w:pStyle w:val="TextBody"/>
        <w:bidi w:val="0"/>
        <w:spacing w:lineRule="auto" w:line="288"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Sales and Marketing</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sales teams focus on new business development across all markets – sales to new customers and sales of new lines of business to existing customers, as well as revenue growth within existing accounts. We organize our customer relationships around customer type and industry vertical, as we believe that understanding and speaking to the nuances of each industry is the most effective way to positively impact our customers’ businesses.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partner organization focuses on enabling key media partners, agencies and software providers who can help drive value for our customers. We are actively expanding our channel sales efforts with customer data platforms, public cloud providers, cloud data warehouses, marketing clouds, and global systems integrators.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marketing efforts are focused on increasing awareness for our brand, executing thought leadership initiatives, supporting our sales team and generating new leads. We seek to accomplish these objectives by hosting and presenting at industry conferences, hosting customer advisory boards, publishing white papers and research, public relations activities, social media presence and advertising campaigns.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continue to invest in our global data collaboration platform to enable effective use of data. Our research and development teams are focused on the full cycle of product development from customer discovery through development, testing and release. Research and development expense was $148.1 million in the twelve months ended March 31, 2026, compared to $176.7 million in the twelve months ended March 31, 2025, and $151.2 million in the twelve months ended March 31, 2024. Management expects to maintain research and development spending, as a percentage of revenue, at relatively similar or increased levels to fiscal 2026 in fiscal 2027.</w:t>
      </w:r>
    </w:p>
    <w:p>
      <w:pPr>
        <w:pStyle w:val="TextBody"/>
        <w:bidi w:val="0"/>
        <w:spacing w:lineRule="auto" w:line="288"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Seasonality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majority of our business is not subject to seasonal fluctuations, our Data Marketplace and usage-based subscription revenue experience modest seasonality, as the revenue generated from these areas of the business are more transactional in nature and tied to overall advertising spend by our customers. For example, many advertisers allocate the largest portion of their annual budgets to the fourth quarter of the calendar year in order to coincide with increased holiday purchasing. We expect our Data Marketplace and usage-based subscription revenue to continue to fluctuate based on seasonal factors that affect the advertising industry as a whole. Usage-based subscription revenue equaled 15% of total subscription revenue in the twelve months ended March 31, 2026, 15% in the twelve months ended March 31, 2025 and 15% in the twelve months ended March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operate in a complex and competitive environment. Competitors of LiveRamp are typically also members of our partner and reseller ecosystem, creating a paradigm where competition is the norm. Our primary competitors are companies that sell data onboarding as part of a suite of marketing applications or services. Walled gardens that offer a direct interface for matching customer relationship management (CRM) data compete for a portion of our services, particularly amongst marketers that have not yet adopted in-house platforms for programmatic marketing or attribution. Some providers of tag management, data management, and cross-device marketing solutions have adopted positioning similar to our business and compete for mindshare. In markets outside the United States, we primarily face small, local market players.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continue to focus on levers to increase our competitiveness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believe that investing in the product and technology platform of our business is a key to our continued success. Further, we believe that enabling a broad partner ecosystem will help us to continue to provide competitive differentiation.</w:t>
      </w:r>
    </w:p>
    <w:p>
      <w:pPr>
        <w:pStyle w:val="TextBody"/>
        <w:bidi w:val="0"/>
        <w:spacing w:lineRule="auto" w:line="288" w:before="0" w:after="0"/>
        <w:jc w:val="left"/>
        <w:rPr>
          <w:color w:val="0563C1"/>
        </w:rPr>
      </w:pPr>
      <w:r>
        <w:rPr>
          <w:color w:val="0563C1"/>
        </w:rPr>
        <w:t> </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Pricing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Approximately 76% of our revenue is derived from subscription-based arrangements sold on an annual or multi-year basis. Our subscription pricing is based on data volume supported by our platform. We also generate revenue from data providers, digital publishers and advanced TV platforms in the form of revenue-sharing agreements in our Data Marketplace.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Human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employs approximately 1,300 employees ("LiveRampers") worldwide. No U.S. LiveRampers are represented by a labor union or subject to a collective bargaining agreement. To the best of management’s knowledge, apart from the locally elected members of our French subsidiary's works council, no LiveRamper is an elected member of works councils and trade unions representing LiveRamp employees in the European Union. LiveRamp has never experienced a work stoppage. We promote high employee engagement, open communication and a culture of equality to foster positive employee relations.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late fiscal 2026, we commenced the next phase of the Company’s multi-year global workforce strategy by winding down our arrangement with a third-party service provider in India and onboarding certain roles previously performed by the service provider. Consequently, our employee headcount will increase by approximately 200 in the second quarter of fiscal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Building a High-Performing Culture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LiveRamp, fostering a workplace where every employee feels respected, supported, and equipped to contribute is central to our success and innovation. We believe that a thoughtful approach to talent, culture, and community engagement helps us build stronger teams and better products—while positioning us to meet the varying needs of our customers and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recent years, we have expanded efforts to cultivate a workplace environment that supports collaboration across varied perspectives and experiences. This includes the creation of a dedicated role focused on workforce engagement strategy and culture, as well as the development of a company-wide charter that provides a consistent framework for team-level efforts to strengthen collaboration, respect, and belonging.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internal framework is built on three focus areas: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People &amp; Teams – Empowering employees to thrive by supporting individual growth, team cohesion, and respectful engagement.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&amp; Customer Insight – Designing and evolving our solutions with input reflective of a broad user base, helping ensure accessibility and relevance.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Community &amp; Impact – Encouraging team members to contribute meaningfully to communities through volunteerism, skills-based service, and data-driven initiatives.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commitment to our people is centered around a unified employee experience designed to benefit our entire workforce. Within this framework, we provide the space for optional, employee-led Business Employee Resource Groups (BERGs) - where employees can lead their initiatives and build community. By prioritizing a high-impact environment first, we ensure these groups exist within a culture that values varied perspectives and shared success.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LiveRamp remains committed to hiring and supporting top talent from all backgrounds.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Beyond the workplace, our LiveRamp.org platform offers employees avenues to contribute through volunteer programs, donation matching, and our Data for Good initiative—supporting nonprofit and public interest work through the thoughtful use of our data capabilities.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approach reflects a long-term commitment to building a resilient and future-focused company culture—one that supports individual growth, team performance, and our mission to build solutions that serve a broad and evolving global customer base.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Information about our Executive Officers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LiveRamp’s executive officers, their current positions, ages and business experience are listed below. They are elected by the board of directors annually or as necessary to fill vacancies or to fill new positions. There are no family relationships among any of the officers or directors of the Company.</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i/>
          <w:color w:val="000000"/>
          <w:sz w:val="20"/>
        </w:rPr>
        <w:t>Scott E. Howe</w:t>
      </w:r>
      <w:r>
        <w:rPr>
          <w:rFonts w:ascii="Arial;sans-serif" w:hAnsi="Arial;sans-serif"/>
          <w:b w:val="false"/>
          <w:color w:val="000000"/>
          <w:sz w:val="20"/>
        </w:rPr>
        <w:t xml:space="preserve">, age 58, is the Chief Executive Officer of the Company. Prior to joining the Company in 2011, he served as corporate vice president of Microsoft Advertising Business Group from 2007–2010. In this role, he managed a multi-billion-dollar business encompassing all emerging businesses related to online advertising, including search, display, ad networks, in-game, mobile, digital cable and a variety of enterprise software applications. Mr. Howe was employed from 1999–2007 as an executive and later as a corporate officer at aQuantive, Inc. where he managed three lines of business, including Avenue A | Razorfish (a leading Seattle-based global consultancy in digital marketing and technology), DRIVE Performance Media (now Microsoft Media Network), and Atlas International (an ad serving technology now owned by Facebook). Earlier in his career, he was with The Boston Consulting Group and Kidder, Peabody &amp; Company, Inc. He is a member of the board of directors of the Internet Advertising Bureau (IAB) and previously served on the board of Blue Nile, Inc., a leading online retailer of diamonds and fine jewelry. Mr. Howe is a </w:t>
      </w:r>
      <w:r>
        <w:rPr>
          <w:rFonts w:ascii="Arial;sans-serif" w:hAnsi="Arial;sans-serif"/>
          <w:b w:val="false"/>
          <w:i/>
          <w:color w:val="000000"/>
          <w:sz w:val="20"/>
        </w:rPr>
        <w:t>magna cum laude</w:t>
      </w:r>
      <w:r>
        <w:rPr>
          <w:color w:val="000000"/>
        </w:rPr>
        <w:t xml:space="preserve"> </w:t>
      </w:r>
      <w:r>
        <w:rPr>
          <w:rFonts w:ascii="Arial;sans-serif" w:hAnsi="Arial;sans-serif"/>
          <w:b w:val="false"/>
          <w:color w:val="000000"/>
          <w:sz w:val="20"/>
        </w:rPr>
        <w:t>graduate of Princeton University, where he earned a degree in economics, and he holds an MBA from Harvard University.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Lauren R. Dillard</w:t>
      </w:r>
      <w:r>
        <w:rPr>
          <w:rFonts w:ascii="Arial;sans-serif" w:hAnsi="Arial;sans-serif"/>
          <w:b w:val="false"/>
          <w:color w:val="000000"/>
          <w:sz w:val="20"/>
        </w:rPr>
        <w:t>, age 40, is the Company’s Executive Vice President and Chief Financial Officer, a position she has held since April 2023. She previously served as the Company’s SVP of Finance and Investor Relations, overseeing all aspects of the Company’s finance and investor relations functions since assuming the role in August 2021. Prior to her current positions, she served as the Company’s Chief Communications Officer &amp; Head of Investor Relations from 2018 to 2021.</w:t>
      </w:r>
      <w:r>
        <w:rPr>
          <w:color w:val="000000"/>
        </w:rPr>
        <w:t xml:space="preserve"> </w:t>
      </w:r>
      <w:r>
        <w:rPr>
          <w:rFonts w:ascii="Arial;sans-serif" w:hAnsi="Arial;sans-serif"/>
          <w:b w:val="false"/>
          <w:color w:val="000000"/>
          <w:sz w:val="20"/>
        </w:rPr>
        <w:t>Prior to joining the Company, she worked in corporate finance and investor relations for a number of San Francisco Bay Area technology companies and started her career at Ernst &amp; Young. She is an active community leader and has served on and chaired several Bay Area nonprofit boards, including the Bay Area Discovery Museum and Multiplying Good. Ms. Dillard is a certified public accountant (inactive) and holds a Bachelor of Science degree in accounting from Santa Clara University.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Jerry C. Jones,</w:t>
      </w:r>
      <w:r>
        <w:rPr>
          <w:color w:val="000000"/>
        </w:rPr>
        <w:t xml:space="preserve"> </w:t>
      </w:r>
      <w:r>
        <w:rPr>
          <w:rFonts w:ascii="Arial;sans-serif" w:hAnsi="Arial;sans-serif"/>
          <w:b w:val="false"/>
          <w:color w:val="000000"/>
          <w:sz w:val="20"/>
        </w:rPr>
        <w:t>age 70, is the Company’s Executive Vice President, Chief Ethics and Legal Officer, and Secretary. He joined the Company in 1999 and currently oversees the Company’s legal, data ethics and government relations matters. He also assists in the strategy and execution of mergers and alliances and the Company’s strategic initiatives. Prior to joining the Company, Mr. Jones was employed for 19 years as an attorney with the Rose Law Firm in Little Rock, Arkansas, representing a broad range of business interests. Mr. Jones is a member of the board of directors of Agilysys, Inc. (NASDAQ: AGYS), a leading developer and marketer of proprietary enterprise software, services and solutions to the hospitality and retail industries, where he serves on the Compensation Committee and the Nominating &amp; Governance Committee. He serves on the executive committee of Privacy for America, the board of directors of the United States Chamber of Commerce, and is a co-founder of uhire U.S. He is a Special Advisor to the Club de Madrid, an organization composed of over 100 former Presidents and Prime Ministers from more than 70 democratic countries. Mr. Jones was a member of the board of directors of Heifer International until 2019 and Entrust, Inc. until it was purchased by private investors in 2009. He is the former chairman of the board of the Arkansas Virtual Academy, a statewide virtual public school, Forward Arkansas, an organization devoted to improving outcomes for Arkansas students, and is a former member of the UA Little Rock Board of Visitors. Mr. Jones holds a bachelor’s degree in public administration and a juris doctorate degree, both from the University of Arkansas.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Vihan Sharma</w:t>
      </w:r>
      <w:r>
        <w:rPr>
          <w:rFonts w:ascii="Arial;sans-serif" w:hAnsi="Arial;sans-serif"/>
          <w:b w:val="false"/>
          <w:color w:val="000000"/>
          <w:sz w:val="20"/>
        </w:rPr>
        <w:t>, age 47, has served as the Chief Revenue Officer of the Company since December 2023, where he is in charge of overseeing global sales, customer operations and partnership teams. He joined the Company in 2009 and currently oversees all global commercial functions and is responsible for LiveRamp's growth and operations. Prior to his current position, Mr. Sharma served as the Company’s Executive Vice President of Global Sales and was Managing Director Europe from 2019 to 2023. Mr. Sharma has extensive experience in global data and product strategy and has also served as Vice President of Safe Haven and Managing Director France, a leadership position he held for almost six years. Prior to joining the Company, Mr. Sharma held several strategic leadership positions across a number of startups in Europe. Mr. Sharma holds a master's degree in business administration from the ESCP Business School.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Matt Karasick</w:t>
      </w:r>
      <w:r>
        <w:rPr>
          <w:rFonts w:ascii="Arial;sans-serif" w:hAnsi="Arial;sans-serif"/>
          <w:b w:val="false"/>
          <w:color w:val="000000"/>
          <w:sz w:val="20"/>
        </w:rPr>
        <w:t xml:space="preserve">, age 49, has served as the Chief Product Officer of the Company since December 2025, where he leads product strategy and development to drive innovation and growth. Prior to his current position, Mr. Karasick served as VP of Product from 2024 to 2025. Before joining LiveRamp, Mr. Karasick served as Chief Product Officer of Habu, Inc. from 2021 to 2024 when Habu was acquired by LiveRamp. Prior to Habu, Mr. Karasick held key leadership roles for numerous other companies including Indeed.com, Akamai Technologies, Trilogy and DoubleClick.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1A. Risk Factors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i/>
          <w:color w:val="000000"/>
          <w:sz w:val="20"/>
        </w:rPr>
        <w:t xml:space="preserve">An investment in our common stock involves a high degree of risk. You should carefully consider the risks described below and the other information in this Annual Report on Form 10-K and in other public filings before making an investment decision. Our business, prospects, financial condition, or operating results could be harmed by any of these risks, as well as other risks not currently known to us or that we currently consider immaterial.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 </w:t>
      </w:r>
      <w:r>
        <w:rPr>
          <w:color w:val="000000"/>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the Pending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may fail to consummate the Merger, and uncertainties related to the consummation of the Merger may have a material adverse effect on our business, results of operations and financial condition and negatively impact the trading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Merger is subject to the satisfaction of a number of conditions beyond our control, including the approval of the Merger and the adoption of the Merger Agreement by the holders of sixty-six and two-thirds percent (66 2/3%) of the voting power represented by the issued and outstanding shares of our common stock entitled to vote thereon and the expiration or termination of any applicable waiting periods (and any extension thereof) under the Hart-Scott-Rodino Antitrust Improvements Act of 1976, as amended, the receipt of certain non-U.S. antitrust and foreign direct investment approvals, the receipt of the CFIUS Approval (as defined in the Merger Agreement) with respect to the Merger and other customary closing conditions. Failure to satisfy the conditions to the Merger could prevent or delay the completion of the Merger. Further, regulators may impose conditions, obligations or restrictions on the Merger that may have the effect of delaying or preventing its completion. If the Merger does not close, we may suffer other consequences that could adversely affect our business, financial condition, operating results, and stock price, and our stockholders would be exposed to additional risks,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negative reactions from the financial markets, including negative impacts on our stock price, particularly to the extent that the current trading price of our common stock reflects an assumption that the Merger will be completed, the trading price of our common stock could decrease if the Merger is not completed and it is uncertain when, if ever, the trading price of our common stock would return to the prices at which our common stock currently trade;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negative publicity, which could have an adverse effect on our ongoing operations including, but not limited to, retaining and attracting employees, customers, partners, suppliers and others with whom we do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investor confidence in us could decline, stockholder litigation could be brought against us or members of the board of directors or our officers, which, even if meritless, may require us to commit significant time and resources defending;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relationships with existing and prospective customers, service providers, investors, and other business partners may be adversely impacted, we may be unable to retain key personnel and our operating results may be adversely impacted due to costs incurred in connection with the Merger;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have incurred, and will continue to incur, significant expenses such as legal, accounting, financial advisory, printing and other professional services in connection with the Merger for which we will have received little or no benefit if the Merger is not consummated;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while the Merger Agreement is in effect, we are subject to restrictions on our business activities, including, among other things, restrictions on our ability to engage in certain kinds of material transactions, which could prevent us from pursuing strategic business opportunities, taking actions with respect to our business that we may consider advantageous and responding effectively and/or timely to competitive pressures and industry developments, and may as a result, materially adversely affect our business, results of operations and financial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disruptions to our business resulting from the announcement and pendency of the Merger, including adverse changes in our relationships with customers, suppliers, partners and employees, may continue or intensify in the event the Merger is not consummated or is significantly delayed;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requirement that we pay a termination fee to Parent under certain circumstances.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if the Merger is not completed, stockholders will not receive any payment for their common stock in connection with the Merger. Instead, we will remain a public company, our common stock will continue to be listed and traded on the New York Stock Exchange and registered under the Securities Exchange Act of 1934, as amended, and we will be required to continue to file periodic reports with the SEC.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efforts and costs to satisfy the closing conditions of the Merger may place a significant burden on management and internal resources, and the Merger and related transactions, whether or not consummated, may result in a diversion of management’s attention from day-to-day operations and prevent the pursuit of other opportunities that could have been beneficial to us. Any significant diversion of management’s attention away from ongoing business and difficulties encountered in the Merger process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There also is no assurance that the Merger and the other transactions contemplated by the Merger Agreement will occur on the terms and timeline currently contemplated or at 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 provide no assurance that all required consents and approvals will be obtained or that all closing conditions will otherwise be satisfied (or waived, if applicable), and even if all required consents and approvals can be obtained and all closing conditions are satisfied (or waived, if applicable), we can provide no assurances as to the terms, conditions and timing of such consents and approvals or the timing of the completion of the Merger. Many of the conditions to completion of the Merger are not within our control, and we cannot predict when or if these conditions will be satisfied (or waived, if applicable). If the proposed Merger is delayed or not completed, the trading price of our common stock may decline, including to the extent that the current trading price of our common stock reflects an assumption that the Merger and the other transactions contemplated by the Merger Agreement will be consummated without further delays, which could have a material adverse effect on our business, results of operations and financial condition, and any adverse consequence of the pending Merger could be exacerbated by any delays in completion of the Merger or termination of the Merger Agreement. If the Merger Agreement is terminated and we determine to seek another business combination, we may not be able to negotiate a transaction with another party on terms comparable to, or better than, the terms of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the Merger Agreement is terminated, we may, under certain circumstances, be obligated to pay a termination fee to Parent. These costs could require us to use available cash that would have otherwise been available for other uses.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Merger is not completed, in certain circumstances, we could be required to pay a termination fee to Parent of up to $32,350,000. If the Merger Agreement is terminated, the termination fee we may be required to pay, if any, under the Merger Agreement may require us to use available cash that would have otherwise been available for general corporate purposes or other uses. For these and other reasons, termination of the Merger Agreement could materially and adversely affect our business, results of operations or financial condition, which in turn would materially and adversely affect the trading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are subject to various uncertainties while the Merger is pending, which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Uncertainty about the pendency of the Merger and the effect of the Merger on employees, customers and other third parties who deal with us may have a material adverse effect on our business, results of operations, cash flows and financial condition, regardless of whether the Merger is completed. These risks and uncertainties include, but are not limited 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that our relationship with suppliers, customers and employees could be adversely affected, including if our suppliers, customers or others attempt to negotiate changes in existing business relationships, consider entering into business relationships with parties other than us, delay or defer decisions concerning their business with us, or terminate their existing business relationship with us during the pendency of the Merger;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uncertainties caused by any negative sentiment in the marketplace with respect to the Merger, which could adversely impact investor confidence in the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distraction of our current employees as a result of the Merger, which could result in a decline in their productivity or cause distractions in the workplace, as such personnel may experience uncertainty about their future roles following the consummation of the Merger;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being subject to certain restrictions on the conduct of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possibly foregoing certain business opportunities that we might otherwise pursue absent the pending Merger;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in attracting and retaining key employees due to uncertainties related to the Merger;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impact of costs related to completion of the Merger;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developments beyond our control, including, but not limited to, changes in domestic or global economic conditions that may affect the timing or success of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these uncertainties could have a material adverse effect on our business, results of operations, financial condition and trading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While the Merger Agreement is in effect, we are subject to certain interim covenants.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Merger Agreement generally requires us to operate our business in the ordinary course, subject to certain exceptions, including as required by applicable law, pending consummation of the Merger, and subjects us to customary interim operating covenants that restrict us from taking certain specified actions until the Merger is completed or the Merger Agreement is terminated in accordance with its terms. These restrictions could prevent us from pursuing certain business opportunities that may arise prior to the consummation of the Merger and may affect our ability to execute our business strategies and attain financial and other goals and may impact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Merger Agreement limits our ability to pursue alternatives to the Merger and may discourage other companies from trying to acquire us for greater consideration than what Parent has agreed to pay pursuant to the Merger Agreement or could result in a competing acquisition proposal being at a lower price than it might otherwise be.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Merger Agreement contains provisions that make it more difficult for us to sell our business to a party other than Parent. Under the Merger Agreement, beginning on May 16, 2026, we became subject to customary “no-shop” restrictions on our ability to solicit alternative Acquisition Proposals (as defined in the Merger Agreement) from third parties and to provide information to, and participate in discussions and engage in negotiations with, third parties regarding any alternative Acquisition Proposals, subject to a customary “fiduciary out” provision. These restrictions, including the added expense of the termination fees that may become payable by us in certain circumstances, might discourage a third party that has an interest in acquiring all or a significant part of the Company from considering or proposing that acquisition.Notwithstanding the limitations applicable under the “no-shop” restrictions, if, after the date of the Merger Agreement and prior to the date on which the Company Stockholder Approval (as defined in the Merger Agreement) is obtained, the Company receives a </w:t>
      </w:r>
      <w:r>
        <w:rPr>
          <w:rFonts w:ascii="Arial;sans-serif" w:hAnsi="Arial;sans-serif"/>
          <w:b w:val="false"/>
          <w:i/>
          <w:color w:val="000000"/>
          <w:sz w:val="20"/>
        </w:rPr>
        <w:t>bona fide</w:t>
      </w:r>
      <w:r>
        <w:rPr>
          <w:color w:val="000000"/>
        </w:rPr>
        <w:t xml:space="preserve"> </w:t>
      </w:r>
      <w:r>
        <w:rPr>
          <w:rFonts w:ascii="Arial;sans-serif" w:hAnsi="Arial;sans-serif"/>
          <w:b w:val="false"/>
          <w:color w:val="000000"/>
          <w:sz w:val="20"/>
        </w:rPr>
        <w:t xml:space="preserve">written Acquisition Proposal that did not result from a breach of the Company’s obligations under the “no-shop” restrictions and the board of directors of the Company determines in good faith, after consultation with its outside legal counsel and financial advisors, that such Acquisition Proposal (i) constitutes or could reasonably be expected to lead to a Superior Proposal (as defined in the Merger Agreement) or (ii) after consultation with the Company’s outside legal counsel, that the failure to take such action would reasonably be expected to be a breach of the directors’ fiduciary duties under applicable law, the Company may engage in discussions or negotiations with and may provide non-public information relating to the Company to the person making such Acquisition Proposal and change its recommendation that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stockholders approve the adoption of the Merger Agreement, subject to certain notice rights, execution of confidentiality agreements and match rights in favor of Parent.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provisions, along with the cash termination fee described in the risk factor with the heading “If the Merger Agreement is terminated, we may, under certain circumstances, be obligated to pay a termination fee to Parent. These costs could require us to use available cash that would have otherwise been available for other uses”, could discourage a potential competing acquirer that might have an interest in acquiring all or a significant part of the Company’s business from considering or making a competing acquisition proposal, even if the potential competing acquirer was prepared to pay consideration with a higher per share cash value than the per share value proposed to be received or realized in the Merger, or might cause a potential competing acquirer to propose to pay a lower price than it might otherwise have proposed to pay because of the added expense of the termination fee that may become payable in certain circumstances under the Merger Agreement.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and our directors and officers may be subject to lawsuits relating to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Litigation is common in connection with the sale of public companies, challenging the Merger or making other claims in connection therewith, regardless of whether the claims have any merit. Such lawsuits may be brought by our purported stockholders against us and the members of our board of directors and may seek, among other things, to enjoin consummation of the Merger. One of the conditions to consummating the Merger is that no order preventing the consummation of the Merger shall have been issued by any court or other governmental entity that is in effect. Consequently, if any such lawsuit challenging the Merger is successful in obtaining an order preventing the consummation of the Merger, that order may delay or prevent the Merger from being completed. While we will evaluate and defend against any lawsuits, the time and costs of defending against litigation, including the costs associated with the indemnification of directors and officers and other liabilities that may be incurred in connection with lawsuits and other negative effects, such as diversion of resources from the Merger and ongoing business activities, negative publicity or damage to our relationships with business partners, suppliers and customers, could adversely affect our business, results of operations, cash flows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 have incurred, and will continue to incur, substantial direct and indirect transaction-related costs in connection with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incurred significant legal, advisory and financial services fees in connection with Merger. We have incurred, and expect to continue to incur, additional costs in connection with the satisfaction of the various conditions to closing of the Merger, including seeking approval from our stockholders and from applicable regulatory agencies, for which we will have received little or no benefit if the Merger is not completed. If there is any delay in the consummation of the Merger, these costs could increase significantly. There are a number of factors beyond our control that could affect the total amount or the timing of these costs and expenses. Many of these fees and costs will be payable by us even if the Merger is not completed and may relate to activities that we would not have undertaken other than to complete the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directors and executive officers have interests in the Merger that may be different from, or in addition to, the interests of our other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directors and executive officers have financial interests in the Merger that may be different from, or in addition to, the interests of our other stockholders. These interests may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treatment of Company incentive awards;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severance entitlements and other benefits in the case of certain qualifying terminations under the terms of an individual employment agreement or Company severance plan;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retention arrangements for the benefit of certain Company employees;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continued indemnification and insurance coverage under the Merger Agreement, the Company’s organizational documents and indemnification agreements the Company has entered into with its directors and executive officers.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the Merger is completed, our stockholders will forgo the opportunity to benefit from potential future appreciation in the value of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Merger Agreement provides for the stockholders of record of the Company’s common stock to receive cash consideration of $38.50 per share of Company Common Stock, without interest and subject to any applicable withholding taxes, upon the closing of the Merger. The amount of cash per outstanding share of our common stock to be paid under the Merger Agreement is fixed and will not be adjusted for changes in our business, assets, liabilities, prospects, outlook, financial condition or operating results or in the event of any change in the market price of, analyst estimates of, or projections relating to, our common stock. If the transaction is consummated, our stockholders will no longer hold interests in the Company and, therefore, will not be entitled to benefit from any potential future appreciation in the value of the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Business and Strategy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We are dependent upon customer renewals, the addition of new customers and increased revenue from existing customers for our subscription revenue through our LiveRamp platform and</w:t>
      </w:r>
      <w:r>
        <w:rPr>
          <w:color w:val="000000"/>
        </w:rPr>
        <w:t xml:space="preserve"> </w:t>
      </w:r>
      <w:r>
        <w:rPr>
          <w:rFonts w:ascii="Arial;sans-serif" w:hAnsi="Arial;sans-serif"/>
          <w:b/>
          <w:color w:val="000000"/>
          <w:sz w:val="20"/>
        </w:rPr>
        <w:t>our Marketplace and Other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sustain or increase our subscription revenue, we must regularly add new customers and encourage existing customers to maintain or increase their business with us. As the market matures and regulation increases, and as existing and new market participants produce new and different approaches to enable businesses to address their respective needs that compete with our offerings, we may be forced to reduce the prices we charge, unable to renew existing customer agreements, or unable to enter into new customer agreements at the same prices and upon the same terms that we have historically obtained. If our efforts to add new customers are unsuccessful or if our existing customers do not maintain or expand their use of our platform, including by adopting additional offerings and features, our operating results may suffer.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existing customers have no obligation to renew their subscription contracts upon expiration of their contractual subscription period and may not renew their subscription contracts for a variety of reasons. Some customers elect not to renew in the normal course of business, and it is difficult to predict renewal rates. Our renewal rates may decline or fluctuate as a result of a number of factors, including the Merger, customer satisfaction, pricing changes by us or our competitors, new offerings by our competitors, mergers and acquisitions affecting our customer base, regulatory changes such as in privacy, antitrust, or international relations, and reductions in our existing customers’ spending levels or activity. If our existing customers do not renew their subscription contracts or otherwise decrease the amount they spend with us, our subscription revenue would decline and our business would suffer.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decline in new or renewed subscription contracts in any period may not be immediately reflected in our reported financial results for that period but may result in a decline in our subscription revenue in future periods. Moreover, the conditions caused by other factors outside our control, such as economic slowdowns, macroeconomic growth and increasing global geopolitical tensions, have affected, and may continue to affect, directly or indirectly, the rate of spending on advertising products and have adversely affected, and could continue to adversely affect, our existing and prospective customers’ ability or willingness to purchase our offerings, delay our existing and prospective customers’ purchasing decisions, increase pressure for pricing discounts, lengthen payment terms, reduce the value or duration of subscription contracts, or decrease customer renewal rates, all of which could adversely affect our future sales, operating results and overall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loss of a contract upon which we rely for a significant portion of our revenues could adversely affect our operating results. </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Our ten largest customers represented approximately 30% of our revenues in the twelve months ended March 31, 2026. Some of our significant customers have used, and may in the future use, their size and relative importance to our business to require that we enter into agreements with more favorable terms than we would otherwise agree to, to obtain price concessions, or to otherwise restrict our business. The loss of, or decrease in revenue from, any of our significant customers for any reason could have a material adverse effect on our revenue and operating results.</w:t>
      </w:r>
      <w:r>
        <w:rPr>
          <w:color w:val="000000"/>
        </w:rPr>
        <w:t xml:space="preserve"> </w:t>
      </w:r>
      <w:r>
        <w:rPr>
          <w:rFonts w:ascii="Arial;sans-serif" w:hAnsi="Arial;sans-serif"/>
          <w:b w:val="false"/>
          <w:color w:val="000000"/>
          <w:sz w:val="20"/>
        </w:rPr>
        <w:t xml:space="preserve">The material adverse effect on our revenue and operating results may be exacerbated by customer consolidation, changes in technologies or solutions used by our customers, changes in demand for our platform, legal or regulatory changes, market optics, customer bankruptcies or departures from their respective industries, bans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prohibit certain customers from continuing to do business in the United States, pricing or product competition, or deviation from marketing and sales methods, any one of which may result in even fewer contractual relationships accounting for a high percentage of our revenue and reduced demand from any single significant customer.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Data suppliers may withdraw data that we have previously collected or withhold data from us in the future, which could lead to our inability to provide products and services to our customers and could result in a decrease in revenue and loss of customer confidence.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Much of the data that we use is either purchased or licensed from third-party data suppliers, and we are dependent upon our ability to purchase data or obtain necessary data licenses on commercially reasonable terms. We could suffer material adverse consequences if our data suppliers withhold their data from us or materially limit our use of their data, which could occur for a variety of reasons, including, but not limited to, because we fail to maintain sufficient relationships with the data suppliers or because they decline to provide, or are prohibited from providing, such data to us for any reason. For example, data suppliers could withhold their data from us if there is a competitive reason to do so, if we breach our contract with a data supplier, if we breach their expectations of our use of their data, if they are acquired by one of our competitors, if legislation is passed or regulations are adopted restricting or making too difficult the collection, use or dissemination of the data they provide, if market optics become negative regarding the sharing of their data with third parties or allowing the setting of cookies from their sites, if publishers change their privacy policies or user settings, including as a result of legal or regulatory actions, in a material manner that turns off or diminishes the volume of data we receive, or if judicial interpretations are issued restricting use of such data. Further, definitions in enacted or proposed state-level data broker legislation apply to us, potentially exposing the Company to negative perceptions and diminishing data available to it. Additionally, we could terminate relationships with our data suppliers if they fail to adhere to our data quality standards or their legal and/or other contractual commitments. If a substantial number of data suppliers were to withdraw or withhold their data from us or substantially limit our use of their data, or if we were to sever ties with our data suppliers, our ability to provide products and services to our customers could be materially adversely impacted, which could result in decreased revenues and operating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business is subject to substantial competition from a diverse group of competitors. New products and pricing strategies introduced by these competitors could decrease our market share or cause us to lower our prices in a manner that reduces our revenues and operating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operate in a highly competitive and rapidly changing industry. With the introduction of new technologies, including Artificial Intelligence ("AI"), and the influx of new entrants to the market, we expect competition to persist and intensify in the future, which could harm our ability to increase revenue and operating results. In addition to existing competitors and intermediaries, we may also face competition from new companies entering the market, including large established companies, all of which currently offer, or may in the future offer, products and services that result in additional competition. Our competitors may be in a better position to develop new products and pricing strategies that more quickly and effectively respond to changes in customer requirements in our markets, which may be disruptive to our existing platform offerings and result in operating inefficiencies and increased competitive pressure. Some of our competitors may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failure to attract, recruit, onboard and retain qualified personnel could hinder our ability to successfully execute our business strategy, which could have a material adverse effect on our financial position and operating results. </w:t>
      </w:r>
    </w:p>
    <w:p>
      <w:pPr>
        <w:pStyle w:val="TextBody"/>
        <w:bidi w:val="0"/>
        <w:spacing w:lineRule="auto" w:line="288" w:before="0" w:after="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growth strategy and future success depend in large part on our ability to attract, recruit, onboard, motivate and retain technical, customer services, sales, consulting, research and development, marketing, administrative and management personnel. The complexity of our products, processing functionality, software systems and services requires highly trained professionals. While we presently have a sophisticated, dedicated and experienced team of executives and employees who have a deep understanding of our business, the labor market for these individuals has historically been very competitive due to the limited number of people available with the necessary technical skills and understanding and the number of these individuals available could be diminished by changes in immigration regulations and other restrictions. As our industry continues to become more technologically advanced, we anticipate increased competition for qualified personnel. In addition, many of the companies with which we compete for experienced personnel may be able to offer greater compensation and benefits packages and/or more flexible work alternatives. We may incur significant costs to attract and retain highly trained personnel and we may lose new employees to our competitors or other technology companies before we realize the benefit of our investment in recruiting and training them, and our succession plans may be insufficient to ensure business continuity if we are unable to retain key personnel. Further, volatility or lack of appreciation in our stock price and the Merger may also affect our ability to attract and retain our key employees. The loss or prolonged absence of the services of highly trained personnel like our current team of executives and employees, or the inability to recruit, attract, onboard and retain additional, qualified employees, could have a material adverse effect on our business, financial position or operating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effective succession planning is important to our long-term success. If we do not develop effective succession planning, the loss of one or more of our key executive or employees or groups of executives or employees could seriously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we cannot maintain our culture as we grow, we could lose the innovation, teamwork, passion and focus on execution that we believe contribute to our success, and our business may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proactively focus on and pursue our corporate objectives. We have offered most of our employees the flexibility to determine the amount of time they work in the office, and the majority of our employees continue to work remotely. Remote work may present operational challenges and risks, including negative employee morale and productivity, low employee retention, and increased compliance and tax obligations in a number of jurisdictions. If we fail to maintain our company culture, our business may be adversely impacted.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Failure to keep up with rapidly changing technologies and marketing practices could cause our products and services to become less competitive or obsolete, which could result in loss of market share and decreased revenues, thereby impacting our results of operations.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Advances in information technology, including AI, are changing the way our customers use and purchase information products and services and may be disruptive to our existing platform offerings. Maintaining the technological competitiveness of our products, processing functionality, software systems and services is key to our continued success.  However, the complexity and uncertainty regarding the development of new technologies and the extent and timing of market acceptance of innovative products and services create difficulties in maintaining this competitiveness.  Without the timely introduction of new products, services and enhancements that comply with changing laws and standards, including through the use of new and emerging technologies (e.g., AI and machine learning), we could be at a competitive disadvantage and our offerings will become technologically or commercially obsolete over time, in which case our revenue and operating results would suffer. Furthermore, the expected benefits from the utilization of technological innovations (including AI) may not be realized as soon as expected or at all.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Consumer needs and expectations and the business information industry as a whole are in a constant state of change.  Our ability to continually improve our current processes and products in response to changes in technology and to develop new products and services are essential in maintaining our competitive position, preserving our market share and meeting the increasingly sophisticated requirements of our customers.  If we fail to enhance our current products and services or fail to develop new products in light of emerging technologies, industry standards, and regulations, we could lose customers to current or future competitors, which could result in impairment of our growth prospects, loss of market share and decreased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operations outside the United States are subject to risks that may harm the Company’s business, financial condition or results of operations. </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2026, we received approximately 6% of our revenues from business outside the United States. In those non-U.S. locations where legislation restricting the collection and use of personal data currently exists, less data is available and at a much higher cost. In some foreign markets, the types of products and services we offer have not been generally available and thus are not fully understood by prospective customers. Upon entering these markets, we must educate and condition the markets, increasing the cost and difficulty of successfully executing our business plan in these markets. Additionally, each of our foreign locations is generally expected to fund its own operations and cash flows, although periodically funds may be loaned or invested from the United States to the foreign subsidiaries. Because of such loans or investments, exchange rate movements of foreign currencies may have an impact on our future costs of, or future cash flows from, foreign investments. We have not entered into any foreign currency forward exchange contracts or other derivative instruments to hedge the effects of adverse fluctuations in foreign currency exchange rates.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risks inherent in our non-U.S. business activities generally include, among others, the costs and difficulties of managing international operations, potentially adverse tax consequences, and greater difficulty enforcing intellectual property rights. The various risks that are inherent in doing business in the United States are also generally applicable to doing business outside of the United States, but such risks may be exaggerated by factors normally associated with international operations, such as differences in culture, laws and regulations, especially restrictions on collection, management, aggregation, localizations, and use of information. Failure to effectively manage the risks facing our non-U.S. business activities could materially adversely affect our operating results. Also, our business is vulnerable to weak international economic conditions, geopolitical developments, such as existing and potential trade wars, and other events outside of our control that could result in a reduced volume of business by our customers and prospective customers, and the demand for, and use of, our products and services may decline. For example, the military conflicts in Europe and the Middle East could result in regional instability and adversely impact financial markets as well as economic conditions, and any economic and political uncertainty caused by the U.S. tariffs imposed on goods from various countries, and any corresponding tariffs from those countries in response, could negatively impact financial markets and economic conditions. In addition, when operating in foreign jurisdictions, we must comply with complex foreign and U.S. laws and regulations, such as the U.S. Foreign Corrupt Practices Act, the U.K. Bribery Act and other local laws prohibiting corrupt payments to government officials, as well as anti-competition regulations and data protection laws and regulations, such as the U.S. Department of Justice's Data Security Program. Violations of these laws and regulations could result in fines and penalties, criminal sanctions, and restrictions on our business conduct and on our ability to offer our products and services in one or more countries. Such violations could also adversely affect our reputation with existing and prospective customers, which could negatively impact our operating results and growth prospects.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Public health emergencies may result in global, national and/or regional economic uncertainty, and measures taken in response to such emergencies could impact our business and future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COVID-19 pandemic disrupted the flow of the economy and put unprecedented strains on governments, health care systems, educational institutions, businesses and individuals around the world, and future public health emergencies could result in the same. Future public health emergencies could result in significant disruptions to the global financial markets and economic uncertainty, as well as regional quarantines, labor shortages or stoppages, changes in consumer purchasing patterns, disruptions to service providers to deliver data on a timely basis, or at all, and overall economic instability. Any future public health emergencies could materially and adversely affect our business, our operating results, financial condition and prospects, and the value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 significant breach of the confidentiality of the information we hold or of the security of our or our customers’, suppliers’, or other partners’ computer systems could be detrimental to our business, reputation and results of operations.</w:t>
      </w:r>
    </w:p>
    <w:p>
      <w:pPr>
        <w:pStyle w:val="TextBody"/>
        <w:bidi w:val="0"/>
        <w:spacing w:lineRule="auto" w:line="288" w:before="0" w:after="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requires the storage, transmission and utilization of data, including personally identifiable information, much of which must be maintained on a confidential basis. These activities may make us a target of cyberattacks from malicious third parties seeking unauthorized access to the data we maintain, including our data and customer data, or to disrupt our ability to provide service. Any failure to prevent or mitigate security breaches and improper access to or disclosure of the data we maintain, including personal information, could result in the loss or misuse of such data, which could harm our business and reputation and diminish our competitive position. Our customers and suppliers are increasingly imposing more rigorous contractual obligations on us relating to data security protections. If we are unable to maintain protections and processes at a level equal to that required by our customers and suppliers, it could negatively affect our relationships with those customers and suppliers or increase our operating costs. In addition, computer malware, viruses, social engineering, ransomware, phishing and general hacking have become more prevalent, and events outside of our control, such as the military conflicts in Europe and the Middle East, and economic and political uncertainty caused by the U.S. tariffs could result in a further increase in such activities. As a result of the types and volume of personal data on our systems, we believe that we are a particularly attractive target for such breaches and attacks.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recent years, the frequency, severity and sophistication of cyberattacks, computer malware, viruses, social engineering, ransomware, phishing and other intentional misconduct by computer hackers have significantly increased, including the ability to evade detection or obscure their activities, and government agencies and security experts have warned about the growing risks of hackers, cyber criminals and other potential attackers targeting information technology systems. Such third parties could attempt to gain entry to our systems for the purpose of stealing data or disrupting the systems. In addition, our security measures may also be breached due to employee error, malfeasance, system errors or vulnerabilities, including vulnerabilities of our vendors, suppliers, their products, or otherwise. Third parties may also attempt to fraudulently induce employees or customers into disclosing sensitive information such as usernames, passwords or other information to gain access to our customers’ data or our data, including intellectual property and other confidential business information. The COVID-19 pandemic generally increased opportunities available to hackers and cyber criminals as more companies and individuals continue to work online from remote locations than prior to the pandemic. We believe we have taken appropriate measures to protect our systems from intrusion, but we cannot be certain that advances in criminal capabilities, discovery of new or existing vulnerabilities in our systems and attempts to exploit those vulnerabilities, physical system or facility break-ins and data thefts or other developments will not compromise or breach the technology protecting our systems and the information we possess.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Although we have developed systems and processes that are designed to protect our data, our customer data, and data transmissions to prevent data loss, and to prevent or detect security breaches, our databases may be subject to unauthorized access by third parties, and we may incur significant costs in protecting against or remediating cyberattacks. Any security breach could result in operational disruptions that impair our ability to meet our customers’ requirements, which could result in decreased revenues. Also, whether there is an actual or a perceived breach of our security, our reputation could suffer significant harm, causing our current and prospective customers to reject our products and services in the future and deterring data suppliers from supplying us data. Further, we could be forced to expend significant resources in response to a security breach, including those expended in repairing system damage, increasing cybersecurity protection costs by deploying additional personnel and protection technologies, and litigating and resolving legal claims or governmental inquiries and investigations, all of which could divert the attention of our management and key personnel away from our business operations. In any event, a significant security breach could materially harm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customers, suppliers and other partners are primarily responsible for the security of their information technology environments, and we rely heavily on them and other third parties to supply clean data content and/or to utilize our products and services in a secure manner. Each of these third parties may face risks relating to cybersecurity, which could disrupt their businesses and therefore materially impact ours. While we provide guidance and specific requirements in some cases, we do not directly control any of such parties’ cybersecurity operations, or the amount of investment they place in guarding against cybersecurity threats. Accordingly, we are subject to any flaw in or breaches of their systems, which could materially impact our business, operations and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Finally, while we maintain cyber liability insurance coverage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financial results and reputation.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Unfavorable publicity and negative public perception about our industry could adversely affect our business and operating results.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the growth of online advertising and e-commerce, there is increasing awareness and concern among the general public, privacy advocates, mainstream media, governmental bodies and others regarding marketing, advertising, and data privacy matters, particularly as they relate to individual privacy interests and the global reach of the online marketplace. Any unfavorable publicity or negative public perception about us, our industry, including our competitors, or even other data-focused industries can affect our business and results of operations, and may lead to digital publishers changing their business practices or additional regulatory scrutiny or lawmaking that affects us or our industry. For example, in recent years, consumer advocates, mainstream media, elected officials and government officials have increasingly and publicly criticized the data and marketing industry for its collection, storage and use of personal data. Additional public scrutiny may lead to general distrust of our industry, consumer reluctance to share and permit use of personal data and increased consumer opt-out rates, any of which could negatively influence, change or reduce our current and prospective customers’ demand for our products and services and adversely affect our business and operating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Interruptions or delays in service from our third-party data center providers could impair our ability to deliver our products and services to our customers, resulting in customer dissatisfaction, damage to our reputation, loss of customers, limited growth and reduction in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serve the majority of our platform functions from third-party data center hosting facilities operated by Google Cloud Platform and Amazon Web Services. Our operations depend, in part, on our third-party facility providers’ abilities to protect these facilities against any damage or interruption from natural disasters, such as earthquakes and hurricanes, power or telecommunication failures, criminal acts and similar events. In the event that any of our third-party facilities arrangements are terminated, or if there is a lapse of service or damage to a facility, we could experience interruptions in our platform as well as delays and additional expenses in arranging new facilities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hurricanes, an act of terrorism, destruction,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and no assurance can be provided that any interruptions would be remediated without significant cost or in a timely manner or at all. Also, in the event of damage or interruption, our insurance policies may not adequately compensate us for any losses that we may incur. These factors in turn could further reduce our revenue by subjecting us to liability, causing us to issue credits or causing customers to fail to renew their subscriptions, any of which could materially adversely affect our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We</w:t>
      </w:r>
      <w:r>
        <w:rPr>
          <w:color w:val="000000"/>
        </w:rPr>
        <w:t xml:space="preserve"> </w:t>
      </w:r>
      <w:r>
        <w:rPr>
          <w:rFonts w:ascii="Arial;sans-serif" w:hAnsi="Arial;sans-serif"/>
          <w:b/>
          <w:color w:val="000000"/>
          <w:sz w:val="20"/>
        </w:rPr>
        <w:t>are dependent on the continued availability of third-party data hosting and transmission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As the use of “third-party cookies” or other tracking technology continues to be pressured by Internet users, restricted or otherwise subject to unfavorable regulation, blocked or limited by technical changes on end users’ devices, or our and our customers’ ability to use data on our platform is otherwise restricted, our business could be materially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Digital advertising mostly relies on the use of cookies, pixels and other similar technology, including mobile device identifiers that are provided by mobile operating systems for advertising purposes, which we refer to collectively as cookies, to collect data about interactions with users and devices. We utilize third-party cookies, which are cookies owned and used by parties other than the owners of the website visited by the Internet user. Our cookies are used to record information tied to a random unique identifier, including such information as when an Internet user views an ad, clicks on an ad or visits one of our advertiser’s websites through a browser while the cookie is active. We use cookies to help us achieve our advertisers’ campaign goals on the web, to limit the instances that an Internet user sees the same advertisement, to report information to our advertisers regarding the performance of their advertising campaigns and to detect and prevent malicious behavior and invalid traffic throughout our network of inventory. Additionally, our customers use cookies and other technologies to add information they have collected or acquired about users into our platform. Without such data, our customers may not have sufficient insight into an Internet user’s activity, which may compromise their ability to determine which inventory to purchase for a specific campaign and undermine the effectiveness of our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Cookies may be deleted or blocked by Internet users who do not want information to be collected about them. The most commonly used Internet browsers—Chrome, Firefox, Internet Explorer and Safari—allow Internet users to modify their browser settings to prevent cookies from being accepted by their browsers. Google announced in January 2020 that the Chrome browser would begin blocking third-party cookies within 24 months and began releasing updates with features intended to phase out third-party cookies. However, in April 2025, Google announced that after further consideration it will not be rolling out a new standalone prompt for third-party cookies in Chrome and third-party cookies will remain with the current opt-out functionality. While Google has determined not to deprecate cookies or roll out a new standalone prompt for third-party cookies in Chrome at this time, it is possible that Google's ongoing efforts in this area may have a substantial impact on the ability to collect and use data from Internet users. Mobile devices allow users to opt out of the use of mobile device IDs for targeted advertising. Additionally, the Safari browser currently blocks some third-party cookies by default and has recently added controls that algorithmically block or limit some cookies. Other browsers have added similar controls. In addition, Internet users can delete cookies from their computers at any time. Some Internet users also download free or paid ad blocking software that not only prevents third-party cookies from being stored on a user’s computer, but also blocks all interaction with a third-party ad server. Google has introduced ad blocking software in its Chrome web browser that will block certain ads based on quality standards established under a multi-stakeholder coalition. Additionally, the DAA, NAI, their international counterparts, and our company have certain opt-out mechanisms for users to opt out of the collection of their information via cookies. If more Internet users adopt these settings or delete their cookies more frequently than they currently do, or restrictions are imposed by advertisers and publishers, there are changes in technology or new developments in laws, regulations or industry standards around cookies, our business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CTVs or over-the-top video, are still developing. Technical or policy changes, including regulation or industry self-regulation, could harm our growth in those channels.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and state statutes are beginning to incorporate the obligation to honor them. However, the potential regulatory and self-regulatory landscape is inherently uncertain, and there is not yet a consensus definition of tracking, nor agreement on what would be covered by 'do-not-track' functionality. There is activity by the major Internet browsers to default set on 'do-not-track' functionality, including by Safari and Firefox. In addition, state laws such as the California Opt Me Out Act, make it a requirement for browsers to support new opt out signals. It is not clear how many other Internet browsers will follow. Substantial increases in the rate and number of people opting out of various data collection processes could have a negative impact on our business and the ecosystems in which we operate.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in the EU, Directive 2002/58/EC (as amended by Directive 2009/136/EC), commonly referred to as the ePrivacy or Cookie Directive, directs EU member states to ensure that accessing information on an Internet user’s device, such as through a cookie and other similar technologies, is allowed only if the Internet user has been informed about such access and given his or her consent. The EU regulatory framework governing cookies and similar technologies continues to evolve. While the existing ePrivacy Directive (as implemented by EU member states) operates alongside the GDPR, regulators have taken increasingly strict positions on consent requirements and enforcement. In addition, the European Commission's Digital Omnibus package, proposed in November 2025, includes amendments to the ePrivacy Directive that could, if adopted, introduce a centralized browser-based consent framework and further restrict the use of cookies and similar tracking technologies. Ongoing policy developments and regulatory interpretations may further limit the lawful bases available for processing data collected through cookies and similar technologies and increase compliance burdens and potential penalties. Limitations on the use or effectiveness of cookies, or other limitations on our, or our customers’, ability to collect and use data for advertising, whether imposed by EU member state implementations of the Cookie Directive or otherwise, may impact the performance of our platform. We may be required to, or otherwise may determine that it is advisable to, make significant changes in our business operations and product and services to obtain user opt-in for cookies and use of cookie data, or develop or obtain additional tools and technologies to compensate for a lack of cookie data. We may not be able to make the necessary changes in our business operations and products and services to obtain user opt-in for cookies and use of cookie data, or develop, implement or acquire additional tools that compensate for a lack of cookie data. Moreover, even if we are able to do so, such additional products and tools may be subject to further regulation, time consuming to develop or costly to obtain, and less effective than our current use of cookies.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Climate change may have an impact on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of our primary locations may be vulnerable to the adverse effects of climate change. For example, our offices and facilities in California have experienced, and are projected to continue to experience, climate-related events at an increasing frequency, including drought, water scarcity, heat waves, wildfires and resultant air quality impacts and power shutoffs associated with wildfire prevention. Furthermore, it may be more difficult to mitigate the impact of these events on our remote employees working from home. Changing market dynamics, global policy developments and the increasing frequency and impact of extreme weather events on critical infrastructure in the United States and elsewhere have the potential to disrupt our business, the business of our third-party suppliers and the business of our customers, and may cause us to experience higher churn, losses and additional costs to maintain or resume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Government Regulation and Taxation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legislative, judicial, regulatory, or cultural environments relating to information collection and use may limit our ability to collect and use data. Such developments could cause revenues to decline, increase the cost and availability of data and adversely affect the demand for our products and services.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receive, store and process personal information and other data from and about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United States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In addition, the European Union has been developing new requirements related to the use of data, including in the Digital Services Act, that may impose additional rules and restrictions on the use of the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particular, interest-based advertising, or the use of data to draw inferences about a user’s interests and deliver relevant advertising to that user, and similar or related practices, such as cross-device data collection and aggregation, steps taken to de-identify or pseudonymize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pseudonymous identifiers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Google announced in January 2020 that the Chrome browser would begin blocking third-party cookies within 24 months and began releasing updates with features intended to phase out third-party cookies. However, in April 2025, Google announced that after further consideration it will not be rolling out a new standalone prompt for third-party cookies in Chrome and third-party cookies will remain with the current opt-out functionality. While Google has determined not to deprecate cookies or roll out a new standalone prompt for third-party cookies in Chrome at this time it is possible that Google's ongoing efforts in this area may have a substantial impact on the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were to be adopted more broadly in the United States, less data would be available, and the cost of data would be higher. For example, California enacted legislation, the California Consumer Privacy Act (“CCPA”), that became operative on January 1, 2020 and came under California Attorney General ("AG") enforcement on July 1, 2020. The CCPA requires covered companies to, among other things, provide new disclosures to California consumers and afford such consumers new abilities to opt-out of certain sales of personal information, a concept that is defined broadly. </w:t>
      </w:r>
    </w:p>
    <w:p>
      <w:pPr>
        <w:pStyle w:val="TextBody"/>
        <w:bidi w:val="0"/>
        <w:spacing w:lineRule="auto" w:line="288" w:before="0" w:after="0"/>
        <w:jc w:val="left"/>
        <w:rPr/>
      </w:pPr>
      <w:r>
        <w:rPr>
          <w:rFonts w:ascii="Arial;sans-serif" w:hAnsi="Arial;sans-serif"/>
          <w:b w:val="false"/>
          <w:color w:val="000000"/>
          <w:sz w:val="20"/>
        </w:rPr>
        <w:t>The CCPA is the subject of regulations issued by the California AG. In November 2020 California voters also approved the ballot initiative known as the California Privacy Rights Act of 2020 (“CPRA”). Pursuant to the CPRA, effective January 1, 2023, the CCPA was amended by creating additional privacy rights for California consumers and additional obligations on businesses, which could subject us to additional compliance costs as well as possible fines, individual claims and commercial liabilities for certain compliance failures. In addition, California enacted the Delete Act (SB 362) in October 2023, which requires data brokers to register annually with the California Privacy Protection Agency and, beginning August 1, 2026, to process consumer deletion requests submitted through a centralized Delete Request and Opt-out Platform ("DROP"), a state-hosted mechanism that allows California consumers to request deletion of their personal information from all registered data brokers through a single request. Since the CCPA, a majority of the population of the United States is now covered by state data collection and use privacy laws</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Together with the CCPA and CPRA, these are referred to throughout as "State Consumer Privacy Acts." Each of these State Consumer Privacy Acts were effective as of January 1, 2026. Many other states currently have comprehensive and/or sector or data-specific bills winding their way through their legislatures.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yet predict the full impact of the State Consumer Privacy Acts on our business or operations, but they may require us to modify our data processing practices and policies and to incur substantial costs and expenses in an effort to comply. The State Consumer Privacy Acts have prompted a number of proposals for federal and other state privacy legislation that, if enacted, could increase our exposure to potential liability, add additional complexity to compliance in the U.S. market and increase our compliance costs. For example, other states have enacted or are considering legislation similar to that of the State Consumer Privacy Act statutory frameworks, including legislation that would require individuals to “opt-in” to the collection of certain consumer data. Decreased availability and increased costs of information could adversely affect our ability to meet our customers’ requirements and could result in decreased 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a growing number of states that have adopted laws that impact the collection and use of data that could create additional risks and require costly expenditures to ensure continued compliance. At the United States Federal level, Congress continues to study whether to adopt new data collection and use laws. The FTC over the last several years has been asserting expansive interpretations of its authority, which could create additional risks, increase costs of compliance and adversely impact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Europe, the European General Data Protection Regulation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For example, the GDPR requires offering a variety of controls to individuals in Europe before processing data for certain aspects of our service. In addition, the GDPR includes significant penalties for non-compliance of up to the greater of €20 million or 4% of an enterprise’s global annual revenue. The European Commission's Digital Omnibus package, proposed in November 2025, includes amendments to the ePrivacy Directive and GDPR that could impose additional consent requirements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compliance obligations relating to the use of cookies and similar technologies. In addition, some countries are considering or have passed legislation or interpretations implementing data protection requirements or requiring local storage and processing of data or similar requirements that could increase the cost and complexity of delivering our services. Any failure to achieve required data protection standards may result in lawsuits, regulatory fines, or other actions or liability, all of which may harm our operating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also subject to laws, regulations and other restrictions that dictate whether, how, and under what circumstances we can transfer, process and/or receive certain data that is critical to our operations, including data shared between countries or regions in which we operate, and data shared among our products and services. For example, in July 2023, the EU adopted an adequacy decision for the EU-U.S. Data Privacy Framework ("DPF"), allowing the DPF to facilitate the transfer of data from Europe to the United States, and with the U.K. Extension, also from the U.K. to the United States. In addition, the other bases upon which we rely to legitimize the transfer of such data, such as Standard Contractual Clauses, have been subjected to regulatory and judicial scrutiny. If any of the legal bases upon which we currently rely for transferring data from Europe to the United States are invalidated, if we are unable to transfer data between and among countries and regions in which we operate, or if we are prohibited from sharing data among our products and services, it could affect the manner in which we provide our services or adversely affect our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the interpretation and application of privacy and data protection laws, regulations and standards are uncertain, it is possible that these laws, regulations and standards may be interpreted and applied in manners that are, or are asserted to be, inconsistent with our data management practices or the technological features of our solutions. If so, in addition to the possibility of fines, investigations, lawsuits and other claims and proceedings, it may be necessary or desirable for us to fundamentally change our business activities and practices or modify our products and services, which could have an adverse effect on our business. We may be unable to make such changes or modifications in a commercially reasonable manner or at all. Any inability to adequately address privacy concerns, even if unfounded, or any actual or perceived failure to comply with applicable privacy or data protection laws, regulations, standards or policies, could result in additional cost and liability to us, damage our reputation, decrease the availability of and increase costs for information,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tax laws, changes in valuation allowance, and examinations by tax authorities could have a material adverse effect on our results of operations, cash flows,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subject to income tax, sales tax, and other tax laws in the U.S. and other jurisdictions. Changes in tax laws, or changes in the interpretation or enforcement of those laws, could materially increase tax expense. These changes could include increases in statutory tax rates, reductions or eliminations of tax benefits from net operating losses or tax credits, and the application of sales taxes to additional goods and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tax assets are reduced by a valuation allowance when it is more likely than not that some portion of the related tax benefits will not be realized. Changes in valuation allowance could materially increase income tax expense. Unrecognized tax benefits arise from tax positions for which the related tax benefit has not been fully recognized. A tax benefit is recognized if it is more likely than not that a tax position will be sustained upon examination by the relevant tax authority. Adverse outcomes of examinations could materially increase income tax expense and result in interest and penalties.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Third parties may claim that we are infringing their intellectual property and we could suffer significant litigation or licensing expenses or be prevented from developing or selling products or services. Additionally, third parties may infringe our intellectual property and we may suffer competitive injury or expend significant resources enforcing our rights.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our business is focused on data-driven results and analytics, we rely heavily on proprietary information technology, processes and other protectable intellectual property rights. From time to time, third parties may claim that one or more of our products or services infringe their intellectual property rights. We analyze and take action in response to such claims on a case-by-case basis. Any dispute or litigation regarding patents or other intellectual property, whether they are with or without merit, could be costly and time-consuming due to the complexity of our technology and the uncertainty of intellectual property litigation, which could divert the attention of our management and key personnel away from our business operations, even if ultimately determined in our favor. A claim of intellectual property infringement could force us to enter into a costly or restrictive license or royalty agreement, which might not be available under acceptable terms or at all, could require us to pay significant damages (including attorneys’ fees), could subject us to an injunction against development and sale of certain of our products or services, could require us to expend additional development resources to redesign our technology and/or could require us to indemnify our partners and other third parties, any or all of which could have a material adverse effect on our business and results of operations. In addition, our proprietary portfolio consists of various intellectual property rights, including patents, copyrights, database rights, source code, trademarks, trade secrets, know-how, confidentiality provisions and licensing arrangements. The extent to which such rights can be protected varies from jurisdiction to jurisdiction. Our competitive position may suffer if we do not enforce our intellectual property rights vigorously and successfully and we may expand significant resources enforcing our intellectual property rights, either or both of which could harm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1B.  Unresolved Staff Comments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1C. Cybersecurity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customers’ and partners’ trust is crucial to our business; as such, a cybersecurity incident impacting the confidentiality, integrity, or availability of LiveRamp’s systems or the data we process may have a significant impact on our strategy, operations, and financials. Direct impacts may include fees, penalties, or loss of customer revenue. While we do not believe our strategy, operations, and financials have been materially affected by risks from cybersecurity threats, we cannot provide assurances that they will not be materially affected in the future by such risks. For additional information regarding risks from cybersecurity threats, please refer to Item 1A, “Risk Factors,”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order to mitigate cybersecurity risk, LiveRamp maintains a security program based on widely known and accepted industry standards, including NIST CSF, ISO 27001, and SOC 2. Aligning to these standards allows our program to adjust to changing conditions such as new technology, industry best practices, or organizational risk tolerance.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Security Governance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Oversight of our security program starts at the Board level. On an annual basis, the enterprise risk team reports to the full Board regarding the top ten enterprise risks, including cybersecurity. Additionally, on a quarterly basis, the Audit/Finance Committee receives presentations by LiveRamp security, highlighting any risks, initiatives, and/or relevant industry trends.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maintains a Security Charter which establishes the overall security program, appoints responsibility and authority to the Chief Information Security Officer (CISO), and establishes a Security Action Committee (SAC) to provide leadership and oversight. LiveRamp’s CISO has over 20 years of experience as the Company’s security leader and maintains several industry standard security certifications. The members of the security leadership team, who report directly to the CISO, each have at least a decade of experience relevant to their area of responsibility.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SAC includes leadership across our security, enterprise risk management, internal audit, engineering, product, data ethics, legal, and commercial teams. The SAC is responsible for reviewing and approving major updates to LiveRamp’s security policies and standards, reviewing and recommending actions related to exceptions to the security program, ensuring that the security program is in alignment with business objectives, ensuring that the organization has appropriate training and awareness related to security, and providing leadership and support for the security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Cybersecurity is also a responsibility of all LiveRamp employees. All employees must undergo annual security awareness training, which covers topics including, but not limited to, phishing, incident reporting, insider threat, and LiveRamp's Security and Acceptable Use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Security Risk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also maintains a security risk management program overseen by our CISO and aligned with the Company’s overall Enterprise Risk Management strategy. The security risk management program includes processes for consistently identifying, classifying, analyzing, and documenting risk. Throughout the year, LiveRamp’s security team conducts risk assessments focused on a particular product or compliance scope. Risks are documented and communicated to relevant stakeholders.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internal teams and resources, LiveRamp leverages a variety of third parties in support of our security risk management efforts. Third-party managed services are used to support functions including our Security Operations Center, forensic incident response, and incident response tabletop exercises. Third-party providers are also utilized for penetration testing and for a bug bounty program. Third-party tooling is utilized in support of functions including threat intelligence, security logging, security information and event management (SIEM), vulnerability scanning, email protection, security awareness training, secure development training, cloud posture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secret management, identity and access management, and anti-malware. Furthermore, following the shared responsibility model with our cloud service providers, we rely on their implementation of certain security controls, such as physical 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External auditors regularly examine LiveRamp’s security posture. We engage with auditors directly on an annual basis to assess controls specific to a particular scope and compliance standard (e.g. SOC 2 or ISO 27001). External auditors also perform assessments on behalf of our customers to validate our compliance with specific customer requirements. Furthermore, on a periodic basis, an external audit is sponsored by the Board of Directors to perform an independent assessment of the capability maturity of LiveRamp’s security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order to mitigate risk associated with the use of third parties, LiveRamp maintains a third-party risk management program, incorporating the review of third parties by data ethics and security teams. A third party’s inherent security risk is determined by identifying their level of access to our systems and data. Third parties with a high inherent risk or with access to sensitive data types undergo a review of their security controls, wherein LiveRamp reviews the third party’s responses to a security due diligence questionnaire, external audit reports, penetration test reports, and/or security policies. A residual score is then determined based on the third party’s controls and/or operational impact to LiveRamp. LiveRamp does not approve the use of any third parties with an inadequate security posture. For third parties handling personal information, LiveRamp also conducts legal and privacy due diligence to assess legal and privacy risks and apply mitigations where appropriate. LiveRamp security also conducts ongoing monitoring of existing third parties. On a cadence determined by the third party’s residual risk level, controls are re-evaluated to ensure that the security controls of the third party have not been diminished.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u w:val="single"/>
        </w:rPr>
        <w:t>Item 2.  Properties</w:t>
      </w:r>
      <w:r>
        <w:rPr>
          <w:color w:val="EE2724"/>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LiveRamp is headquartered in San Francisco, California with additional locations in the United States.  We also have a physical presence in Europe and the Asia-Pacific region. As we have only one business segment, all of the properties listed below are used exclusively by it. In general, our facilities are in good condition, and we believe that they are adequate to meet our current needs. The table below sets forth the location, form of ownership and general use of our principal properties currently being used.</w:t>
      </w:r>
    </w:p>
    <w:tbl>
      <w:tblPr>
        <w:tblW w:w="4854" w:type="dxa"/>
        <w:jc w:val="left"/>
        <w:tblInd w:w="0" w:type="dxa"/>
        <w:tblLayout w:type="fixed"/>
        <w:tblCellMar>
          <w:top w:w="28" w:type="dxa"/>
          <w:left w:w="28" w:type="dxa"/>
          <w:bottom w:w="28" w:type="dxa"/>
          <w:right w:w="28" w:type="dxa"/>
        </w:tblCellMar>
      </w:tblPr>
      <w:tblGrid>
        <w:gridCol w:w="836"/>
        <w:gridCol w:w="734"/>
        <w:gridCol w:w="739"/>
        <w:gridCol w:w="109"/>
        <w:gridCol w:w="109"/>
        <w:gridCol w:w="109"/>
        <w:gridCol w:w="209"/>
        <w:gridCol w:w="209"/>
        <w:gridCol w:w="213"/>
        <w:gridCol w:w="109"/>
        <w:gridCol w:w="109"/>
        <w:gridCol w:w="109"/>
        <w:gridCol w:w="367"/>
        <w:gridCol w:w="367"/>
        <w:gridCol w:w="52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Use</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 Francisco,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Little Rock, Arkansas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Seattle, 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London, England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Paris, 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Asia-Pacific: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Shanghai,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Nantong,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Sydney,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Hyderabad, 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space</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3.  Legal Proceedings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The information required by this item is set forth under Note 12, "Commitments and Contingencies" to our Consolidated Financial Statements, which appears in the Financial Supplement at page F-</w:t>
      </w:r>
      <w:hyperlink w:anchor="icd3c643dc0b84294b83d26bde1788a30_118">
        <w:r>
          <w:rPr>
            <w:rStyle w:val="InternetLink"/>
            <w:rFonts w:ascii="Arial;sans-serif" w:hAnsi="Arial;sans-serif"/>
            <w:b w:val="false"/>
            <w:color w:val="0000FF"/>
            <w:sz w:val="20"/>
            <w:u w:val="single"/>
          </w:rPr>
          <w:t>44</w:t>
        </w:r>
      </w:hyperlink>
      <w:r>
        <w:rPr>
          <w:rFonts w:ascii="Arial;sans-serif" w:hAnsi="Arial;sans-serif"/>
          <w:b w:val="false"/>
          <w:color w:val="000000"/>
          <w:sz w:val="20"/>
        </w:rPr>
        <w:t xml:space="preserve">, and is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4.  Mine Safety Disclosures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u w:val="single"/>
        </w:rPr>
        <w:t>Item 5.  Market for Registrant's Common Equity, Related Stockholder Matters and Issuer Purchases of Equity Securities</w:t>
      </w:r>
      <w:r>
        <w:rPr>
          <w:color w:val="000000"/>
        </w:rPr>
        <w:t> </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Market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outstanding shares of LiveRamp's common stock are listed and traded on the New York Stock Exchange under the symbol "RAMP."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Stockholders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May 15, 2026, the approximate number of record holders of the Company’s common stock was 870.</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not paid dividends on its common stock in the twelve months ended March 31, 2026 or 2025. The board of directors may consider paying dividends in the future but has no plans to pay dividends in the short term.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Performance Graph</w:t>
      </w:r>
    </w:p>
    <w:p>
      <w:pPr>
        <w:pStyle w:val="TextBody"/>
        <w:bidi w:val="0"/>
        <w:spacing w:lineRule="auto" w:line="288" w:before="0" w:after="0"/>
        <w:jc w:val="left"/>
        <w:rPr>
          <w:color w:val="0563C1"/>
        </w:rPr>
      </w:pPr>
      <w:r>
        <w:rPr>
          <w:color w:val="0563C1"/>
        </w:rPr>
        <w:t> </w:t>
      </w:r>
    </w:p>
    <w:p>
      <w:pPr>
        <w:pStyle w:val="TextBody"/>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 xml:space="preserve">The graph below compares LiveRamp Holdings, Inc.'s cumulative 5-year total shareholder return on common stock with the cumulative total returns of the Russell 2000 index and S&amp;P 400 IT Consulting and Other Services index. The graph tracks the performance of a $100 investment in our common stock and in each index (with the reinvestment of all dividends) from March 31, 2021 to March 31, 2026. </w:t>
      </w:r>
    </w:p>
    <w:p>
      <w:pPr>
        <w:pStyle w:val="TextBody"/>
        <w:bidi w:val="0"/>
        <w:spacing w:before="0" w:after="0"/>
        <w:jc w:val="left"/>
        <w:rPr/>
      </w:pPr>
      <w:r>
        <w:rPr/>
      </w:r>
    </w:p>
    <w:p>
      <w:pPr>
        <w:pStyle w:val="TextBody"/>
        <w:bidi w:val="0"/>
        <w:spacing w:lineRule="auto" w:line="252" w:before="0" w:after="0"/>
        <w:jc w:val="center"/>
        <w:rPr>
          <w:rFonts w:ascii="Arial;sans-serif" w:hAnsi="Arial;sans-serif"/>
          <w:b/>
          <w:color w:val="000000"/>
          <w:sz w:val="20"/>
        </w:rPr>
      </w:pPr>
      <w:r>
        <w:rPr>
          <w:rFonts w:ascii="Arial;sans-serif" w:hAnsi="Arial;sans-serif"/>
          <w:b/>
          <w:color w:val="000000"/>
          <w:sz w:val="20"/>
        </w:rPr>
        <w:t>COMPARISON OF 5 YEAR CUMULATIVE TOTAL RETURN*</w:t>
      </w:r>
    </w:p>
    <w:p>
      <w:pPr>
        <w:pStyle w:val="TextBody"/>
        <w:bidi w:val="0"/>
        <w:spacing w:lineRule="auto" w:line="252" w:before="0" w:after="0"/>
        <w:jc w:val="center"/>
        <w:rPr>
          <w:rFonts w:ascii="Arial;sans-serif" w:hAnsi="Arial;sans-serif"/>
          <w:b w:val="false"/>
          <w:color w:val="000000"/>
          <w:sz w:val="20"/>
        </w:rPr>
      </w:pPr>
      <w:r>
        <w:rPr>
          <w:rFonts w:ascii="Arial;sans-serif" w:hAnsi="Arial;sans-serif"/>
          <w:b w:val="false"/>
          <w:color w:val="000000"/>
          <w:sz w:val="20"/>
        </w:rPr>
        <w:t>Among LiveRamp Holdings, Inc., the Russell 2000 Index</w:t>
      </w:r>
    </w:p>
    <w:p>
      <w:pPr>
        <w:pStyle w:val="TextBody"/>
        <w:bidi w:val="0"/>
        <w:spacing w:lineRule="auto" w:line="252" w:before="0" w:after="0"/>
        <w:jc w:val="center"/>
        <w:rPr>
          <w:rFonts w:ascii="Arial;sans-serif" w:hAnsi="Arial;sans-serif"/>
          <w:b w:val="false"/>
          <w:color w:val="000000"/>
          <w:sz w:val="20"/>
        </w:rPr>
      </w:pPr>
      <w:r>
        <w:rPr>
          <w:rFonts w:ascii="Arial;sans-serif" w:hAnsi="Arial;sans-serif"/>
          <w:b w:val="false"/>
          <w:color w:val="000000"/>
          <w:sz w:val="20"/>
        </w:rPr>
        <w:t>and the S&amp;P 400 IT Consulting &amp; Other Services</w:t>
      </w:r>
    </w:p>
    <w:p>
      <w:pPr>
        <w:pStyle w:val="TextBody"/>
        <w:bidi w:val="0"/>
        <w:spacing w:before="0" w:after="0"/>
        <w:jc w:val="left"/>
        <w:rPr/>
      </w:pPr>
      <w:r>
        <w:rPr/>
      </w:r>
    </w:p>
    <w:p>
      <w:pPr>
        <w:pStyle w:val="TextBody"/>
        <w:bidi w:val="0"/>
        <w:spacing w:before="0" w:after="0"/>
        <w:jc w:val="center"/>
        <w:rPr/>
      </w:pPr>
      <w:r>
        <w:rPr/>
        <w:drawing>
          <wp:inline distT="0" distB="0" distL="0" distR="0">
            <wp:extent cx="5715000" cy="3857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5715000" cy="3857625"/>
                    </a:xfrm>
                    <a:prstGeom prst="rect">
                      <a:avLst/>
                    </a:prstGeom>
                  </pic:spPr>
                </pic:pic>
              </a:graphicData>
            </a:graphic>
          </wp:inline>
        </w:drawing>
      </w:r>
      <w:bookmarkStart w:id="1" w:name="i-2"/>
      <w:bookmarkEnd w:id="1"/>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*$100 invested on 3/31/21 in stock or index, including reinvestment of dividends. Twelve months ended March 31. </w:t>
      </w:r>
    </w:p>
    <w:p>
      <w:pPr>
        <w:pStyle w:val="TextBody"/>
        <w:bidi w:val="0"/>
        <w:spacing w:before="0" w:after="0"/>
        <w:jc w:val="center"/>
        <w:rPr/>
      </w:pPr>
      <w:r>
        <w:rPr/>
      </w:r>
    </w:p>
    <w:tbl>
      <w:tblPr>
        <w:tblW w:w="9253" w:type="dxa"/>
        <w:jc w:val="left"/>
        <w:tblInd w:w="0" w:type="dxa"/>
        <w:tblLayout w:type="fixed"/>
        <w:tblCellMar>
          <w:top w:w="28" w:type="dxa"/>
          <w:left w:w="28" w:type="dxa"/>
          <w:bottom w:w="28" w:type="dxa"/>
          <w:right w:w="28" w:type="dxa"/>
        </w:tblCellMar>
      </w:tblPr>
      <w:tblGrid>
        <w:gridCol w:w="1168"/>
        <w:gridCol w:w="1024"/>
        <w:gridCol w:w="1033"/>
        <w:gridCol w:w="329"/>
        <w:gridCol w:w="329"/>
        <w:gridCol w:w="331"/>
        <w:gridCol w:w="329"/>
        <w:gridCol w:w="329"/>
        <w:gridCol w:w="331"/>
        <w:gridCol w:w="329"/>
        <w:gridCol w:w="329"/>
        <w:gridCol w:w="331"/>
        <w:gridCol w:w="329"/>
        <w:gridCol w:w="329"/>
        <w:gridCol w:w="331"/>
        <w:gridCol w:w="329"/>
        <w:gridCol w:w="329"/>
        <w:gridCol w:w="331"/>
        <w:gridCol w:w="350"/>
        <w:gridCol w:w="302"/>
        <w:gridCol w:w="431"/>
      </w:tblGrid>
      <w:tr>
        <w:trPr/>
        <w:tc>
          <w:tcPr>
            <w:tcW w:w="116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March 2021</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March 2022</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March 2023</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March 2024</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March 2025</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March 2026</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LiveRamp Holdings, Inc.</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51.12 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Russell 2000</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400 IT Consulting and Other Services</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52"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performance graph and the related chart and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 The stock price performance included in this graph is not necessarily indicative of future stock price performance.</w:t>
      </w:r>
    </w:p>
    <w:p>
      <w:pPr>
        <w:pStyle w:val="TextBody"/>
        <w:bidi w:val="0"/>
        <w:spacing w:before="0" w:after="0"/>
        <w:jc w:val="left"/>
        <w:rPr/>
      </w:pPr>
      <w:r>
        <w:rPr/>
      </w:r>
    </w:p>
    <w:p>
      <w:pPr>
        <w:pStyle w:val="TextBody"/>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Copyright© 2026 Standard and Poor's, a division of S&amp;P Global. All rights reserved. Copyright© 2026 Russell Investment Group. All rights reserved.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Purchases of Equity Securities by the Issuer and Affiliated Purchasers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provides information regarding purchases by LiveRamp of its common stock during the periods indicated.</w:t>
      </w:r>
    </w:p>
    <w:tbl>
      <w:tblPr>
        <w:tblW w:w="10205" w:type="dxa"/>
        <w:jc w:val="left"/>
        <w:tblInd w:w="0" w:type="dxa"/>
        <w:tblLayout w:type="fixed"/>
        <w:tblCellMar>
          <w:top w:w="28" w:type="dxa"/>
          <w:left w:w="28" w:type="dxa"/>
          <w:bottom w:w="28" w:type="dxa"/>
          <w:right w:w="28" w:type="dxa"/>
        </w:tblCellMar>
      </w:tblPr>
      <w:tblGrid>
        <w:gridCol w:w="531"/>
        <w:gridCol w:w="410"/>
        <w:gridCol w:w="417"/>
        <w:gridCol w:w="109"/>
        <w:gridCol w:w="109"/>
        <w:gridCol w:w="109"/>
        <w:gridCol w:w="747"/>
        <w:gridCol w:w="389"/>
        <w:gridCol w:w="391"/>
        <w:gridCol w:w="109"/>
        <w:gridCol w:w="109"/>
        <w:gridCol w:w="109"/>
        <w:gridCol w:w="386"/>
        <w:gridCol w:w="313"/>
        <w:gridCol w:w="314"/>
        <w:gridCol w:w="109"/>
        <w:gridCol w:w="109"/>
        <w:gridCol w:w="109"/>
        <w:gridCol w:w="763"/>
        <w:gridCol w:w="763"/>
        <w:gridCol w:w="765"/>
        <w:gridCol w:w="109"/>
        <w:gridCol w:w="109"/>
        <w:gridCol w:w="109"/>
        <w:gridCol w:w="357"/>
        <w:gridCol w:w="2083"/>
        <w:gridCol w:w="268"/>
      </w:tblGrid>
      <w:tr>
        <w:trPr/>
        <w:tc>
          <w:tcPr>
            <w:tcW w:w="53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w:t>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Average Price Paid</w:t>
              <w:br/>
              <w:t>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Maximum Number (or Approximate Dollar Value) of Shares that May Yet Be Purchased Under the Plans or Programs (2)</w:t>
            </w:r>
          </w:p>
        </w:tc>
      </w:tr>
      <w:tr>
        <w:trPr/>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2026 -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137,383,046 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2026 -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1,510,000 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299,044,910 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2026 -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1,321,317 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1,321,317 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261,779,168 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2,831,317 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2,831,317 </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August 29, 2011, the board of directors adopted a common stock repurchase program. That program was subsequently modified and expanded, most recently on February 12, 2026.  Under the modified common stock repurchase program, the Company may purchase up to $1.5 billion of its common stock through the period ending December 31, 2027. Through March 31, 2026, the Company had repurchased 48.6 million shares of its common stock for $1.2 billion, leaving remaining capacity of $261.8 million under the stock repurchase program. In accordance with the Merger Agreement, the Company has paused repurchases under its stock repurchase program through the completion of the Merger. For more information regarding the Merger, see Note 18, “Subsequent Events," of the Notes to Consolidated Financial Statements accompanying this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Average price paid includes costs associated with the repurchases, excluding the 1% excise tax as a result of the Inflation Reduction Act of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Amounts presented exclude the 1% excise tax as a result of the Inflation Reduction Act of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7.  Management's Discussion and Analysis of Financial Condition and Results of Operations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The information required by this item appears in the Financial Supplement beginning at page F-</w:t>
      </w:r>
      <w:hyperlink w:anchor="icd3c643dc0b84294b83d26bde1788a30_349">
        <w:r>
          <w:rPr>
            <w:rStyle w:val="InternetLink"/>
            <w:rFonts w:ascii="Arial;sans-serif" w:hAnsi="Arial;sans-serif"/>
            <w:b w:val="false"/>
            <w:color w:val="0000FF"/>
            <w:sz w:val="20"/>
            <w:u w:val="single"/>
          </w:rPr>
          <w:t>2</w:t>
        </w:r>
      </w:hyperlink>
      <w:r>
        <w:rPr>
          <w:rFonts w:ascii="Arial;sans-serif" w:hAnsi="Arial;sans-serif"/>
          <w:b w:val="false"/>
          <w:color w:val="000000"/>
          <w:sz w:val="20"/>
        </w:rPr>
        <w:t>, which is attached hereto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7A.  Quantitative and Qualitative Disclosures About Market Risk</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operations in the United States and internationally, and we are exposed to market risks in the ordinary course of business. Market risk represents the risk of loss that may impact our financial position due to adverse changes in financial market prices and rates. Our primary market risk is foreign currency exchange rate risk.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Foreign Currency Exchange Rate Risk</w:t>
      </w:r>
      <w:r>
        <w:rPr>
          <w:rFonts w:ascii="Arial;sans-serif" w:hAnsi="Arial;sans-serif"/>
          <w:b w:val="false"/>
          <w:color w:val="000000"/>
          <w:sz w:val="20"/>
        </w:rPr>
        <w:t xml:space="preserve">. Most of the Company's exposure to exchange rate fluctuation is due to translation gains and losses from its international operations. In general, each of the foreign locations is expected to fund its own operations and cash flows, although funds may be loaned or invested from the U.S. to the foreign subsidiaries. These advances are considered long-term investments, and any gain or loss resulting from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have been no changes since the end of the last fiscal year in our primary market risk exposures or the management of those exposures, and we do not expect any changes going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8.  Financial Statements and Supplementary Data</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The financial statements required by this item appear in the Financial Supplement beginning at page F-</w:t>
      </w:r>
      <w:hyperlink w:anchor="icd3c643dc0b84294b83d26bde1788a30_31">
        <w:r>
          <w:rPr>
            <w:rStyle w:val="InternetLink"/>
            <w:rFonts w:ascii="Arial;sans-serif" w:hAnsi="Arial;sans-serif"/>
            <w:b w:val="false"/>
            <w:color w:val="0000FF"/>
            <w:sz w:val="20"/>
            <w:u w:val="single"/>
          </w:rPr>
          <w:t>20</w:t>
        </w:r>
      </w:hyperlink>
      <w:r>
        <w:rPr>
          <w:rFonts w:ascii="Arial;sans-serif" w:hAnsi="Arial;sans-serif"/>
          <w:b w:val="false"/>
          <w:color w:val="000000"/>
          <w:sz w:val="20"/>
        </w:rPr>
        <w:t>, which is attached hereto and incorporated herein by reference. </w:t>
      </w:r>
    </w:p>
    <w:p>
      <w:pPr>
        <w:pStyle w:val="TextBody"/>
        <w:bidi w:val="0"/>
        <w:spacing w:lineRule="auto" w:line="288"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9.  Changes in and Disagreements with Accountants on Accounting and Financial Disclosure</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9A.  Controls and Procedures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0" w:after="0"/>
        <w:jc w:val="both"/>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has evaluated, under the supervision and with the participation of our Chief Executive Officer and Chief Financial Officer, the effectiveness of our disclosure controls and procedures as of March 31, 2026.  Based on their evaluation as of March 31, 2026, our Chief Executive Officer and Chief Financial Officer have concluded that our disclosure controls and procedures (as defined in Rules 13a-15(e) and 15d-15(e) under the Securities Exchange Act of 1934, as amended) were effective at the reasonable assurance level to ensure that the information required to be disclosed by us in the Annual Report on Form 10-K was (i) recorded, processed, summarized and reported within the time periods specified in the SEC’s rules and regulations and (ii) accumulated and communicated to our management, including our Chief Executive Officer and Chief Financial Officer, to allow timely decisions regarding required disclosure.</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including our Chief Executive Officer and Chief Financial Officer,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LiveRamp have been detected.</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is responsible for establishing and maintaining adequate internal control over financial reporting (as defined in Rules 13a-15(f) under the Securities Exchange Act of 1934, as amended).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12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Company’s management, with participation of the Chief Executive Officer and Chief Financial Officer, assessed the effectiveness of the Company’s internal control over financial reporting as of March 31, 2026.  In making this assessment, the Company’s management used the criteria set forth by the Committee of Sponsoring Organizations of the Treadway Commission (COSO) in </w:t>
      </w:r>
      <w:r>
        <w:rPr>
          <w:rFonts w:ascii="Arial;sans-serif" w:hAnsi="Arial;sans-serif"/>
          <w:b w:val="false"/>
          <w:i/>
          <w:color w:val="000000"/>
          <w:sz w:val="20"/>
        </w:rPr>
        <w:t>Internal Control-Integrated Framework (2013)</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management’s assessment and those criteria, the Company’s management determined that the Company’s internal control over financial reporting was effective as of March 31,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effectiveness of the Company's internal control over financial reporting as of March 31, 2026 has been audited by KPMG LLP, an independent registered public accounting firm, as stated in its report, which is included under Item 8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March 31, 2026, there were no changes in our internal control over financial reporting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9B.  Other Information</w:t>
      </w:r>
    </w:p>
    <w:p>
      <w:pPr>
        <w:pStyle w:val="TextBody"/>
        <w:bidi w:val="0"/>
        <w:spacing w:lineRule="auto" w:line="288" w:before="0" w:after="0"/>
        <w:jc w:val="left"/>
        <w:rPr>
          <w:color w:val="0563C1"/>
        </w:rPr>
      </w:pPr>
      <w:r>
        <w:rPr>
          <w:color w:val="0563C1"/>
        </w:rPr>
        <w:t>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b.During the three months ended March 31, 2026, none of the Company’s directors or officers (as defined in Rule 16a-1(f) under the Exchange Act) adopted or terminated a Rule 10b5-1 trading arrangement or non-Rule 10b5-1 trading arrangement (as such terms are defined in Item 408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10.  Directors, Executive Officers and Corporate Governance</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concerning our executive officers is contained in Part I of this Annual Report on Form 10-K under the caption “Information about our Executive Officers,” which is included there pursuant to Instruction to Item 401 of the SEC’s Regulation S-K.</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LiveRamp board of directors has adopted codes of ethics applicable to our principal executive, financial and accounting officers and all other persons performing similar functions.  Copies of these codes of ethics are posted on LiveRamp’s investor relations website at investors.liveramp.com under the “Corporate Governance” section of the site.  Except as set forth above, the information required by this item is incorporated by reference from the definitive proxy statement to be filed within 120 days after March 31, 2026, pursuant to Regulation 14A under the Exchange Act in connection with our 2026 annual meeting of stockholders.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11.  Executive Compensation</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the definitive proxy statement to be filed within 120 days after March 31, 2026, pursuant to Regulation 14A under the Exchange Act in connection with our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u w:val="single"/>
        </w:rPr>
        <w:t>Item 12. Security Ownership of Certain Beneficial Owners and Management and Related Stockholder Matters</w:t>
      </w:r>
      <w:r>
        <w:rPr>
          <w:color w:val="000000"/>
        </w:rPr>
        <w:t> </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Securities Authorized for Issuance Under Equity Compensation Plans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contains information about our common stock that may be issued under our existing equity compensation plans as of March 31,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7"/>
        <w:gridCol w:w="585"/>
        <w:gridCol w:w="590"/>
        <w:gridCol w:w="111"/>
        <w:gridCol w:w="111"/>
        <w:gridCol w:w="111"/>
        <w:gridCol w:w="916"/>
        <w:gridCol w:w="578"/>
        <w:gridCol w:w="580"/>
        <w:gridCol w:w="111"/>
        <w:gridCol w:w="111"/>
        <w:gridCol w:w="111"/>
        <w:gridCol w:w="442"/>
        <w:gridCol w:w="1357"/>
        <w:gridCol w:w="231"/>
        <w:gridCol w:w="111"/>
        <w:gridCol w:w="111"/>
        <w:gridCol w:w="111"/>
        <w:gridCol w:w="873"/>
        <w:gridCol w:w="438"/>
        <w:gridCol w:w="438"/>
        <w:gridCol w:w="438"/>
        <w:gridCol w:w="438"/>
        <w:gridCol w:w="635"/>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Equity Compensation Plan Information</w:t>
            </w:r>
          </w:p>
        </w:tc>
      </w:tr>
      <w:tr>
        <w:trPr/>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category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securities to be issued upon exercise of outstanding options, warrants, and rights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Weighted-average exercise price of outstanding options, warrants, and rights</w:t>
            </w:r>
            <w:r>
              <w:rPr>
                <w:color w:val="000000"/>
              </w:rPr>
              <w:t xml:space="preserve"> </w:t>
            </w:r>
            <w:r>
              <w:rPr>
                <w:rFonts w:ascii="Arial;sans-serif" w:hAnsi="Arial;sans-serif"/>
                <w:b/>
                <w:color w:val="000000"/>
                <w:sz w:val="10"/>
              </w:rPr>
              <w:t>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securities remaining available for future issuance under equity compensation plans (excluding securities reflected in column (a))</w:t>
            </w:r>
          </w:p>
        </w:tc>
      </w:tr>
      <w:tr>
        <w:trPr/>
        <w:tc>
          <w:tcPr>
            <w:tcW w:w="1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w:t>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shareholders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4,260,617 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1</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7,271,681 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3</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shareholders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41,983 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4</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4,260,617 </w:t>
            </w:r>
          </w:p>
        </w:tc>
        <w:tc>
          <w:tcPr>
            <w:tcW w:w="5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7,313,664 </w:t>
            </w:r>
          </w:p>
        </w:tc>
        <w:tc>
          <w:tcPr>
            <w:tcW w:w="4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20"/>
        </w:rPr>
      </w:pPr>
      <w:r>
        <w:rPr>
          <w:rFonts w:ascii="Arial;sans-serif" w:hAnsi="Arial;sans-serif"/>
          <w:b w:val="false"/>
          <w:color w:val="000000"/>
          <w:sz w:val="20"/>
        </w:rPr>
        <w:t>1.This amount does not include the number of securities to be issued upon exercise of outstanding options, warrants, and rights under equity compensation plans LiveRamp assumed in acquisitions (196,370 shares at a weighted-average exercise price of $9.58).</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weighted-average exercise price set forth in this column is calculated excluding outstanding restricted stock unit awards, since recipients are not required to pay an exercise price to receive the shares subject to these awards.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3.This amount represents shares of Common Stock available for future issuance under the Amended and Restated 2005 Equity Compensation Plan of LiveRamp, Inc. (6,716,442) (the "2005 Plan") and the LiveRamp Holdings, Inc. 2005 Stock Purchase Plan (555,239, including 104,724 shares subject to purchase during the current purchase period), which is an employee stock purchase plan covered by Section 423 of the Internal Revenue Code. The 2005 Plan is an equity compensation plan that permits awards of a variety of equity-based incentives, including stock options, stock appreciation rights, restricted stock, restricted stock units, performance awards and other stock unit awards.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4.This amount represents shares available for issuance pursuant to the Company’s 2011 Non-qualified Equity Compensation Plan described below, which did not require shareholder approval under the exception provided for in applicable listing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Equity Compensation Plan Not Approved by Security Holders </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adopted the 2011 Non-qualified Equity Compensation Plan of LiveRamp Holdings, Inc. (the “2011 Plan”) for the purpose of making equity grants to induce new key executives to join the Company. The awards that may be made under the 2011 Plan include stock options, stock appreciation rights, restricted stock awards, restricted stock unit awards, performance awards, or other stock unit awards. To receive such an award, a person must be newly employed with the Company with the award being provided as an inducement material to their employment, provided the award is first properly approved by the board of directors or an independent committee of the board. The board of directors and its talent and compensation committee are the administrators of the 2011 Plan, and as such, determine all matters relating to awards granted under the 2011 Plan, including the eligible recipients, whether and to what extent awards are to be granted, the number of shares to be covered by each grant and the terms and conditions of the awards. The 2011 Plan has not been approved by the Company’s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remaining information required by this item is incorporated by reference from the definitive proxy statement to be filed within 120 days after March 31, 2026, pursuant to Regulation 14A under the Exchange Act in connection with our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13.  Certain Relationships and Related Transactions, and Director Independence</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the definitive proxy statement to be filed within 120 days after March 31, 2026, pursuant to Regulation 14A under the Exchange Act in connection with our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14.  Principal Accountant Fees and Services</w:t>
      </w:r>
    </w:p>
    <w:p>
      <w:pPr>
        <w:pStyle w:val="TextBody"/>
        <w:bidi w:val="0"/>
        <w:spacing w:lineRule="auto" w:line="288" w:before="0" w:after="0"/>
        <w:jc w:val="both"/>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the definitive proxy statement to be filed within 120 days after March 31, 2026, pursuant to Regulation 14A under the Exchange Act in connection with our 2026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15.  Exhibits and Financial Statement Schedules</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The following documents are filed as a part of this report:</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1. </w:t>
      </w:r>
      <w:r>
        <w:rPr>
          <w:color w:val="0563C1"/>
        </w:rPr>
        <w:t xml:space="preserve"> </w:t>
      </w:r>
      <w:r>
        <w:rPr>
          <w:rFonts w:ascii="Arial;sans-serif" w:hAnsi="Arial;sans-serif"/>
          <w:b w:val="false"/>
          <w:color w:val="000000"/>
          <w:sz w:val="20"/>
          <w:u w:val="single"/>
        </w:rPr>
        <w:t>Financial Statements.</w:t>
      </w:r>
    </w:p>
    <w:p>
      <w:pPr>
        <w:pStyle w:val="TextBody"/>
        <w:bidi w:val="0"/>
        <w:spacing w:lineRule="auto" w:line="288" w:before="0" w:after="0"/>
        <w:ind w:left="0" w:right="0" w:firstLine="18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consolidated financial statements of the registrant and its subsidiaries included in the Financial Supplement and the Independent Auditors' Reports thereof are attached hereto.  Page references are to page numbers in the Financial Supplement. </w:t>
      </w:r>
    </w:p>
    <w:tbl>
      <w:tblPr>
        <w:tblW w:w="10205" w:type="dxa"/>
        <w:jc w:val="left"/>
        <w:tblInd w:w="0" w:type="dxa"/>
        <w:tblLayout w:type="fixed"/>
        <w:tblCellMar>
          <w:top w:w="28" w:type="dxa"/>
          <w:left w:w="28" w:type="dxa"/>
          <w:bottom w:w="28" w:type="dxa"/>
          <w:right w:w="28" w:type="dxa"/>
        </w:tblCellMar>
      </w:tblPr>
      <w:tblGrid>
        <w:gridCol w:w="3422"/>
        <w:gridCol w:w="2997"/>
        <w:gridCol w:w="3004"/>
        <w:gridCol w:w="228"/>
        <w:gridCol w:w="228"/>
        <w:gridCol w:w="326"/>
      </w:tblGrid>
      <w:tr>
        <w:trPr/>
        <w:tc>
          <w:tcPr>
            <w:tcW w:w="3422"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F-Page</w:t>
            </w:r>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89">
              <w:r>
                <w:rPr>
                  <w:rStyle w:val="InternetLink"/>
                  <w:rFonts w:ascii="Arial;sans-serif" w:hAnsi="Arial;sans-serif"/>
                  <w:b w:val="false"/>
                  <w:color w:val="0000FF"/>
                  <w:sz w:val="20"/>
                  <w:u w:val="single"/>
                </w:rPr>
                <w:t>Report of Independent Registered Public Accounting Firm (PCAOB ID: 185)</w:t>
              </w:r>
            </w:hyperlink>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d3c643dc0b84294b83d26bde1788a30_289">
              <w:r>
                <w:rPr>
                  <w:rStyle w:val="InternetLink"/>
                  <w:rFonts w:ascii="Arial;sans-serif" w:hAnsi="Arial;sans-serif"/>
                  <w:b w:val="false"/>
                  <w:color w:val="000080"/>
                  <w:sz w:val="20"/>
                  <w:u w:val="single"/>
                </w:rPr>
                <w:t>F-</w:t>
              </w:r>
            </w:hyperlink>
            <w:hyperlink w:anchor="icd3c643dc0b84294b83d26bde1788a30_289">
              <w:r>
                <w:rPr>
                  <w:rStyle w:val="InternetLink"/>
                  <w:rFonts w:ascii="Arial;sans-serif" w:hAnsi="Arial;sans-serif"/>
                  <w:b w:val="false"/>
                  <w:color w:val="000080"/>
                  <w:sz w:val="20"/>
                  <w:u w:val="single"/>
                </w:rPr>
                <w:t>18</w:t>
              </w:r>
            </w:hyperlink>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1">
              <w:r>
                <w:rPr>
                  <w:rStyle w:val="InternetLink"/>
                  <w:rFonts w:ascii="Arial;sans-serif" w:hAnsi="Arial;sans-serif"/>
                  <w:b w:val="false"/>
                  <w:color w:val="0000FF"/>
                  <w:sz w:val="20"/>
                  <w:u w:val="single"/>
                </w:rPr>
                <w:t>Consolidated Balance Sheets as of March 31, 2026 and 2025</w:t>
              </w:r>
            </w:hyperlink>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cd3c643dc0b84294b83d26bde1788a30_31">
              <w:r>
                <w:rPr>
                  <w:rStyle w:val="InternetLink"/>
                  <w:rFonts w:ascii="Arial;sans-serif" w:hAnsi="Arial;sans-serif"/>
                  <w:b w:val="false"/>
                  <w:color w:val="000080"/>
                  <w:sz w:val="20"/>
                  <w:u w:val="single"/>
                </w:rPr>
                <w:t>20</w:t>
              </w:r>
            </w:hyperlink>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
              <w:r>
                <w:rPr>
                  <w:rStyle w:val="InternetLink"/>
                  <w:rFonts w:ascii="Arial;sans-serif" w:hAnsi="Arial;sans-serif"/>
                  <w:b w:val="false"/>
                  <w:color w:val="0000FF"/>
                  <w:sz w:val="20"/>
                  <w:u w:val="single"/>
                </w:rPr>
                <w:t>Consolidated Statements of Operations for the twelve months ended March 31, 2026, 2025 and 2024</w:t>
              </w:r>
            </w:hyperlink>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cd3c643dc0b84294b83d26bde1788a30_34">
              <w:r>
                <w:rPr>
                  <w:rStyle w:val="InternetLink"/>
                  <w:rFonts w:ascii="Arial;sans-serif" w:hAnsi="Arial;sans-serif"/>
                  <w:b w:val="false"/>
                  <w:color w:val="000080"/>
                  <w:sz w:val="20"/>
                  <w:u w:val="single"/>
                </w:rPr>
                <w:t>21</w:t>
              </w:r>
            </w:hyperlink>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7">
              <w:r>
                <w:rPr>
                  <w:rStyle w:val="InternetLink"/>
                  <w:rFonts w:ascii="Arial;sans-serif" w:hAnsi="Arial;sans-serif"/>
                  <w:b w:val="false"/>
                  <w:color w:val="0000FF"/>
                  <w:sz w:val="20"/>
                  <w:u w:val="single"/>
                </w:rPr>
                <w:t>Consolidated Statements of Comprehensive Income (Loss) for the twelve months ended March 31, 2026, 2025 and 2024</w:t>
              </w:r>
            </w:hyperlink>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37">
              <w:r>
                <w:rPr>
                  <w:rStyle w:val="InternetLink"/>
                  <w:rFonts w:ascii="Arial;sans-serif" w:hAnsi="Arial;sans-serif"/>
                  <w:b w:val="false"/>
                  <w:color w:val="000080"/>
                  <w:sz w:val="20"/>
                  <w:u w:val="single"/>
                </w:rPr>
                <w:t>F-</w:t>
              </w:r>
            </w:hyperlink>
            <w:hyperlink w:anchor="icd3c643dc0b84294b83d26bde1788a30_37">
              <w:r>
                <w:rPr>
                  <w:rStyle w:val="InternetLink"/>
                  <w:rFonts w:ascii="Arial;sans-serif" w:hAnsi="Arial;sans-serif"/>
                  <w:b w:val="false"/>
                  <w:color w:val="000080"/>
                  <w:sz w:val="20"/>
                  <w:u w:val="single"/>
                </w:rPr>
                <w:t>22</w:t>
              </w:r>
            </w:hyperlink>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46">
              <w:r>
                <w:rPr>
                  <w:rStyle w:val="InternetLink"/>
                  <w:rFonts w:ascii="Arial;sans-serif" w:hAnsi="Arial;sans-serif"/>
                  <w:b w:val="false"/>
                  <w:color w:val="0000FF"/>
                  <w:sz w:val="20"/>
                  <w:u w:val="single"/>
                </w:rPr>
                <w:t>Consolidated Statements of Stockholders’ Equity for the twelve months ended March 31, 2026, 2025 and 2024</w:t>
              </w:r>
            </w:hyperlink>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46">
              <w:r>
                <w:rPr>
                  <w:rStyle w:val="InternetLink"/>
                  <w:rFonts w:ascii="Arial;sans-serif" w:hAnsi="Arial;sans-serif"/>
                  <w:b w:val="false"/>
                  <w:color w:val="000080"/>
                  <w:sz w:val="20"/>
                  <w:u w:val="single"/>
                </w:rPr>
                <w:t>F-</w:t>
              </w:r>
            </w:hyperlink>
            <w:hyperlink w:anchor="icd3c643dc0b84294b83d26bde1788a30_46">
              <w:r>
                <w:rPr>
                  <w:rStyle w:val="InternetLink"/>
                  <w:rFonts w:ascii="Arial;sans-serif" w:hAnsi="Arial;sans-serif"/>
                  <w:b w:val="false"/>
                  <w:color w:val="000080"/>
                  <w:sz w:val="20"/>
                  <w:u w:val="single"/>
                </w:rPr>
                <w:t>23</w:t>
              </w:r>
            </w:hyperlink>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49">
              <w:r>
                <w:rPr>
                  <w:rStyle w:val="InternetLink"/>
                  <w:rFonts w:ascii="Arial;sans-serif" w:hAnsi="Arial;sans-serif"/>
                  <w:b w:val="false"/>
                  <w:color w:val="0000FF"/>
                  <w:sz w:val="20"/>
                  <w:u w:val="single"/>
                </w:rPr>
                <w:t>Consolidated Statements of Cash Flows for the twelve months ended March 31, 2026, 2025 and 2024</w:t>
              </w:r>
            </w:hyperlink>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49">
              <w:r>
                <w:rPr>
                  <w:rStyle w:val="InternetLink"/>
                  <w:rFonts w:ascii="Arial;sans-serif" w:hAnsi="Arial;sans-serif"/>
                  <w:b w:val="false"/>
                  <w:color w:val="000080"/>
                  <w:sz w:val="20"/>
                  <w:u w:val="single"/>
                </w:rPr>
                <w:t>F-</w:t>
              </w:r>
            </w:hyperlink>
            <w:hyperlink w:anchor="icd3c643dc0b84294b83d26bde1788a30_49">
              <w:r>
                <w:rPr>
                  <w:rStyle w:val="InternetLink"/>
                  <w:rFonts w:ascii="Arial;sans-serif" w:hAnsi="Arial;sans-serif"/>
                  <w:b w:val="false"/>
                  <w:color w:val="000080"/>
                  <w:sz w:val="20"/>
                  <w:u w:val="single"/>
                </w:rPr>
                <w:t>25</w:t>
              </w:r>
            </w:hyperlink>
          </w:p>
        </w:tc>
      </w:tr>
      <w:tr>
        <w:trPr/>
        <w:tc>
          <w:tcPr>
            <w:tcW w:w="9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58">
              <w:r>
                <w:rPr>
                  <w:rStyle w:val="InternetLink"/>
                  <w:rFonts w:ascii="Arial;sans-serif" w:hAnsi="Arial;sans-serif"/>
                  <w:b w:val="false"/>
                  <w:color w:val="0000FF"/>
                  <w:sz w:val="20"/>
                  <w:u w:val="single"/>
                </w:rPr>
                <w:t>Notes to Consolidated Financial Statements</w:t>
              </w:r>
            </w:hyperlink>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58">
              <w:r>
                <w:rPr>
                  <w:rStyle w:val="InternetLink"/>
                  <w:rFonts w:ascii="Arial;sans-serif" w:hAnsi="Arial;sans-serif"/>
                  <w:b w:val="false"/>
                  <w:color w:val="000080"/>
                  <w:sz w:val="20"/>
                  <w:u w:val="single"/>
                </w:rPr>
                <w:t>F-</w:t>
              </w:r>
            </w:hyperlink>
            <w:hyperlink w:anchor="icd3c643dc0b84294b83d26bde1788a30_58">
              <w:r>
                <w:rPr>
                  <w:rStyle w:val="InternetLink"/>
                  <w:rFonts w:ascii="Arial;sans-serif" w:hAnsi="Arial;sans-serif"/>
                  <w:b w:val="false"/>
                  <w:color w:val="000080"/>
                  <w:sz w:val="20"/>
                  <w:u w:val="single"/>
                </w:rPr>
                <w:t>27</w:t>
              </w:r>
            </w:hyperlink>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2. </w:t>
      </w:r>
      <w:r>
        <w:rPr>
          <w:color w:val="0563C1"/>
        </w:rPr>
        <w:t xml:space="preserve"> </w:t>
      </w:r>
      <w:r>
        <w:rPr>
          <w:rFonts w:ascii="Arial;sans-serif" w:hAnsi="Arial;sans-serif"/>
          <w:b w:val="false"/>
          <w:color w:val="000000"/>
          <w:sz w:val="20"/>
          <w:u w:val="single"/>
        </w:rPr>
        <w:t>Financial Statement Schedules.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schedules are omitted because they are not applicable or not required or because the required information is included in the consolidated financial statements or notes thereto.</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pPr>
      <w:r>
        <w:rPr>
          <w:rFonts w:ascii="Arial;sans-serif" w:hAnsi="Arial;sans-serif"/>
          <w:b w:val="false"/>
          <w:color w:val="000000"/>
          <w:sz w:val="20"/>
        </w:rPr>
        <w:t>3. </w:t>
      </w:r>
      <w:r>
        <w:rPr>
          <w:color w:val="0563C1"/>
        </w:rPr>
        <w:t xml:space="preserve"> </w:t>
      </w:r>
      <w:r>
        <w:rPr>
          <w:rFonts w:ascii="Arial;sans-serif" w:hAnsi="Arial;sans-serif"/>
          <w:b w:val="false"/>
          <w:color w:val="000000"/>
          <w:sz w:val="20"/>
          <w:u w:val="single"/>
        </w:rPr>
        <w:t>Exhibits.</w:t>
      </w:r>
    </w:p>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filed with this report or are incorporated by reference to previously filed material.</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7"/>
        <w:gridCol w:w="260"/>
        <w:gridCol w:w="263"/>
        <w:gridCol w:w="2808"/>
        <w:gridCol w:w="2721"/>
        <w:gridCol w:w="3856"/>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9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3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Agreement and Plan of Merger, dated as of May 16, 2026, by and among Company, Parent and Merger Sub and solely for purposes of Section 10.14 thereto, Publicis (previously filed on May 18, 2026, as Exhibit 2.1 to LiveRamp Holdings, Inc.’s Current Report on Form 8-K, Commission File No. 001-38669, and incorporated herein by reference)</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3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Certificate of Incorporation, as filed on August 14, 2024 (previously filed on August 16, 2024 as Exhibit 3.1 to LiveRamp Holdings, Inc.'s Current Report on Form 8-K, Commission File No. 001-38669, and incorporated herein by reference)</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3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Third Amended and Restated Bylaws, dated May 15, 2026 (previously filed on May 18, 2026, as Exhibit 3.1 to LiveRamp Holdings, Inc.’s Current Report on Form 8-K, Commission File No. 001-38669, and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2"/>
        <w:gridCol w:w="2840"/>
        <w:gridCol w:w="2709"/>
        <w:gridCol w:w="3838"/>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9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Description of Share Capital (previously filed on May 21, 2025 as Exhibit 4.1 to LiveRamp Holdings, Inc.'s Annual Report on Form 10-K for the fiscal year ended March 31, 2025, Commission File No. 0001-38669,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8">
              <w:r>
                <w:rPr>
                  <w:rStyle w:val="InternetLink"/>
                  <w:rFonts w:ascii="Arial;sans-serif" w:hAnsi="Arial;sans-serif"/>
                  <w:b w:val="false"/>
                  <w:color w:val="0000FF"/>
                  <w:sz w:val="20"/>
                  <w:u w:val="single"/>
                </w:rPr>
                <w:t>LiveRamp Holdings, Inc. Employee Stock Purchase Plan (previously filed on August 11, 2022 as Exhibit 10.2 to LiveRamp Holdings, Inc.'s Current Report on Form 8-K, Commission File No. 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9">
              <w:r>
                <w:rPr>
                  <w:rStyle w:val="InternetLink"/>
                  <w:rFonts w:ascii="Arial;sans-serif" w:hAnsi="Arial;sans-serif"/>
                  <w:b w:val="false"/>
                  <w:color w:val="0000FF"/>
                  <w:sz w:val="20"/>
                  <w:u w:val="single"/>
                </w:rPr>
                <w:t>Amended and Restated 2005 Equity Compensation Plan of LiveRamp Holdings, Inc. (previously filed on August 15, 2025 as Exhibit 10.1 to LiveRamp Holdings, Inc.'s Current Report on Form 8-K, Commission file No. 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0">
              <w:r>
                <w:rPr>
                  <w:rStyle w:val="InternetLink"/>
                  <w:rFonts w:ascii="Arial;sans-serif" w:hAnsi="Arial;sans-serif"/>
                  <w:b w:val="false"/>
                  <w:color w:val="0000FF"/>
                  <w:sz w:val="20"/>
                  <w:u w:val="single"/>
                </w:rPr>
                <w:t>Amended and Restated LiveRamp Holdings, Inc. Non-Qualified Supplemental Executive Retirement Plan effective August 9, 2022 (previously filed on May 24, 2023 as Exhibit 10.3 to LiveRamp Holdings, Inc.'s Annual Report on Form 10-K for the fiscal year ended March 31, 2023, Commission File No. 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1">
              <w:r>
                <w:rPr>
                  <w:rStyle w:val="InternetLink"/>
                  <w:rFonts w:ascii="Arial;sans-serif" w:hAnsi="Arial;sans-serif"/>
                  <w:b w:val="false"/>
                  <w:color w:val="0000FF"/>
                  <w:sz w:val="20"/>
                  <w:u w:val="single"/>
                </w:rPr>
                <w:t>Amendment to the LiveRamp Holdings, Inc. Non-Qualified Supplemental Executive Retirement Plan effective January 1, 2023 (previously filed on May 24, 2023 as Exhibit 10.4 to LiveRamp Holdings, Inc.'s Annual Report on Form 10-K for the fiscal year ended March 31, 2023, Commission File No. 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2">
              <w:r>
                <w:rPr>
                  <w:rStyle w:val="InternetLink"/>
                  <w:rFonts w:ascii="Arial;sans-serif" w:hAnsi="Arial;sans-serif"/>
                  <w:b w:val="false"/>
                  <w:color w:val="0000FF"/>
                  <w:sz w:val="20"/>
                  <w:u w:val="single"/>
                </w:rPr>
                <w:t>LiveRamp Holdings, Inc. Directors’ Deferred Compensation Plan effective October 1, 2018 (previously filed on May 27, 2021 as Exhibit 10.15 to LiveRamp Holdings, Inc.’s Annual Report on Form 10-K for the year ended March 31, 2021, Commission File No. 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93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Arial;sans-serif" w:hAnsi="Arial;sans-serif"/>
                  <w:b w:val="false"/>
                  <w:color w:val="0000FF"/>
                  <w:sz w:val="20"/>
                  <w:u w:val="single"/>
                </w:rPr>
                <w:t>Amended and Restated 2010 Executive Cash Incentive Plan of Acxiom Corporation (previously filed on May 27, 2015 as Exhibit 10.6 to Acxiom Corporation’s Annual Report on Form 10-K for the fiscal year ended March 31, 2015, Commission File No. 000-13163,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4">
              <w:r>
                <w:rPr>
                  <w:rStyle w:val="InternetLink"/>
                  <w:rFonts w:ascii="Arial;sans-serif" w:hAnsi="Arial;sans-serif"/>
                  <w:b w:val="false"/>
                  <w:color w:val="0000FF"/>
                  <w:sz w:val="20"/>
                  <w:u w:val="single"/>
                </w:rPr>
                <w:t>Amended and Restated 2010 Executive Officer Severance Policy effective November 14, 2023 (previously filed on February 8, 2024 as Exhibit 10.1 to LiveRamp Holdings, Inc.'s Quarterly Report on Form 10-Q for the fiscal quarter ended December 31, 2023, Commission File No. 001-38669,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5">
              <w:r>
                <w:rPr>
                  <w:rStyle w:val="InternetLink"/>
                  <w:rFonts w:ascii="Arial;sans-serif" w:hAnsi="Arial;sans-serif"/>
                  <w:b w:val="false"/>
                  <w:color w:val="0000FF"/>
                  <w:sz w:val="20"/>
                  <w:u w:val="single"/>
                </w:rPr>
                <w:t>Amended and Restated 2011 Nonqualified Equity Compensation Plan of LiveRamp Holdings, Inc. (previously filed on October 2, 2018, as Exhibit 99.8 to LiveRamp Holdings, Inc.'s Post-Effective Amendment No. 1 to Registration Statement on Form S-8, Registration No. 333-214927,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6">
              <w:r>
                <w:rPr>
                  <w:rStyle w:val="InternetLink"/>
                  <w:rFonts w:ascii="Arial;sans-serif" w:hAnsi="Arial;sans-serif"/>
                  <w:b w:val="false"/>
                  <w:color w:val="0000FF"/>
                  <w:sz w:val="20"/>
                  <w:u w:val="single"/>
                </w:rPr>
                <w:t>Habu, Inc. 2018 Stock Plan (previously filed on March 1, 2024, as Exhibit 4.3 to LiveRamp Holdings, Inc.’s Registration Statement on Form S-8, Registration No. 333-277604,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10.10+</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7">
              <w:r>
                <w:rPr>
                  <w:rStyle w:val="InternetLink"/>
                  <w:rFonts w:ascii="Arial;sans-serif" w:hAnsi="Arial;sans-serif"/>
                  <w:b w:val="false"/>
                  <w:color w:val="0000FF"/>
                  <w:sz w:val="20"/>
                  <w:u w:val="single"/>
                </w:rPr>
                <w:t>Form of Stock Option Grant Agreement under the Amended and Restated 2005 Equity Compensation Plan of Acxiom Corporation (previously filed on May 26, 2017 as Exhibit 10.16 to Acxiom Corporation’s Annual Report on Form 10-K for the fiscal year ended March 31, 2017, Commission File No. 000-13163, and incorporated herein by reference)</w:t>
              </w:r>
            </w:hyperlink>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9387"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8">
              <w:r>
                <w:rPr>
                  <w:rStyle w:val="InternetLink"/>
                  <w:rFonts w:ascii="Arial;sans-serif" w:hAnsi="Arial;sans-serif"/>
                  <w:b w:val="false"/>
                  <w:color w:val="0000FF"/>
                  <w:sz w:val="20"/>
                  <w:u w:val="single"/>
                </w:rPr>
                <w:t>Form of Restricted Stock Unit Award Agreement under the 2011 Nonqualified Equity Compensation Plan of Acxiom Corporation (previously filed on May 26, 2017 as Exhibit 10.18 to Acxiom Corporation’s Annual Report on Form 10-K for the fiscal year ended March 31, 2017, Commission File No. 000-13163, and incorporated herein by reference)</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60"/>
        <w:gridCol w:w="2830"/>
        <w:gridCol w:w="2719"/>
        <w:gridCol w:w="384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9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10.12+</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9">
              <w:r>
                <w:rPr>
                  <w:rStyle w:val="InternetLink"/>
                  <w:rFonts w:ascii="Arial;sans-serif" w:hAnsi="Arial;sans-serif"/>
                  <w:b w:val="false"/>
                  <w:color w:val="0000FF"/>
                  <w:sz w:val="20"/>
                  <w:u w:val="single"/>
                </w:rPr>
                <w:t>Form of Restricted Stock Unit Award Agreement under the Amended and Restated 2005 Equity Compensation Plan of LiveRamp Holdings, Inc. (CA) (previously filed on May 24, 2022 as Exhibit 10.31 to LiveRamp Holdings, Inc.'s Annual Report on Form 10-K for the fiscal year ended March 31, 2022, Commission File No. 001-38669,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0">
              <w:r>
                <w:rPr>
                  <w:rStyle w:val="InternetLink"/>
                  <w:rFonts w:ascii="Arial;sans-serif" w:hAnsi="Arial;sans-serif"/>
                  <w:b w:val="false"/>
                  <w:color w:val="0000FF"/>
                  <w:sz w:val="20"/>
                  <w:u w:val="single"/>
                </w:rPr>
                <w:t>Form of Restricted Stock Unit Award Agreement under the Amended and Restated 2005 Equity Compensation Plan of LiveRamp Holdings, Inc. (previously filed on May 24, 2022 as Exhibit 10.33 to LiveRamp Holdings, Inc.'s Annual Report on Form 10-K for the fiscal year ended March 31, 2022, Commission File No. 001-38669,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1">
              <w:r>
                <w:rPr>
                  <w:rStyle w:val="InternetLink"/>
                  <w:rFonts w:ascii="Arial;sans-serif" w:hAnsi="Arial;sans-serif"/>
                  <w:b w:val="false"/>
                  <w:color w:val="0000FF"/>
                  <w:sz w:val="20"/>
                  <w:u w:val="single"/>
                </w:rPr>
                <w:t>Form of Performance Unit Award Agreement under the Amended and Restated 2005 Equity Compensation Plan of LiveRamp Holdings, Inc. (CA) (previously filed on May 24, 2023 as Exhibit 10.22 to LiveRamp Holdings, Inc.’s Annual Report on Form 10-K for the fiscal year ended March 31, 2023, Commission file No. 001-38669,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10.15+</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2">
              <w:r>
                <w:rPr>
                  <w:rStyle w:val="InternetLink"/>
                  <w:rFonts w:ascii="Arial;sans-serif" w:hAnsi="Arial;sans-serif"/>
                  <w:b w:val="false"/>
                  <w:color w:val="0000FF"/>
                  <w:sz w:val="20"/>
                  <w:u w:val="single"/>
                </w:rPr>
                <w:t>Form of Performance Unit Award Agreement under the Amended and Restated 2005 Equity Compensation Plan of LiveRamp Holdings, Inc. (previously filed on May 24, 2023 as Exhibit 10.23 to LiveRamp Holdings, Inc.’s Annual Report on Form 10-K for the fiscal year ended March 31, 2023, Commission file No. 001-38669,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10.16+</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3">
              <w:r>
                <w:rPr>
                  <w:rStyle w:val="InternetLink"/>
                  <w:rFonts w:ascii="Arial;sans-serif" w:hAnsi="Arial;sans-serif"/>
                  <w:b w:val="false"/>
                  <w:color w:val="0000FF"/>
                  <w:sz w:val="20"/>
                  <w:u w:val="single"/>
                </w:rPr>
                <w:t>Employment Agreement by and between Acxiom Corporation and Scott E. Howe dated as of February 14, 2018 (previously filed on May 25, 2018 as Exhibit 10.22 to Acxiom Corporation's Annual Report on Form 10-K for the fiscal year ended March 31, 2018, Commission File No. 000-13163,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10.17+</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4">
              <w:r>
                <w:rPr>
                  <w:rStyle w:val="InternetLink"/>
                  <w:rFonts w:ascii="Arial;sans-serif" w:hAnsi="Arial;sans-serif"/>
                  <w:b w:val="false"/>
                  <w:color w:val="0000FF"/>
                  <w:sz w:val="20"/>
                  <w:u w:val="single"/>
                </w:rPr>
                <w:t>Form of Director Indemnity Agreement (previously filed on May 25, 2018 as Exhibit 10.26 to Acxiom Corporation's Annual Report on Form 10-K for the fiscal year ended March 31, 2018, Commission File No. 000-13163,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10.18+</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5">
              <w:r>
                <w:rPr>
                  <w:rStyle w:val="InternetLink"/>
                  <w:rFonts w:ascii="Arial;sans-serif" w:hAnsi="Arial;sans-serif"/>
                  <w:b w:val="false"/>
                  <w:color w:val="0000FF"/>
                  <w:sz w:val="20"/>
                  <w:u w:val="single"/>
                </w:rPr>
                <w:t>Form of Officer and Key Employee Indemnity Agreement (previously filed on May 29, 2019 as Exhibit 10.25 to LiveRamp Holdings, Inc. Annual Report on Form 10-K for the fiscal year ended March 31, 2019, Commission File No. 001-38669,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10.19+</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6">
              <w:r>
                <w:rPr>
                  <w:rStyle w:val="InternetLink"/>
                  <w:rFonts w:ascii="Arial;sans-serif" w:hAnsi="Arial;sans-serif"/>
                  <w:b w:val="false"/>
                  <w:color w:val="0000FF"/>
                  <w:sz w:val="20"/>
                  <w:u w:val="single"/>
                </w:rPr>
                <w:t>Separation Agreement and General Release between the Company and Mohsin Hussain dated as of December 15, 2025 (previously filed on February 5, 2026 as Exhibit 10.1 to LiveRamp Holdings, Inc.'s Quarterly Report on Form 10-Q for the fiscal quarter ended December 31, 2025, Commission File No. 001-38669, and incorporated hereby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7">
              <w:r>
                <w:rPr>
                  <w:rStyle w:val="InternetLink"/>
                  <w:rFonts w:ascii="Arial;sans-serif" w:hAnsi="Arial;sans-serif"/>
                  <w:b w:val="false"/>
                  <w:color w:val="0000FF"/>
                  <w:sz w:val="20"/>
                  <w:u w:val="single"/>
                </w:rPr>
                <w:t>LiveRamp Insider Stock Trading Policy (previously filed on May 22, 2024 as Exhibit 19 to LiveRamp Holdings, Inc.'s Annual Report on Form 10-K for the fiscal year ended March 31, 2024, Commission File No. 001-38669, and incorporated herein by reference)</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4ex21subsidiaries.htm">
              <w:r>
                <w:rPr>
                  <w:rStyle w:val="InternetLink"/>
                  <w:rFonts w:ascii="Arial;sans-serif" w:hAnsi="Arial;sans-serif"/>
                  <w:b w:val="false"/>
                  <w:color w:val="0000FF"/>
                  <w:sz w:val="20"/>
                  <w:u w:val="single"/>
                </w:rPr>
                <w:t>Subsidiaries of LiveRamp Holdings, Inc.</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4exhibit23kpmgconsent.htm">
              <w:r>
                <w:rPr>
                  <w:rStyle w:val="InternetLink"/>
                  <w:rFonts w:ascii="Arial;sans-serif" w:hAnsi="Arial;sans-serif"/>
                  <w:b w:val="false"/>
                  <w:color w:val="0000FF"/>
                  <w:sz w:val="20"/>
                  <w:u w:val="single"/>
                </w:rPr>
                <w:t>Consent of KPMG LLP</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w:t>
            </w:r>
          </w:p>
        </w:tc>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4ex24powersofattorney.htm">
              <w:r>
                <w:rPr>
                  <w:rStyle w:val="InternetLink"/>
                  <w:rFonts w:ascii="Arial;sans-serif" w:hAnsi="Arial;sans-serif"/>
                  <w:b w:val="false"/>
                  <w:color w:val="0000FF"/>
                  <w:sz w:val="20"/>
                  <w:u w:val="single"/>
                </w:rPr>
                <w:t>Powers of Attorney</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4ex311ceosection302c.htm">
              <w:r>
                <w:rPr>
                  <w:rStyle w:val="InternetLink"/>
                  <w:rFonts w:ascii="Arial;sans-serif" w:hAnsi="Arial;sans-serif"/>
                  <w:b w:val="false"/>
                  <w:color w:val="0000FF"/>
                  <w:sz w:val="20"/>
                  <w:u w:val="single"/>
                </w:rPr>
                <w:t>Certification of Chief Executive Officer (principal executive officer) pursuant to SEC Rule 13a-14(a)/15d-14(a), as adopted pursuant to Sections 302 and 404 of the Sarbanes-Oxley Act of 2002</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4ex312cfosection302c.htm">
              <w:r>
                <w:rPr>
                  <w:rStyle w:val="InternetLink"/>
                  <w:rFonts w:ascii="Arial;sans-serif" w:hAnsi="Arial;sans-serif"/>
                  <w:b w:val="false"/>
                  <w:color w:val="0000FF"/>
                  <w:sz w:val="20"/>
                  <w:u w:val="single"/>
                </w:rPr>
                <w:t>Certification of Chief Financial Officer (principal financial and accounting officer) pursuant to SEC Rule 13a-14(a)/15d-14(a), as adopted pursuant to Sections 302 and 404 of the Sarbanes-Oxley Act of 2002</w:t>
              </w:r>
            </w:hyperlink>
          </w:p>
        </w:tc>
      </w:tr>
      <w:tr>
        <w:trPr/>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393"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4ex321ceosection1350.htm">
              <w:r>
                <w:rPr>
                  <w:rStyle w:val="InternetLink"/>
                  <w:rFonts w:ascii="Arial;sans-serif" w:hAnsi="Arial;sans-serif"/>
                  <w:b w:val="false"/>
                  <w:color w:val="0000FF"/>
                  <w:sz w:val="20"/>
                  <w:u w:val="single"/>
                </w:rPr>
                <w:t xml:space="preserve">Certification of Chief Executive Officer (principal executive officer) pursuant to 18 U.S.C. Section 1350, as adopted pursuant to Section 906 of the Sarbanes-Oxley Act of 2002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3"/>
        <w:gridCol w:w="245"/>
        <w:gridCol w:w="2759"/>
        <w:gridCol w:w="2759"/>
        <w:gridCol w:w="3922"/>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9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44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a2026q4ex322cfosection1350.htm">
              <w:r>
                <w:rPr>
                  <w:rStyle w:val="InternetLink"/>
                  <w:rFonts w:ascii="Arial;sans-serif" w:hAnsi="Arial;sans-serif"/>
                  <w:b w:val="false"/>
                  <w:color w:val="0000FF"/>
                  <w:sz w:val="20"/>
                  <w:u w:val="single"/>
                </w:rPr>
                <w:t>Certification of Chief Financial Officer (principal financial and accounting officer) pursuant to 18 U.S.C. Section 1350, as adopted pursuant to Section 906 of the Sarbanes-Oxley Act of 2002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97</w:t>
            </w:r>
          </w:p>
        </w:tc>
        <w:tc>
          <w:tcPr>
            <w:tcW w:w="944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8">
              <w:r>
                <w:rPr>
                  <w:rStyle w:val="InternetLink"/>
                  <w:rFonts w:ascii="Arial;sans-serif" w:hAnsi="Arial;sans-serif"/>
                  <w:b w:val="false"/>
                  <w:color w:val="0000FF"/>
                  <w:sz w:val="20"/>
                  <w:u w:val="single"/>
                </w:rPr>
                <w:t>LiveRamp Holdings, Inc. Clawback Policy (previously filed on May 22, 2024 as Exhibit 97 to LiveRamp Holdings, Inc.'s Annual Report on Form 10-K for the fiscal year ended March 31, 2024, Commission File No. 001-38669, and incorporated herein by reference)</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44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The following financial information from our Annual Report on Form 10-K for the fiscal year ended March 31, 2026, formatted in inline XBRL: (i) Consolidated Balance Sheets as of March 31, 2026 and 2025; (ii) Consolidated Statements of Operations for the twelve months ended March 31, 2026, 2025 and 2024; (iii) Consolidated Statements of Comprehensive Income (Loss) for the twelve months ended March 31, 2026, 2025 and 2024; (iv) Consolidated Statements of Stockholders’ Equity for the twelve months ended March 31, 2026, 2025 and 2024; (v)  Consolidated Statements of Cash Flows for the twelve months ended March 31, 2026, 2025 and 2024; and (vi) Notes to the Consolidated Financial Statements, tagged in detail.</w:t>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7"/>
        <w:gridCol w:w="2877"/>
        <w:gridCol w:w="4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Constitutes a management contract or compensation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Schedules and similar attachments have been omitted pursuant to Item 601(a)(5) of Regulation S-K. The Company agrees to furnish supplementally a copy of any omitted schedule or similar attachment to the SEC upon request; provided, however, that the Company may request confidential treatment pursuant to Rule 24b-2 of the Exchange Act, for any schedules so furnished.</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Item 16. Form 10-K Summary</w:t>
      </w:r>
    </w:p>
    <w:p>
      <w:pPr>
        <w:pStyle w:val="TextBody"/>
        <w:bidi w:val="0"/>
        <w:spacing w:before="0" w:after="0"/>
        <w:jc w:val="left"/>
        <w:rPr/>
      </w:pPr>
      <w:r>
        <w:rPr/>
      </w:r>
    </w:p>
    <w:p>
      <w:pPr>
        <w:pStyle w:val="TextBody"/>
        <w:bidi w:val="0"/>
        <w:spacing w:lineRule="auto" w:line="288" w:before="0" w:after="3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913" w:type="dxa"/>
        <w:jc w:val="center"/>
        <w:tblInd w:w="0" w:type="dxa"/>
        <w:tblLayout w:type="fixed"/>
        <w:tblCellMar>
          <w:top w:w="28" w:type="dxa"/>
          <w:left w:w="28" w:type="dxa"/>
          <w:bottom w:w="28" w:type="dxa"/>
          <w:right w:w="28" w:type="dxa"/>
        </w:tblCellMar>
      </w:tblPr>
      <w:tblGrid>
        <w:gridCol w:w="685"/>
        <w:gridCol w:w="601"/>
        <w:gridCol w:w="604"/>
        <w:gridCol w:w="433"/>
        <w:gridCol w:w="433"/>
        <w:gridCol w:w="433"/>
        <w:gridCol w:w="1374"/>
        <w:gridCol w:w="1374"/>
        <w:gridCol w:w="1976"/>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LIVERAMP HOLDINGS, INC. </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Date:  May 21, 2026</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0"/>
        <w:ind w:left="0" w:right="0" w:firstLine="12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8932" w:type="dxa"/>
        <w:jc w:val="left"/>
        <w:tblInd w:w="0" w:type="dxa"/>
        <w:tblLayout w:type="fixed"/>
        <w:tblCellMar>
          <w:top w:w="28" w:type="dxa"/>
          <w:left w:w="28" w:type="dxa"/>
          <w:bottom w:w="28" w:type="dxa"/>
          <w:right w:w="28" w:type="dxa"/>
        </w:tblCellMar>
      </w:tblPr>
      <w:tblGrid>
        <w:gridCol w:w="819"/>
        <w:gridCol w:w="720"/>
        <w:gridCol w:w="725"/>
        <w:gridCol w:w="109"/>
        <w:gridCol w:w="109"/>
        <w:gridCol w:w="109"/>
        <w:gridCol w:w="1553"/>
        <w:gridCol w:w="1553"/>
        <w:gridCol w:w="1573"/>
        <w:gridCol w:w="109"/>
        <w:gridCol w:w="109"/>
        <w:gridCol w:w="109"/>
        <w:gridCol w:w="391"/>
        <w:gridCol w:w="391"/>
        <w:gridCol w:w="55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Kristi Argyilan*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Kristi Argyilan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L. Battelle*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L. Battelle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R. Cadogan*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R. Cadogan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Vivian Chow*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Vivian Chow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E. Howe*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Clark M. Kokich*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(Non-Executive Chairman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Clark M. Kokich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Debora B. Tomlin*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Debora B. Tomlin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May 21, 2026</w:t>
            </w:r>
          </w:p>
        </w:tc>
      </w:tr>
      <w:tr>
        <w:trPr/>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2204" w:type="dxa"/>
        <w:jc w:val="left"/>
        <w:tblInd w:w="0" w:type="dxa"/>
        <w:tblLayout w:type="fixed"/>
        <w:tblCellMar>
          <w:top w:w="28" w:type="dxa"/>
          <w:left w:w="28" w:type="dxa"/>
          <w:bottom w:w="28" w:type="dxa"/>
          <w:right w:w="28" w:type="dxa"/>
        </w:tblCellMar>
      </w:tblPr>
      <w:tblGrid>
        <w:gridCol w:w="179"/>
        <w:gridCol w:w="156"/>
        <w:gridCol w:w="159"/>
        <w:gridCol w:w="501"/>
        <w:gridCol w:w="501"/>
        <w:gridCol w:w="708"/>
      </w:tblGrid>
      <w:tr>
        <w:trPr/>
        <w:tc>
          <w:tcPr>
            <w:tcW w:w="1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Jerry C. Jones</w:t>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Jerry C. Jones</w:t>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Attorney-in-Fact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LIVERAMP HOLDINGS, INC.</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INDEX TO FINANCIAL SUPPLEMENT</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TO ANNUAL REPORT ON FORM 10-K</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FOR THE FISCAL YEAR ENDED MARCH 31, 2026</w:t>
      </w:r>
    </w:p>
    <w:p>
      <w:pPr>
        <w:pStyle w:val="TextBody"/>
        <w:bidi w:val="0"/>
        <w:spacing w:lineRule="auto" w:line="288" w:before="0" w:after="0"/>
        <w:ind w:left="0" w:right="0" w:firstLine="1260"/>
        <w:jc w:val="left"/>
        <w:rPr>
          <w:color w:val="0563C1"/>
        </w:rPr>
      </w:pPr>
      <w:r>
        <w:rPr>
          <w:color w:val="0563C1"/>
        </w:rPr>
        <w:t> </w:t>
      </w:r>
    </w:p>
    <w:tbl>
      <w:tblPr>
        <w:tblW w:w="10205" w:type="dxa"/>
        <w:jc w:val="left"/>
        <w:tblInd w:w="0" w:type="dxa"/>
        <w:tblLayout w:type="fixed"/>
        <w:tblCellMar>
          <w:top w:w="28" w:type="dxa"/>
          <w:left w:w="28" w:type="dxa"/>
          <w:bottom w:w="28" w:type="dxa"/>
          <w:right w:w="28" w:type="dxa"/>
        </w:tblCellMar>
      </w:tblPr>
      <w:tblGrid>
        <w:gridCol w:w="3305"/>
        <w:gridCol w:w="2889"/>
        <w:gridCol w:w="2902"/>
        <w:gridCol w:w="109"/>
        <w:gridCol w:w="109"/>
        <w:gridCol w:w="109"/>
        <w:gridCol w:w="228"/>
        <w:gridCol w:w="228"/>
        <w:gridCol w:w="326"/>
      </w:tblGrid>
      <w:tr>
        <w:trPr/>
        <w:tc>
          <w:tcPr>
            <w:tcW w:w="3305"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FF"/>
                <w:sz w:val="20"/>
              </w:rPr>
            </w:pPr>
            <w:r>
              <w:rPr>
                <w:rFonts w:ascii="Arial;sans-serif" w:hAnsi="Arial;sans-serif"/>
                <w:b w:val="false"/>
                <w:color w:val="0000FF"/>
                <w:sz w:val="20"/>
              </w:rPr>
              <w:t>F-Page</w:t>
            </w:r>
          </w:p>
        </w:tc>
      </w:tr>
      <w:tr>
        <w:trPr/>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49">
              <w:r>
                <w:rPr>
                  <w:rStyle w:val="InternetLink"/>
                  <w:rFonts w:ascii="Arial;sans-serif" w:hAnsi="Arial;sans-serif"/>
                  <w:b w:val="false"/>
                  <w:color w:val="0000FF"/>
                  <w:sz w:val="20"/>
                  <w:u w:val="single"/>
                </w:rPr>
                <w:t>Management’s Discussion and Analysis of Financial Condition and Results of Operations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d3c643dc0b84294b83d26bde1788a30_349">
              <w:r>
                <w:rPr>
                  <w:rStyle w:val="InternetLink"/>
                  <w:rFonts w:ascii="Arial;sans-serif" w:hAnsi="Arial;sans-serif"/>
                  <w:b w:val="false"/>
                  <w:color w:val="000080"/>
                  <w:sz w:val="20"/>
                  <w:u w:val="single"/>
                </w:rPr>
                <w:t>F-</w:t>
              </w:r>
            </w:hyperlink>
            <w:hyperlink w:anchor="icd3c643dc0b84294b83d26bde1788a30_349">
              <w:r>
                <w:rPr>
                  <w:rStyle w:val="InternetLink"/>
                  <w:rFonts w:ascii="Arial;sans-serif" w:hAnsi="Arial;sans-serif"/>
                  <w:b w:val="false"/>
                  <w:color w:val="000080"/>
                  <w:sz w:val="20"/>
                  <w:u w:val="single"/>
                </w:rPr>
                <w:t>2</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289">
              <w:r>
                <w:rPr>
                  <w:rStyle w:val="InternetLink"/>
                  <w:rFonts w:ascii="Arial;sans-serif" w:hAnsi="Arial;sans-serif"/>
                  <w:b w:val="false"/>
                  <w:color w:val="000080"/>
                  <w:sz w:val="20"/>
                  <w:u w:val="single"/>
                </w:rPr>
                <w:t xml:space="preserve">Report of Independent Registered Public Accounting Firm (PCAOB ID: </w:t>
              </w:r>
            </w:hyperlink>
            <w:r>
              <w:rPr>
                <w:rFonts w:ascii="Arial;sans-serif" w:hAnsi="Arial;sans-serif"/>
                <w:b w:val="false"/>
                <w:color w:val="0000FF"/>
                <w:sz w:val="20"/>
                <w:u w:val="single"/>
              </w:rPr>
              <w:t>185</w:t>
            </w:r>
            <w:hyperlink w:anchor="icd3c643dc0b84294b83d26bde1788a30_289">
              <w:r>
                <w:rPr>
                  <w:rStyle w:val="InternetLink"/>
                  <w:rFonts w:ascii="Arial;sans-serif" w:hAnsi="Arial;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289">
              <w:r>
                <w:rPr>
                  <w:rStyle w:val="InternetLink"/>
                  <w:rFonts w:ascii="Arial;sans-serif" w:hAnsi="Arial;sans-serif"/>
                  <w:b w:val="false"/>
                  <w:color w:val="000080"/>
                  <w:sz w:val="20"/>
                  <w:u w:val="single"/>
                </w:rPr>
                <w:t>F-</w:t>
              </w:r>
            </w:hyperlink>
            <w:hyperlink w:anchor="icd3c643dc0b84294b83d26bde1788a30_289">
              <w:r>
                <w:rPr>
                  <w:rStyle w:val="InternetLink"/>
                  <w:rFonts w:ascii="Arial;sans-serif" w:hAnsi="Arial;sans-serif"/>
                  <w:b w:val="false"/>
                  <w:color w:val="000080"/>
                  <w:sz w:val="20"/>
                  <w:u w:val="single"/>
                </w:rPr>
                <w:t>18</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31">
              <w:r>
                <w:rPr>
                  <w:rStyle w:val="InternetLink"/>
                  <w:rFonts w:ascii="Arial;sans-serif" w:hAnsi="Arial;sans-serif"/>
                  <w:b w:val="false"/>
                  <w:color w:val="0000FF"/>
                  <w:sz w:val="20"/>
                  <w:u w:val="single"/>
                </w:rPr>
                <w:t>Consolidated Balance Sheets as of March 31,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cd3c643dc0b84294b83d26bde1788a30_31">
              <w:r>
                <w:rPr>
                  <w:rStyle w:val="InternetLink"/>
                  <w:rFonts w:ascii="Arial;sans-serif" w:hAnsi="Arial;sans-serif"/>
                  <w:b w:val="false"/>
                  <w:color w:val="000080"/>
                  <w:sz w:val="20"/>
                  <w:u w:val="single"/>
                </w:rPr>
                <w:t>20</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cd3c643dc0b84294b83d26bde1788a30_34">
              <w:r>
                <w:rPr>
                  <w:rStyle w:val="InternetLink"/>
                  <w:rFonts w:ascii="Arial;sans-serif" w:hAnsi="Arial;sans-serif"/>
                  <w:b w:val="false"/>
                  <w:color w:val="0000FF"/>
                  <w:sz w:val="20"/>
                  <w:u w:val="single"/>
                </w:rPr>
                <w:t>Consolidated Statements of Operations for the twelve months ended March 31, 2026,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FF"/>
                <w:sz w:val="20"/>
                <w:u w:val="single"/>
              </w:rPr>
              <w:t>F-</w:t>
            </w:r>
            <w:hyperlink w:anchor="icd3c643dc0b84294b83d26bde1788a30_34">
              <w:r>
                <w:rPr>
                  <w:rStyle w:val="InternetLink"/>
                  <w:rFonts w:ascii="Arial;sans-serif" w:hAnsi="Arial;sans-serif"/>
                  <w:b w:val="false"/>
                  <w:color w:val="000080"/>
                  <w:sz w:val="20"/>
                  <w:u w:val="single"/>
                </w:rPr>
                <w:t>21</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cd3c643dc0b84294b83d26bde1788a30_37">
              <w:r>
                <w:rPr>
                  <w:rStyle w:val="InternetLink"/>
                  <w:rFonts w:ascii="Arial;sans-serif" w:hAnsi="Arial;sans-serif"/>
                  <w:b w:val="false"/>
                  <w:color w:val="0000FF"/>
                  <w:sz w:val="20"/>
                  <w:u w:val="single"/>
                </w:rPr>
                <w:t>Consolidated Statements of Comprehensive Income (Loss) for the twelve months ended March 31, 2026,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37">
              <w:r>
                <w:rPr>
                  <w:rStyle w:val="InternetLink"/>
                  <w:rFonts w:ascii="Arial;sans-serif" w:hAnsi="Arial;sans-serif"/>
                  <w:b w:val="false"/>
                  <w:color w:val="000080"/>
                  <w:sz w:val="20"/>
                  <w:u w:val="single"/>
                </w:rPr>
                <w:t>F-</w:t>
              </w:r>
            </w:hyperlink>
            <w:hyperlink w:anchor="icd3c643dc0b84294b83d26bde1788a30_37">
              <w:r>
                <w:rPr>
                  <w:rStyle w:val="InternetLink"/>
                  <w:rFonts w:ascii="Arial;sans-serif" w:hAnsi="Arial;sans-serif"/>
                  <w:b w:val="false"/>
                  <w:color w:val="000080"/>
                  <w:sz w:val="20"/>
                  <w:u w:val="single"/>
                </w:rPr>
                <w:t>22</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cd3c643dc0b84294b83d26bde1788a30_46">
              <w:r>
                <w:rPr>
                  <w:rStyle w:val="InternetLink"/>
                  <w:rFonts w:ascii="Arial;sans-serif" w:hAnsi="Arial;sans-serif"/>
                  <w:b w:val="false"/>
                  <w:color w:val="0000FF"/>
                  <w:sz w:val="20"/>
                  <w:u w:val="single"/>
                </w:rPr>
                <w:t>Consolidated Statements of Stockholders’ Equity for the twelve months ended March 31, 2026,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46">
              <w:r>
                <w:rPr>
                  <w:rStyle w:val="InternetLink"/>
                  <w:rFonts w:ascii="Arial;sans-serif" w:hAnsi="Arial;sans-serif"/>
                  <w:b w:val="false"/>
                  <w:color w:val="000080"/>
                  <w:sz w:val="20"/>
                  <w:u w:val="single"/>
                </w:rPr>
                <w:t>F-</w:t>
              </w:r>
            </w:hyperlink>
            <w:hyperlink w:anchor="icd3c643dc0b84294b83d26bde1788a30_46">
              <w:r>
                <w:rPr>
                  <w:rStyle w:val="InternetLink"/>
                  <w:rFonts w:ascii="Arial;sans-serif" w:hAnsi="Arial;sans-serif"/>
                  <w:b w:val="false"/>
                  <w:color w:val="000080"/>
                  <w:sz w:val="20"/>
                  <w:u w:val="single"/>
                </w:rPr>
                <w:t>23</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cd3c643dc0b84294b83d26bde1788a30_49">
              <w:r>
                <w:rPr>
                  <w:rStyle w:val="InternetLink"/>
                  <w:rFonts w:ascii="Arial;sans-serif" w:hAnsi="Arial;sans-serif"/>
                  <w:b w:val="false"/>
                  <w:color w:val="0000FF"/>
                  <w:sz w:val="20"/>
                  <w:u w:val="single"/>
                </w:rPr>
                <w:t>Consolidated Statements of Cash Flows for the twelve months ended March 31, 2026, 2025 and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49">
              <w:r>
                <w:rPr>
                  <w:rStyle w:val="InternetLink"/>
                  <w:rFonts w:ascii="Arial;sans-serif" w:hAnsi="Arial;sans-serif"/>
                  <w:b w:val="false"/>
                  <w:color w:val="000080"/>
                  <w:sz w:val="20"/>
                  <w:u w:val="single"/>
                </w:rPr>
                <w:t>F-</w:t>
              </w:r>
            </w:hyperlink>
            <w:hyperlink w:anchor="icd3c643dc0b84294b83d26bde1788a30_49">
              <w:r>
                <w:rPr>
                  <w:rStyle w:val="InternetLink"/>
                  <w:rFonts w:ascii="Arial;sans-serif" w:hAnsi="Arial;sans-serif"/>
                  <w:b w:val="false"/>
                  <w:color w:val="000080"/>
                  <w:sz w:val="20"/>
                  <w:u w:val="single"/>
                </w:rPr>
                <w:t>25</w:t>
              </w:r>
            </w:hyperlink>
          </w:p>
        </w:tc>
      </w:tr>
      <w:tr>
        <w:trPr/>
        <w:tc>
          <w:tcPr>
            <w:tcW w:w="90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3c643dc0b84294b83d26bde1788a30_58">
              <w:r>
                <w:rPr>
                  <w:rStyle w:val="InternetLink"/>
                  <w:rFonts w:ascii="Arial;sans-serif" w:hAnsi="Arial;sans-serif"/>
                  <w:b w:val="false"/>
                  <w:color w:val="0000FF"/>
                  <w:sz w:val="20"/>
                  <w:u w:val="single"/>
                </w:rPr>
                <w:t>Notes to Consolidated Financial Statements</w:t>
              </w:r>
            </w:hyperlink>
            <w:hyperlink w:anchor="icd3c643dc0b84294b83d26bde1788a30_58">
              <w:r>
                <w:rPr>
                  <w:rStyle w:val="InternetLink"/>
                  <w:color w:val="000000"/>
                  <w:u w:val="single"/>
                </w:rPr>
                <w: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3c643dc0b84294b83d26bde1788a30_58">
              <w:r>
                <w:rPr>
                  <w:rStyle w:val="InternetLink"/>
                  <w:rFonts w:ascii="Arial;sans-serif" w:hAnsi="Arial;sans-serif"/>
                  <w:b w:val="false"/>
                  <w:color w:val="000080"/>
                  <w:sz w:val="20"/>
                  <w:u w:val="single"/>
                </w:rPr>
                <w:t>F-</w:t>
              </w:r>
            </w:hyperlink>
            <w:hyperlink w:anchor="icd3c643dc0b84294b83d26bde1788a30_58">
              <w:r>
                <w:rPr>
                  <w:rStyle w:val="InternetLink"/>
                  <w:rFonts w:ascii="Arial;sans-serif" w:hAnsi="Arial;sans-serif"/>
                  <w:b w:val="false"/>
                  <w:color w:val="000080"/>
                  <w:sz w:val="20"/>
                  <w:u w:val="single"/>
                </w:rPr>
                <w:t>27</w:t>
              </w:r>
            </w:hyperlink>
          </w:p>
        </w:tc>
      </w:tr>
    </w:tbl>
    <w:p>
      <w:pPr>
        <w:pStyle w:val="TextBody"/>
        <w:bidi w:val="0"/>
        <w:spacing w:before="0" w:after="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involve risks and uncertainties. Factors that could cause or contribute to these differences include those discussed below and elsewhere in this Annual Report on Form 10-K, particularly in the section titled "Item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begin Management’s Discussion and Analysis of Financial Condition and Results of Operations with an introduction and overview, including our operating segment, sources of revenue, summary results and notable events. This overview is followed by a summary of our critical accounting policies and estimates that we believe are important to understanding the assumptions and judgments incorporated in our reported financial results. We then provide a more detailed analysis of our results of operations and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Introduction and 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Operating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provides a data collaboration platform, essentially acting as a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revenue-sharing fees generated from data transactions through our LiveRamp Data Marketplace, transactional usage-based fees from arrangements with certain publishers and addressable TV providers, and professional services fees. The platform is used by customers globally in a similar manner across geographies, channels and verticals.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chief operating decision maker (“CODM”), the Chief Executive Officer,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Generally Accepted Accounting Principles ("GAAP")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consolidated balance sheets as total consolidated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Sources of Revenues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LiveRamp recognizes revenue from the following sources: (i) Subscription revenue,</w:t>
      </w:r>
      <w:r>
        <w:rPr>
          <w:color w:val="000000"/>
        </w:rPr>
        <w:t xml:space="preserve"> </w:t>
      </w:r>
      <w:r>
        <w:rPr>
          <w:rFonts w:ascii="Arial;sans-serif" w:hAnsi="Arial;sans-serif"/>
          <w:b w:val="false"/>
          <w:color w:val="000000"/>
          <w:sz w:val="20"/>
        </w:rPr>
        <w:t xml:space="preserve">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/LiveRamp Data Collaboration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depicted in the graphic below, we power a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 Our platform is configured to be interoperable with the AI models, applications and agents that our customers and partners are deploying to derive marketing outcomes more effectively and efficiently.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/LiveRamp Data Collaboration Platform provides customers with four core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Live/Identity</w:t>
      </w:r>
      <w:r>
        <w:rPr>
          <w:rFonts w:ascii="Arial;sans-serif" w:hAnsi="Arial;sans-serif"/>
          <w:b w:val="false"/>
          <w:color w:val="000000"/>
          <w:sz w:val="20"/>
        </w:rPr>
        <w:t>. We provide enterprise identity infrastructure that resolves disparate consumer identities across different internal and external systems to create an accurate, connected view of the customer. Our approach to identity is built from two complementary graphs, combining offline data and online data and providing accuracy with a focus on privacy. LiveRamp's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sans-serif" w:hAnsi="Arial;sans-serif"/>
          <w:b w:val="false"/>
          <w:color w:val="000000"/>
          <w:sz w:val="13"/>
        </w:rPr>
        <w:t>TM</w:t>
      </w:r>
      <w:r>
        <w:rPr>
          <w:rFonts w:ascii="Arial;sans-serif" w:hAnsi="Arial;sans-serif"/>
          <w:b w:val="false"/>
          <w:color w:val="000000"/>
          <w:sz w:val="20"/>
        </w:rPr>
        <w:t xml:space="preserve">, a durable and privacy-centric connector to the digital ecosystem. This provides marketers with a consistent view of the consumer that is necessary for audience segmentation, targeting, and measurement.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Live/Access. </w:t>
      </w:r>
      <w:r>
        <w:rPr>
          <w:rFonts w:ascii="Arial;sans-serif" w:hAnsi="Arial;sans-serif"/>
          <w:b w:val="false"/>
          <w:color w:val="000000"/>
          <w:sz w:val="20"/>
        </w:rPr>
        <w:t>Our Data Marketplace provides customers with simplified access to industry-leading third-party data providers globally. The /LiveRamp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Live/Connectivity. </w:t>
      </w:r>
      <w:r>
        <w:rPr>
          <w:rFonts w:ascii="Arial;sans-serif" w:hAnsi="Arial;sans-serif"/>
          <w:b w:val="false"/>
          <w:color w:val="000000"/>
          <w:sz w:val="20"/>
        </w:rPr>
        <w:t xml:space="preserve">We enable organizations to leverage their customer and prospect data in the digital and TV ecosystems and across 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Live/Insights. </w:t>
      </w:r>
      <w:r>
        <w:rPr>
          <w:rFonts w:ascii="Arial;sans-serif" w:hAnsi="Arial;sans-serif"/>
          <w:b w:val="false"/>
          <w:color w:val="000000"/>
          <w:sz w:val="20"/>
        </w:rPr>
        <w:t>Data Collaboration, using clean room technology, enables advanced measurement and analytics that helps produce insight-driven innovation. We enable data collaboration between organizations and their trusted partners in a neutral, manageable environment. Our platform provides customers with collaborative opportunities to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667500" cy="2952750"/>
            <wp:effectExtent l="0" t="0" r="0" b="0"/>
            <wp:docPr id="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descr=""/>
                    <pic:cNvPicPr>
                      <a:picLocks noChangeAspect="1" noChangeArrowheads="1"/>
                    </pic:cNvPicPr>
                  </pic:nvPicPr>
                  <pic:blipFill>
                    <a:blip r:embed="rId29"/>
                    <a:stretch>
                      <a:fillRect/>
                    </a:stretch>
                  </pic:blipFill>
                  <pic:spPr bwMode="auto">
                    <a:xfrm>
                      <a:off x="0" y="0"/>
                      <a:ext cx="6667500" cy="2952750"/>
                    </a:xfrm>
                    <a:prstGeom prst="rect">
                      <a:avLst/>
                    </a:prstGeom>
                  </pic:spPr>
                </pic:pic>
              </a:graphicData>
            </a:graphic>
          </wp:inline>
        </w:drawing>
      </w:r>
      <w:bookmarkStart w:id="2" w:name="i-3"/>
      <w:bookmarkEnd w:id="2"/>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Subscription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primarily charge for our platform services on an annual basis. Our subscription pricing is based primarily on data volume, which is a function of data input records and connection points.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solutions are sold to enterprise marketers and the companies they partner with to execute their marketing, including agencies, marketing technology providers, publishers and data providers. Today, we work with 846 direct customers worldwide and serve thousands of additional customers indirectly through our reseller partnership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Brands and Agencies.</w:t>
      </w:r>
      <w:r>
        <w:rPr>
          <w:color w:val="000000"/>
        </w:rPr>
        <w:t xml:space="preserve"> </w:t>
      </w:r>
      <w:r>
        <w:rPr>
          <w:rFonts w:ascii="Arial;sans-serif" w:hAnsi="Arial;sans-serif"/>
          <w:b w:val="false"/>
          <w:color w:val="000000"/>
          <w:sz w:val="20"/>
        </w:rPr>
        <w:t xml:space="preserve">We work with over 500 of the largest brands and agencies in the world, helping them execute people-based marketing by creating an omni-channel understanding of the consumer, activating that understanding across their choice of digital marketing platforms and measuring the results to help optimize future marketing campaigns.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Advertising and Marketing Technology Providers.</w:t>
      </w:r>
      <w:r>
        <w:rPr>
          <w:color w:val="000000"/>
        </w:rPr>
        <w:t xml:space="preserve"> </w:t>
      </w:r>
      <w:r>
        <w:rPr>
          <w:rFonts w:ascii="Arial;sans-serif" w:hAnsi="Arial;sans-serif"/>
          <w:b w:val="false"/>
          <w:color w:val="000000"/>
          <w:sz w:val="20"/>
        </w:rPr>
        <w:t>We provide advertising and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Publishers.</w:t>
      </w:r>
      <w:r>
        <w:rPr>
          <w:color w:val="000000"/>
        </w:rPr>
        <w:t xml:space="preserve"> </w:t>
      </w:r>
      <w:r>
        <w:rPr>
          <w:rFonts w:ascii="Arial;sans-serif" w:hAnsi="Arial;sans-serif"/>
          <w:b w:val="false"/>
          <w:color w:val="000000"/>
          <w:sz w:val="20"/>
        </w:rPr>
        <w:t xml:space="preserve">We enable publishers of any size to offer people-based marketing on their properties. This adds value for brands by providing direct access to their customers and prospects in the publisher's premium inventory.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Data Sellers.</w:t>
      </w:r>
      <w:r>
        <w:rPr>
          <w:color w:val="000000"/>
        </w:rPr>
        <w:t xml:space="preserve"> </w:t>
      </w:r>
      <w:r>
        <w:rPr>
          <w:rFonts w:ascii="Arial;sans-serif" w:hAnsi="Arial;sans-serif"/>
          <w:b w:val="false"/>
          <w:color w:val="000000"/>
          <w:sz w:val="20"/>
        </w:rPr>
        <w:t>Leveraging our vast network of integrations, we allow data sellers to easily connect to the digital ecosystem and monetize their own data. Data can be distributed to customers or made available through the LiveRamp Data Marketplace. This adds value for brands as it allows them to augment their understanding of consumers and increase their understanding of customers and prospects.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Marketplace and Other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Leveraging our common identity system and broad integration network, the LiveRamp Data Marketplace seamlessly connects data sellers’ audience data across the marketing ecosystem. The LiveRamp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 industries and encompassing all types of data. Data providers include sources and</w:t>
      </w:r>
      <w:r>
        <w:rPr>
          <w:color w:val="000000"/>
        </w:rPr>
        <w:t xml:space="preserve"> </w:t>
      </w:r>
      <w:r>
        <w:rPr>
          <w:rFonts w:ascii="Arial;sans-serif" w:hAnsi="Arial;sans-serif"/>
          <w:b w:val="false"/>
          <w:color w:val="000000"/>
          <w:sz w:val="20"/>
        </w:rPr>
        <w:t xml:space="preserve">brands exclusive to LiveRamp, emerging platforms with access to previously unavailable deterministic data, and data partnerships enabled by our platform.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complement our product offering, we provide professional services and enhanced support entitlements to help customers leverage our platform and drive business outcomes. Our services offering includes product implementation, data science analytics, audience measurement and general advisory. We generate revenue from services from bundled platform subscriptions and project fees paid by subscribers to our platform. Professional services revenue is less than 5% of total Company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Summary Results and Notable Events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financial summary of the twelve months ended March 31, 2026 compared to the twelve months ended March 31, 2025 is presented below:</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Revenues were $812.9 million, a 9.0% increase from $745.6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Cost of revenue was $238.1 million, a 10.3% increase from $215.9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Gross margin decreased to 70.7% from 71.0%.</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Total operating expenses were $491.4 million, a 6.3% decrease from $524.3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Cost of revenue and operating expenses for the twelve months ended March 31, 2026 and 2025 included the following items: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Non-cash stock compensation of $83.0 million and $108.0 million, respectively (cost of revenue of $4.9 million and $6.2 million, respectively, and operating expenses of $78.1 million and $101.8 million, respectively)</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Purchased intangible asset amortization of $11.0 million and $14.4 million, respectively (cost of revenue)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Restructuring and other charges of $5.0 million and $8.0 million, respectively (operating expenses)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 xml:space="preserve">Total other income, net was $14.6 million, a decrease of $2.8 million from $17.4 million.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Income tax benefit was $46.7 million compared to income tax expense of $25.3 million. The year-over-year changes were primarily due to changes in valuation allowance resulting in a tax benefit of $53.8 million in fiscal 2026 and a tax expense of $13.2 million in fiscal 2025.</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Net earnings were $146.0 million, or $2.24 per diluted share, compared to net loss of $0.8 million, or $(0.01) per diluted share.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Net cash provided by operating activities was $167.8 million compared to $154.0 million.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20"/>
        </w:rPr>
        <w:t xml:space="preserve">The Company repurchased 7.1 million shares of its common stock for $194.4 million compared to 3.8 million shares for $101.1 million under the Company's common stock repurchase program.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This summary and the following discussion and analysis highlight financial results as well as other significant events and transactions of the Company during the twelve months ended March 31, 2026 compared to the twelve months ended March 31, 2025, unless otherwise stated. However, this summary is not intended to be a full discussion of the Company's results. This summary should be read in conjunction with the following discussion of Results of Operations and Capital Resources and Liquidity and with the Company's consolidated financial statements and footnotes accompanying this Annual Report on Form 10-K. Discussion and analysis for the fiscal year ended March 31, 2025 compared to the same period ended March 31, 2024 may be found in the section titled "Management's Discussion and Analysis of Financial Condition and Results of Operations" in our Annual Report on Form 10-K for the year ended March 31, 2025, filed with the Securities and Exchange Commission on May 21, 2025.</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12, 2026,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$1.5 billion. In addition, it extended the common stock repurchase program duration through December 31,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Pending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16, 2026, the Company entered into an Agreement and Plan of Merger (the “Merger Agreement”) with MMS USA Holdings, Inc., a Delaware corporation (“Parent”) and a wholly owned subsidiary of Publicis (defined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Covey Merger Sub, Inc., a Delaware corporation and a wholly owned subsidiary of Parent ("Merger Sub"), and, solely for the purpose of Section 10.14 thereto, Publicis Groupe S.A., a French société anonyme ("Publicis"), pursuant to which, among other things, at the effective time of the Merger (the "Effective Time"), Merger Sub will merge with and into the Company (the “Merger”), with the Company continuing as the surviving corporation and a direct wholly owned subsidiary of Parent.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the terms and subject to the conditions set forth in the Merger Agreement, at the Effective Time, each share of common stock, par value $0.10 per share, of the Company (“Company Common Stock”) issued and outstanding immediately prior to the Effective Time (other than any (i) Company Common Stock owned by stockholders that have properly perfected their rights of appraisal within the meaning of Section 262 of the Delaware General Corporation Law; (ii) Company Common Stock owned by the Company, Parent or Merger Sub; and (iii) Company Common Stock owned by any direct or indirect wholly owned subsidiary of Parent (other than Merger Sub) or of the Company) will be converted into the right to receive $38.50 in cash, without interest (the “Merger Consideration”).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the Merger Agreement provides for the following treatment of the Company’s equity awards at the Effective 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Options: Each outstanding option to purchase shares of Company Common Stock (each, a “Company Option”) will be converted into a restricted cash award in an amount equal to (i) the excess of the Merger Consideration over the applicable exercise price per share of such Company Option multiplied by (ii) the number of shares of Company Common Stock subject to such Company Option immediately prior to the Effective Time. The restricted cash award will otherwise be subject to the same terms and conditions as applicable before the Effective Time but will vest in full following certain qualifying terminations of employment that occur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Restricted Stock Awards: Each outstanding award of restricted shares of Company Common Stock (each, a “Company Restricted Stock Award”) will be converted into a restricted cash award in an amount equal to (i) the number of shares of Company Common Stock subject to such Company Restricted Stock Award immediately prior to the Effective Time multiplied by (ii) the Merger Consideration. The restricted cash award will otherwise be subject to the same terms and conditions as applicable before the Effective Time, but will vest in full following certain qualifying terminations of employment that occur prior to the 24-month anniversary of the Effective Time in accordance with the Merger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Company Restricted Stock Unit Awards and Performance Stock Unit Awards: Each outstanding time-vesting restricted stock unit award (each, a “Company RSU Award”) and each outstanding performance-vesting restricted stock unit award (each, a “Company PSU Award”) will be converted into a restricted cash award in an amount equal to (i) the number of shares of Company Common Stock subject to such Company RSU Award or Company PSU Award (determined based on (x) in the case of Company PSU Awards granted on or prior to December 31, 2025, that are subject to “Rule of 40” performance conditions, 128% of the target level of performance (in the case of fiscal year 2025 grants) and 139% of the target level of performance (in the case of fiscal year 2026 grants), (y) in the case of all other Company PSU Awards granted on or prior to December 31, 2025, actual performance for completed performance periods and the greater of the target level and the actual level of performance through the Effective Time for incomplete performance periods and (z) in the case of Company PSU Awards granted after December 31, 2025, target level of performance) immediately prior to the Effective Time, multiplied by (ii) the Merger Consideration. The restricted cash award will otherwise be subject to the same terms and conditions as applicable before the Effective Time, except that the performance-based vesting conditions applicable to Company PSU Awards will cease to apply, and the awards will vest in full following certain qualifying terminations of employment that occur prior to the 24 month anniversary of the Effective Time in accordance with the Merger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consummation of the Merger is subject to various conditions, including, among others, customary conditions relating to: (i) approval of the Merger and the adoption of the Merger Agreement by the Company’s stockholders ("Company Stockholder Approval"); (ii) the absence of any law or order making unlawful or restraining, enjoining or otherwise prohibiting consummation of the Merger; (iii) (a) expiration or termination of any applicable waiting periods (and any extension thereof) under the Hart-Scott-Rodino Antitrust Improvements Act of 1976, as amended, (b) the receipt of certain non-U.S. antitrust and foreign direct investment approvals and (c) the receipt of the CFIUS Approval (as defined in the Merger Agreement); (iv) the absence of any material adverse effect with respect to the Company; and (v) other customary conditions relating to the accuracy of representations and warranties and performance of covenants.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Merger Agreement also contains customary representations, warranties and covenants of the Company, Parent and Merger Sub, including, among others, covenants regarding the operation of the business of the Company and its subsidiaries prior to the Effective Time. Each of the Company and Parent will use its respective reasonable best efforts to take, or cause to be taken, all actions necessary, proper or advisable under applicable law to consummate the transactions contemplated in the Merger Agreement. In addition, the Company has agreed to customary “no shop” restrictions on the Company’s ability to solicit any Acquisition Proposal (as defined in the Merger Agreement) and to enter into any Company Acquisition Agreement (as defined in the Merger Agreement). Notwithstanding the limitations applicable under the “no-shop” restrictions, if, after the date of the Merger Agreement and prior to the date on which the Company Stockholder Approval is obtained, the Company receives a bona fide written Acquisition Proposal that did not result from a breach of the Company’s obligations under the “no-shop” restrictions and the Company Board determines in good faith, after consultation with its outside financial advisors and outside legal counsel, that such Acquisition Proposal (i) constitutes or could reasonably be expected to lead to a Superior Proposal (as defined in the Merger Agreement) and (ii) the failure to take such action would be a breach of its fiduciary duties under applicable law, the Company may engage in discussions or negotiations with and may provide nonpublic information relating to the Company to the person making such Acquisition Proposal and change its recommendation that the Company’s stockholders approve the adoption of the Merger Agreement, subject to certain notice rights, execution of confidentiality agreements and match rights in favor of Parent.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Merger is consummated, the Company Common Stock will be delisted from the New York Stock Exchange and deregistered under the Securities Exchange Act of 1934, as amended (the “Exchange Act”), provided that such delisting and termination will not be effective until at or after the Effective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Merger Agreement provides for certain customary termination rights of the Company and Parent, including, among others, (i) the Company’s right to terminate the Merger Agreement prior to the time the Company Stockholder Approval is obtained, in certain circumstances and subject to certain limitations, to accept a Superior Proposal; (ii) Parent’s right to terminate the Merger Agreement if the Company Board changes its recommendation that the Company’s stockholders approve the Merger and adopt the Merger Agreement or the Company is in material breach of the Merger Agreement; and (iii) the right of each of the Company and Parent to terminate the Merger Agreement if the (a) the Company Stockholder Approval is not obtained, (b) the Merger has not been completed on or before May 16, 2027 (the “Outside Date”), which will be automatically extended by a period of three (3) months if certain regulatory closing conditions remain the only conditions not satisfied or waived as of the Outside Date (other than conditions that by their nature are to be satisfied at the closing) or (c) if the Committee on Foreign Investment in the United States (“CFIUS”) notifies Parent and the Company in writing that it intends to send a report to the President of the United States recommending he act to suspend or prohibit the Merger or the President of the United States issues an order suspending or prohibiting the Merger. The Merger Agreement also provides that (x) the Company will be required to pay Parent a termination fee of $32,350,000 following or in connection with the termination of the Merger Agreement in certain circumstances, including if the Company terminates the Merger Agreement in order to accept a Superior Proposal as set forth in the Merger Agreement and (y) Parent will be required to pay the Company a termination fee of $32,350,000 following or in connection with the termination of the Merger Agreement in certain circumstances, including if the Company terminates the Merger Agreement as a result of regulatory consents not being obtained on or before the Outside Date or the extension thereof and all other applicable conditions to the closing have been satisfied as of the time of such termination.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foregoing description of the Merger Agreement does not purport to be complete and is qualified in its entirety by reference to the Merger Agreement, which is attached hereto as Exhibit 2.1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Critical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prepare our consolidated financial statements in conformity with U.S. GAAP as set forth in the Financial Accounting Standards Board’s (“FASB”) Accounting Standards Codification (“ASC”), and we consider the various staff accounting bulletins and other applicable guidance issued by the United States Securities and Exchange Commission (“SEC”). GAAP, as set forth within the ASC, requires management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and the disclosure of contingent assets and liabilities as of the date of the financial statements and the reported amounts of revenues and expenses during the reporting periods. Note 1 to the accompanying consolidated financial statements includes a summary of significant accounting policies used in the preparation of LiveRamp’s consolidated financial statements. Of those policies, we have identified the following as the most critical because they are both important to the portrayal of the Company’s financial condition and operating results, and they may require management to make judgments and estimates about inherently uncertain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Accounting for Income Taxes</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Revenue Recognition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Company’s policy follows the guidance from ASC 606, </w:t>
      </w:r>
      <w:r>
        <w:rPr>
          <w:rFonts w:ascii="Arial;sans-serif" w:hAnsi="Arial;sans-serif"/>
          <w:b w:val="false"/>
          <w:i/>
          <w:color w:val="000000"/>
          <w:sz w:val="20"/>
        </w:rPr>
        <w:t>Revenue from Contracts with Customers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LiveRamp recognizes revenue from the following sources: (i) Subscription revenue, which consists primarily of subscription fees from customers accessing our LiveRamp platform; and (ii) Marketplace and Other revenue, which primarily consists of revenue-sharing fees generated from access to data through our LiveRamp Data Marketplace, professional services including product implementation, data science analytics and audience measurement, and transactional usage-based revenue from arrangements with certain publishers and addressable TV providers.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 revenue recognition through the following steps: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Identification of the contract, or contracts, with a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Identification of the performance obligations in the contract;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Determination of the transaction price;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Allocation of the transaction price to the performance obligations in the contract;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Recognition of revenue when, or as, the performance obligations are satisfied.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Identification of the contract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consider the terms and conditions of the contract and our customary business practices when identifying our contracts under ASC 606. We determine we have a contract or contract modification with a customer when the contract is approved and the parties are committed to performing their respective obligations, we can identify each party's rights regarding the services to be transferred, we can identify the payment terms for the services, we have determined the contract has commercial substance, and we have determined that collection of at least some of the contract consideration is probable. At contract inception we evaluate whether two or more contracts should be combined and accounted for as a single contract and whether the single or combined contract includes one or multiple performance obligations. We apply judgment in determining the customer's ability to pay, which is based on a variety of factors, including the customer's historical payment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Identification of the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accounting for arrangements with multiple performance obligations, we must assess whether each performance obligation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our subscriptions to the platform are a distinct performance obligation and access to data for revenue-sharing and usage-based arrangements is a distinct performance obligation because, once a customer has access to the platform, the service is fully functional and does not require any additional development, modification, or customization.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Determination of the transaction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transaction price is the amount of consideration we expect to be entitled to in exchange for transferring services to a customer, excluding sales taxes that are collected on behalf of government agencies. Variable consideration is assessed and included in the transaction price if, in our judgment, it is probable that a significant future reversal of cumulative revenue under the contract will not occur. None of our contracts contain a significant financing component.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Allocation of the transaction price to the performance obligations in the contract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distinct performance obligation based on the standalone selling price ("SSP") of each service. We generally determine the SSP based on contractual selling prices when the obligation is sold on a standalone basis, as well as market conditions, competition, and pricing practices. As pricing and marketing strategies evolve, we may modify our pricing practices in the future, which could result in changes to SSP.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Recognition of revenue when, or as, the performance obligations are satisfied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Revenues are recognized when or as control of the promised services is transferred to customers. Subscription revenue is generally recognized ratably over the subscription period beginning on the date the services are made available to customers. Marketplace and other revenue is typically transactional in nature, tied to a revenue share or volumes purchased. We report revenue from Data Marketplace and other similar transactions on a net basis because our performance obligation is to facilitate a transaction between data providers and data buyers, for which we earn a portion of the gross fee. Consequently, the portion of the gross amount billed to data buyers that is remitted to data providers is not reflected as revenues. We generate revenue from services from bundled platform subscriptions and project fees paid by subscribers to our platform.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Accounting for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taxes are estimated based on the results of operations and enacted tax laws in the U.S. and other jurisdictions. Deferred tax assets and liabilities are recognized for temporary differences between the financial reporting basis and income tax basis of assets and liabilities, and for net operating loss and tax credit carryforwards. Deferred tax assets are reduced by a valuation allowance when, based on an evaluation of all available positive and negative evidence, it is more likely than not that some portion of the related tax benefits will not be realized. This assessment requires significant judgment and considers factors such as cumulative results and forecasts of future taxable income. Unrecognized tax benefits arise from tax positions for which the related tax benefit has not been fully recognized. A tax benefit is recognized if it is more likely than not that a tax position will be sustained upon examination based solely on its technical merits and is measured as the largest amount of tax benefit that has a greater than 50% likelihood of being realized upon ultimate settlement with the relevant tax authority.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Key Performance Metrics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measures of financial performance presented in our consolidated financial statements, we monitor the key metrics set forth below to help us evaluate revenue growth trends, establish budgets and measure the effectiveness of our sales and marketing efforts. The data below is presented in millions, except for percentages.</w:t>
      </w:r>
    </w:p>
    <w:tbl>
      <w:tblPr>
        <w:tblW w:w="10205" w:type="dxa"/>
        <w:jc w:val="left"/>
        <w:tblInd w:w="0" w:type="dxa"/>
        <w:tblLayout w:type="fixed"/>
        <w:tblCellMar>
          <w:top w:w="28" w:type="dxa"/>
          <w:left w:w="28" w:type="dxa"/>
          <w:bottom w:w="28" w:type="dxa"/>
          <w:right w:w="28" w:type="dxa"/>
        </w:tblCellMar>
      </w:tblPr>
      <w:tblGrid>
        <w:gridCol w:w="923"/>
        <w:gridCol w:w="811"/>
        <w:gridCol w:w="815"/>
        <w:gridCol w:w="109"/>
        <w:gridCol w:w="109"/>
        <w:gridCol w:w="109"/>
        <w:gridCol w:w="244"/>
        <w:gridCol w:w="556"/>
        <w:gridCol w:w="330"/>
        <w:gridCol w:w="109"/>
        <w:gridCol w:w="109"/>
        <w:gridCol w:w="109"/>
        <w:gridCol w:w="109"/>
        <w:gridCol w:w="109"/>
        <w:gridCol w:w="244"/>
        <w:gridCol w:w="556"/>
        <w:gridCol w:w="330"/>
        <w:gridCol w:w="109"/>
        <w:gridCol w:w="109"/>
        <w:gridCol w:w="109"/>
        <w:gridCol w:w="451"/>
        <w:gridCol w:w="394"/>
        <w:gridCol w:w="1047"/>
        <w:gridCol w:w="109"/>
        <w:gridCol w:w="109"/>
        <w:gridCol w:w="109"/>
        <w:gridCol w:w="381"/>
        <w:gridCol w:w="309"/>
        <w:gridCol w:w="128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 Change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2026 from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2025 from March 31, 2024</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Subscription net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33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3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4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8"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20"/>
              </w:rPr>
            </w:pPr>
            <w:r>
              <w:rPr>
                <w:rFonts w:ascii="Arial;sans-serif" w:hAnsi="Arial;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Annualized recurring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4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88"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20"/>
              </w:rPr>
            </w:pPr>
            <w:r>
              <w:rPr>
                <w:rFonts w:ascii="Arial;sans-serif" w:hAnsi="Arial;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Remaining performance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4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88"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Arial;sans-serif" w:hAnsi="Arial;sans-serif"/>
                <w:b w:val="false"/>
                <w:color w:val="000000"/>
                <w:sz w:val="20"/>
              </w:rPr>
            </w:pPr>
            <w:r>
              <w:rPr>
                <w:rFonts w:ascii="Arial;sans-serif" w:hAnsi="Arial;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Current remaining performance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4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8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Subscription Net Retention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SNR was 107%, primarily reflecting an increase in fixed revenue and a modest increase in variable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Annualized Recurring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Annualized Recurring Revenue (“ARR”) is defined as the last month of quarter fixed subscription revenue annualized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ARR growth of 8% was attributed to both new customer revenue and net growth (upsell revenue less downsell and churn) in existing customer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Remaining Performance Obligations and Current 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and CRPO increased due to several large, multi-year renewals. The relative change in both RPO and CRPO growth (in terms of % change) is primarily due to the size and timing of multi-year renewals.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summary of selected financial information for each of the periods reported is presented below (dollars in thousands, except per share amounts): </w:t>
      </w:r>
    </w:p>
    <w:tbl>
      <w:tblPr>
        <w:tblW w:w="10205" w:type="dxa"/>
        <w:jc w:val="left"/>
        <w:tblInd w:w="0" w:type="dxa"/>
        <w:tblLayout w:type="fixed"/>
        <w:tblCellMar>
          <w:top w:w="28" w:type="dxa"/>
          <w:left w:w="28" w:type="dxa"/>
          <w:bottom w:w="28" w:type="dxa"/>
          <w:right w:w="28" w:type="dxa"/>
        </w:tblCellMar>
      </w:tblPr>
      <w:tblGrid>
        <w:gridCol w:w="1676"/>
        <w:gridCol w:w="1468"/>
        <w:gridCol w:w="1478"/>
        <w:gridCol w:w="109"/>
        <w:gridCol w:w="109"/>
        <w:gridCol w:w="109"/>
        <w:gridCol w:w="109"/>
        <w:gridCol w:w="109"/>
        <w:gridCol w:w="155"/>
        <w:gridCol w:w="155"/>
        <w:gridCol w:w="155"/>
        <w:gridCol w:w="155"/>
        <w:gridCol w:w="301"/>
        <w:gridCol w:w="1223"/>
        <w:gridCol w:w="155"/>
        <w:gridCol w:w="109"/>
        <w:gridCol w:w="109"/>
        <w:gridCol w:w="109"/>
        <w:gridCol w:w="211"/>
        <w:gridCol w:w="856"/>
        <w:gridCol w:w="109"/>
        <w:gridCol w:w="109"/>
        <w:gridCol w:w="109"/>
        <w:gridCol w:w="109"/>
        <w:gridCol w:w="293"/>
        <w:gridCol w:w="293"/>
        <w:gridCol w:w="323"/>
      </w:tblGrid>
      <w:tr>
        <w:trPr/>
        <w:tc>
          <w:tcPr>
            <w:tcW w:w="167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2739" w:type="dxa"/>
            <w:gridSpan w:val="12"/>
            <w:tcBorders/>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2739" w:type="dxa"/>
            <w:gridSpan w:val="12"/>
            <w:tcBorders/>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574,823 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revenues for each of the periods reported is presented below (dollars in thousands):</w:t>
      </w:r>
    </w:p>
    <w:p>
      <w:pPr>
        <w:pStyle w:val="TextBody"/>
        <w:bidi w:val="0"/>
        <w:spacing w:before="0" w:after="0"/>
        <w:jc w:val="left"/>
        <w:rPr/>
      </w:pPr>
      <w:r>
        <w:rPr/>
      </w:r>
    </w:p>
    <w:tbl>
      <w:tblPr>
        <w:tblW w:w="7668" w:type="dxa"/>
        <w:jc w:val="left"/>
        <w:tblInd w:w="0" w:type="dxa"/>
        <w:tblLayout w:type="fixed"/>
        <w:tblCellMar>
          <w:top w:w="28" w:type="dxa"/>
          <w:left w:w="28" w:type="dxa"/>
          <w:bottom w:w="28" w:type="dxa"/>
          <w:right w:w="28" w:type="dxa"/>
        </w:tblCellMar>
      </w:tblPr>
      <w:tblGrid>
        <w:gridCol w:w="760"/>
        <w:gridCol w:w="666"/>
        <w:gridCol w:w="673"/>
        <w:gridCol w:w="109"/>
        <w:gridCol w:w="109"/>
        <w:gridCol w:w="109"/>
        <w:gridCol w:w="109"/>
        <w:gridCol w:w="109"/>
        <w:gridCol w:w="164"/>
        <w:gridCol w:w="164"/>
        <w:gridCol w:w="164"/>
        <w:gridCol w:w="164"/>
        <w:gridCol w:w="318"/>
        <w:gridCol w:w="1290"/>
        <w:gridCol w:w="164"/>
        <w:gridCol w:w="109"/>
        <w:gridCol w:w="109"/>
        <w:gridCol w:w="109"/>
        <w:gridCol w:w="211"/>
        <w:gridCol w:w="856"/>
        <w:gridCol w:w="109"/>
        <w:gridCol w:w="109"/>
        <w:gridCol w:w="109"/>
        <w:gridCol w:w="109"/>
        <w:gridCol w:w="224"/>
        <w:gridCol w:w="224"/>
        <w:gridCol w:w="318"/>
      </w:tblGrid>
      <w:tr>
        <w:trPr/>
        <w:tc>
          <w:tcPr>
            <w:tcW w:w="76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2596" w:type="dxa"/>
            <w:gridSpan w:val="12"/>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2596" w:type="dxa"/>
            <w:gridSpan w:val="12"/>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614,388 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Marketplace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revenues were $812.9 million for the twelve months ended March 31, 2026, a $67.4 million, or 9.0%, increase compared to the same period a year ago. The increase was due to revenue growth in both Subscription and Marketplace and Other. The Subscription revenue growth was $45.5 million, or 8.0%, primarily due to upsell to existing customers and higher variable revenue. The Marketplace and Other revenue growth was $21.9 million, or 12.4%, primarily due to Data Marketplace and Services growth. On a geographic basis, U.S. revenue increased $58.5 million, or 8.3%. International revenue increased $8.8 million, or 21.6%. The differences in exchange rates in the current year compared to those in the prior year favorably impacted international revenue growth by approximately 4.5 percentage points.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Cost of Revenue and Gross Profit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cost of revenue and gross profit for each of the periods reported is presented below (dollars in thousands):</w:t>
      </w:r>
    </w:p>
    <w:tbl>
      <w:tblPr>
        <w:tblW w:w="7162"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109"/>
        <w:gridCol w:w="109"/>
        <w:gridCol w:w="254"/>
        <w:gridCol w:w="254"/>
        <w:gridCol w:w="254"/>
        <w:gridCol w:w="254"/>
        <w:gridCol w:w="492"/>
        <w:gridCol w:w="254"/>
        <w:gridCol w:w="667"/>
        <w:gridCol w:w="109"/>
        <w:gridCol w:w="109"/>
        <w:gridCol w:w="109"/>
        <w:gridCol w:w="265"/>
        <w:gridCol w:w="276"/>
        <w:gridCol w:w="577"/>
        <w:gridCol w:w="109"/>
        <w:gridCol w:w="109"/>
        <w:gridCol w:w="109"/>
        <w:gridCol w:w="224"/>
        <w:gridCol w:w="224"/>
        <w:gridCol w:w="31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2538" w:type="dxa"/>
            <w:gridSpan w:val="1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2538" w:type="dxa"/>
            <w:gridSpan w:val="1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 of revenue includes third-party direct costs including identity graph data, other data and cloud-based hosting costs, as well as costs of IT, security, product operations and professional services functions. Cost of revenue also includes amortization of acquisition-related intangibles.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Cost of revenue was $238.1 million for the twelve months ended March 31, 2026, a $22.2 million, or 10.3%, increase from the same period a year ago. Gross profit increased to $574.8 million (70.7% gross margin) from $529.7 million (71.0% gross margin) in the prior period due to the revenue increase of $67.4 million and a decrease in purchased intangible asset amortization of $3.4 million (roll-off of amortization from previous acquisitions in the prior year), offset partially by an increase in cloud infrastructure costs (increased $26.1 million) driven by increased customer usage and platform migration costs. U.S. gross margins decreased to 70.9% from 71.8%, and International gross margins increased to 67.6% from 57.4%.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operating expenses for each of the periods reported is presented below (dollars in thousands):</w:t>
      </w:r>
    </w:p>
    <w:p>
      <w:pPr>
        <w:pStyle w:val="TextBody"/>
        <w:bidi w:val="0"/>
        <w:spacing w:before="0" w:after="0"/>
        <w:jc w:val="left"/>
        <w:rPr/>
      </w:pPr>
      <w:r>
        <w:rPr/>
      </w:r>
    </w:p>
    <w:tbl>
      <w:tblPr>
        <w:tblW w:w="8688" w:type="dxa"/>
        <w:jc w:val="left"/>
        <w:tblInd w:w="0" w:type="dxa"/>
        <w:tblLayout w:type="fixed"/>
        <w:tblCellMar>
          <w:top w:w="28" w:type="dxa"/>
          <w:left w:w="28" w:type="dxa"/>
          <w:bottom w:w="28" w:type="dxa"/>
          <w:right w:w="28" w:type="dxa"/>
        </w:tblCellMar>
      </w:tblPr>
      <w:tblGrid>
        <w:gridCol w:w="1130"/>
        <w:gridCol w:w="993"/>
        <w:gridCol w:w="996"/>
        <w:gridCol w:w="109"/>
        <w:gridCol w:w="109"/>
        <w:gridCol w:w="109"/>
        <w:gridCol w:w="109"/>
        <w:gridCol w:w="109"/>
        <w:gridCol w:w="164"/>
        <w:gridCol w:w="164"/>
        <w:gridCol w:w="164"/>
        <w:gridCol w:w="164"/>
        <w:gridCol w:w="318"/>
        <w:gridCol w:w="1290"/>
        <w:gridCol w:w="164"/>
        <w:gridCol w:w="109"/>
        <w:gridCol w:w="109"/>
        <w:gridCol w:w="109"/>
        <w:gridCol w:w="211"/>
        <w:gridCol w:w="856"/>
        <w:gridCol w:w="109"/>
        <w:gridCol w:w="109"/>
        <w:gridCol w:w="109"/>
        <w:gridCol w:w="109"/>
        <w:gridCol w:w="224"/>
        <w:gridCol w:w="224"/>
        <w:gridCol w:w="318"/>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2596" w:type="dxa"/>
            <w:gridSpan w:val="1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2596" w:type="dxa"/>
            <w:gridSpan w:val="12"/>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491,357 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(“R&amp;D”) expense includes operating expenses for the Company’s engineering and product/project management functions supporting research, new development, and related product enhancement.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R&amp;D expenses were $148.1 million for the twelve months ended March 31, 2026, a decrease of $28.5 million, or 16.1%, compared to the same period a year ago, and are 18.2% of total revenues compared to 23.7% in the prior year. The decrease is primarily due to stock-based compensation expense (decreased $16.1 million) and headcount-related expenses (decreased $9.0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Sales and marketing (“S&amp;M”) expense includes operating expenses for the Company’s sales, marketing, and product marketing functions. S&amp;M expense also includes provisions for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S&amp;M expenses were $205.6 million for the twelve months ended March 31, 2026, a decrease of $7.5 million, or 3.5%, compared to the same period a year ago, and are 25.3% of total revenues compared to 28.6% in the prior year. The decrease is primarily due to stock-based compensation expense (decreased $4.6 million) and third-party marketing and event expenses (decreased $2.5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("G&amp;A") expense represents operating expenses for the Company's finance, human resources, legal, corporate IT, and other corporate administrative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G&amp;A expenses were $132.6 million for the twelve months ended March 31, 2026, an increase of $6.1 million, or 4.8%, compared to the same period a year ago, and are 16.3% of total revenues compared to 17.0% in the prior year. The increase is primarily due to professional services expenses (increased $6.7 million) largely related to litigation costs, including those associated with the class action lawsuit, and fees in support of strategic corporate initiatives, headcount-related expenses (increased $1.9 million, primarily incentive compensation), offset partially by stock-based compensation expense (decreased $3.1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Gains, losses, and other items, net represents restructuring costs and other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Gains, losses and other items, net was $5.0 million for the twelve months ended March 31, 2026, a decrease of $3.0 million compared to the same period a year ago. The current year relates primarily to employee termination benefits for employees whose positions were eliminated ($4.8 million) and adjustments to previous lease restructuring reserves ($0.2 million). The prior year costs are primarily related to termination benefits for employees whose positions were eliminated ($7.9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Income from Operations and Operating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Income from operations was $83.5 million for the twelve months ended March 31, 2026 compared to income from operations of $5.4 million in the same period a year ago. Operating margin was 10.3% compared to 0.7% in the same period a year ago. Margins in the current year were positively impacted by the leverage from a $32.9 million decrease in total operating expenses, which was significantly impacted by a $23.7 million decrease in stock-based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Total Other Income and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other income, net was $14.6 million for the twelve months ended March 31, 2026 compared to $17.4 million in the same period a year ago. The decrease is primarily attributable to lower interest rates and invested cash in the current year.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Income tax benefit was $46.7 million on income from continuing operations before income taxes of $98.1 million for the twelve months ended March 31, 2026, resulting in a (47.6)% effective tax rate. This compares to income tax expense of $25.3 million on income from continuing operations before income taxes of $22.8 million, or an 111.0% effective tax rate in the same period a year ago. The year-over-year changes, and variance from the federal statutory rate, were primarily due to changes in valuation allowance that resulted in a tax benefit of $53.8 million in fiscal 2026 and a tax expense of $13.2 million in fiscal 2025. In fiscal 2026, a valuation allowance release was recorded based on all available evidence, including sustained profitability in recent years, improved expectations of future taxable income, and the absence of significant negative evidence</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Discontinued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Earnings from discontinued operations, net of tax, was $1.2 million for the twelve months ended March 31, 2026 compared to $1.7 million for the twelve months ended March 31, 2025. During fiscal 2019, the Company completed the sale of its Acxiom Marketing Solutions ("AMS") business, and the business qualified for treatment as discontinued operations. Significant income taxes were incurred and paid on the gain from the sale of AMS. During fiscal 2026 and 2025, the Company recovered certain previously paid state income taxes arising from the sale of 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Capital Resources and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cash and cash equivalents are primarily located in the United States.  At March 31, 2026, approximately $26.2 million of the total cash balance of $379.5 million, or approximately 6.9%, was located outside of the United States.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Trade accounts receivable, net balances were $213.0 million at March 31, 2026, an increase of $26.8 million, compared to $186.2 million at March 31, 2025. Days sales outstanding ("DSO"), a measurement of the time it takes to collect receivables, was 93 days at March 31, 2026, compared to 89 days at March 31, 2025. DSO can fluctuate due to the timing and nature of contracts that lead to up-front billings related to deferred revenue on services not yet performed, and Data Marketplace contracts, which are billed on a gross basis, recognized as revenue on a net basis, but for which the amount that is due to data sellers is not reflected as an offset to accounts receivable. Compared to March 31, 2025, DSO at March 31, 2026 was negatively impacted by approximately four days due to the increased impact of Data Marketplace gross accounts receivable. All customer accounts are actively managed, and no losses in excess of amounts reserved are currently expected.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Working capital at March 31, 2026 totaled $388.4 million, a $20.3 million decrease when compared to $408.7 million at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believes that the Company's existing available cash will be sufficient to meet the Company's working capital and capital expenditure requirements for the short term (the next 12 months) and separately in the long term (beyond the next 12 months). However, in light of the uncertainty regarding tariffs and other trade restrictions, risk of recession, the military conflicts in Europe and the Middle East, cost increases,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These impacts have caused significant disruptions to the global financial markets, which could increase the cost of capital and adversely impact our ability to raise additional capital, which could negatively affect our liquidity in the future. We have historically taken and may continue to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terms of the Merger Agreement, we have agreed to various covenants and agreements, including, among others, agreements to conduct our business in the ordinary course during the period between the execution of the Merger Agreement and the Effective Time. We have agreed that we may not take, commit or agree to do certain actions without Parent’s consent, including, but not limited to, entering into material transactions other than in the ordinary course of business, disposing of material assets, making capital expenditures in excess of the amounts specified in the Merger Agreement, issuing additional capital stock or other equity securities, or incurring indebtedness. We do not believe these restrictions will prevent us from meeting our ongoing operating and working capital needs or capital expenditure requirements.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cash flows for the periods reported (dollars in thousands): </w:t>
      </w:r>
    </w:p>
    <w:tbl>
      <w:tblPr>
        <w:tblW w:w="7625" w:type="dxa"/>
        <w:jc w:val="left"/>
        <w:tblInd w:w="0" w:type="dxa"/>
        <w:tblLayout w:type="fixed"/>
        <w:tblCellMar>
          <w:top w:w="28" w:type="dxa"/>
          <w:left w:w="28" w:type="dxa"/>
          <w:bottom w:w="28" w:type="dxa"/>
          <w:right w:w="28" w:type="dxa"/>
        </w:tblCellMar>
      </w:tblPr>
      <w:tblGrid>
        <w:gridCol w:w="1614"/>
        <w:gridCol w:w="1415"/>
        <w:gridCol w:w="1425"/>
        <w:gridCol w:w="109"/>
        <w:gridCol w:w="109"/>
        <w:gridCol w:w="109"/>
        <w:gridCol w:w="211"/>
        <w:gridCol w:w="916"/>
        <w:gridCol w:w="109"/>
        <w:gridCol w:w="109"/>
        <w:gridCol w:w="109"/>
        <w:gridCol w:w="109"/>
        <w:gridCol w:w="211"/>
        <w:gridCol w:w="91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608"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flows from operating activities are primarily influenced by growth in our operations, increases or decreases in collections from our customers, and related payments to our suppliers and employees. The timing of cash receipts from customers and payments to suppliers and employees can significantly impact our cash flows from operating activities. Our collection and payment cycles can vary from period to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for the twelve months ended March 31, 2026 was $167.8 million and resulted primarily from operating results adjusted for non-cash items of $187.7 million offset by changes in operating assets and liabilities of $20.0 million. Net cash used due to changes in operating assets and liabilities was primarily related to an increase in accounts receivable of $28.3 million. The change in accounts receivable is primarily due to revenue growth and the timing of cash receipts from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 for the twelve months ended March 31, 2025 was $154.0 million and resulted primarily from operating results adjusted for non-cash items of $122.7 million and changes in operating assets and liabilities of $31.2 million. The largest source of net cash provided by changes in operating assets and liabilities was an increase in deferred revenue of $14.9 million. The change in deferred revenue is primarily due to growth in quarterly and annual upfront billings to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for the twelve months ended March 31, 2026 was $4.9 million and consisted of purchases of strategic investments for $3.3 million, capital expenditures of $1.4 million and net cash paid in acquisitions of $0.6 million related primarily to the Habu escrow release, offset partially by proceeds from sales of strategic investments of $0.4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investing activities for the twelve months ended March 31, 2025 was $21.4 million and consisted of the proceeds from the sale of short-term investments of $27.0 million and proceeds from the sale of a strategic investment of $0.8 million, partially offset by purchases of short-term investments of $2.0 million, cash paid related to the Habu acquisition of $2.0 million, the purchases of strategic investments of $1.4 million, and capital expenditures of $1.0 million.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financing activities have consisted of acquisition of treasury stock, proceeds from our equity compensation plans, and shares repurchased for tax withholdings upon vesting of stock-based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for the twelve months ended March 31, 2026 was $199.3 million and consisted of the acquisition of treasury shares pursuant to the board of directors' approved stock repurchase plan, and related excise tax payments, of $194.5 million (7.1 million shares), and $13.0 million for shares repurchased for tax withholdings upon vesting of stock-based awards. These uses of cash were partially offset by $8.2 million of proceeds from the sale of common stock from our equity compensation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 for the twelve months ended March 31, 2025 was $102.7 million and consisted of the acquisition of treasury shares pursuant to the board of directors' approved stock repurchase plan, and related excise tax payments, of $101.2 million (3.8 million shares), and $10.3 million for shares repurchased for tax withholdings upon vesting of stock-based awards. These uses of cash were partially offset by $8.8 million of proceeds from the sale of common stock from our equity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Common Stock Repurchase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12, 2026,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$1.5 billion. In addition, it extended the common stock repurchase program duration through December 31, 2027.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2026, the Company repurchased 7.1 million shares of its common stock for $194.4 million under the modified common stock repurchase program. Through March 31, 2026, the Company had repurchased a total of 48.6 million shares of its common stock for $1.2 billion under the program, leaving remaining capacity of $261.8 million. The repurchase amounts included in the consolidated statements of stockholders' equity and the consolidated statements of cash flows included amounts related to the 1% excise tax on share repurchases, net of share issuances, as a result of the Inflation Reduction Act of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repurchase amounts included in the consolidated financial statements that were related to the 1% excise tax on share repurchases, net of share issuances, as a result of the Inflation Reduction Act of 2022 are (dollars in thousands):</w:t>
      </w:r>
    </w:p>
    <w:tbl>
      <w:tblPr>
        <w:tblW w:w="9549" w:type="dxa"/>
        <w:jc w:val="left"/>
        <w:tblInd w:w="0" w:type="dxa"/>
        <w:tblLayout w:type="fixed"/>
        <w:tblCellMar>
          <w:top w:w="28" w:type="dxa"/>
          <w:left w:w="28" w:type="dxa"/>
          <w:bottom w:w="28" w:type="dxa"/>
          <w:right w:w="28" w:type="dxa"/>
        </w:tblCellMar>
      </w:tblPr>
      <w:tblGrid>
        <w:gridCol w:w="2442"/>
        <w:gridCol w:w="2148"/>
        <w:gridCol w:w="2159"/>
        <w:gridCol w:w="109"/>
        <w:gridCol w:w="109"/>
        <w:gridCol w:w="109"/>
        <w:gridCol w:w="244"/>
        <w:gridCol w:w="747"/>
        <w:gridCol w:w="126"/>
        <w:gridCol w:w="126"/>
        <w:gridCol w:w="126"/>
        <w:gridCol w:w="126"/>
        <w:gridCol w:w="244"/>
        <w:gridCol w:w="556"/>
        <w:gridCol w:w="178"/>
      </w:tblGrid>
      <w:tr>
        <w:trPr/>
        <w:tc>
          <w:tcPr>
            <w:tcW w:w="244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accruals included in the consolidated statements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 including transaction costs and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payments included in the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Contractual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present the Company’s contractual cash obligations and purchase commitments at March 31, 2026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$36.0 million as the Company is not able to predict the periods in which the payments will be made. </w:t>
      </w:r>
    </w:p>
    <w:tbl>
      <w:tblPr>
        <w:tblW w:w="10205" w:type="dxa"/>
        <w:jc w:val="left"/>
        <w:tblInd w:w="0" w:type="dxa"/>
        <w:tblLayout w:type="fixed"/>
        <w:tblCellMar>
          <w:top w:w="28" w:type="dxa"/>
          <w:left w:w="28" w:type="dxa"/>
          <w:bottom w:w="28" w:type="dxa"/>
          <w:right w:w="28" w:type="dxa"/>
        </w:tblCellMar>
      </w:tblPr>
      <w:tblGrid>
        <w:gridCol w:w="381"/>
        <w:gridCol w:w="335"/>
        <w:gridCol w:w="336"/>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66"/>
        <w:gridCol w:w="512"/>
        <w:gridCol w:w="138"/>
        <w:gridCol w:w="109"/>
        <w:gridCol w:w="109"/>
        <w:gridCol w:w="109"/>
        <w:gridCol w:w="211"/>
        <w:gridCol w:w="751"/>
        <w:gridCol w:w="156"/>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375"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years ending March 31,</w:t>
            </w:r>
          </w:p>
        </w:tc>
        <w:tc>
          <w:tcPr>
            <w:tcW w:w="1661" w:type="dxa"/>
            <w:gridSpan w:val="8"/>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Company does not have any other material contractual commitments for capital expenditures, certain levels of investments in facilities and computer equipment continue to be necessary to support the growth of the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 description of certain risks that could have an impact on results of operations or financial condition, including liquidity and capital resources, see “Risk Factors” contained in Part I, Item 1A, of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Recent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information on recent accounting pronouncements, see “Accounting Pronouncements Adopted During the Current Year" and “Recent Accounting Pronouncements Not Yet Adopted” under Note 1, “Organization and Summary of Significant Accounting Policies”, of the Notes to Consolidated Financial Statements accompanying this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40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Stockholders and Board of Directors</w:t>
        <w:br/>
        <w:t>LiveRamp Holdings, Inc.:</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Opinions on the Consolidated Financial Statements and Internal Control Over Financial Reporting</w:t>
      </w:r>
    </w:p>
    <w:p>
      <w:pPr>
        <w:pStyle w:val="TextBody"/>
        <w:bidi w:val="0"/>
        <w:spacing w:lineRule="auto" w:line="288" w:before="0" w:after="0"/>
        <w:jc w:val="left"/>
        <w:rPr/>
      </w:pPr>
      <w:r>
        <w:rPr>
          <w:rFonts w:ascii="Arial;sans-serif" w:hAnsi="Arial;sans-serif"/>
          <w:b w:val="false"/>
          <w:color w:val="000000"/>
          <w:sz w:val="20"/>
        </w:rPr>
        <w:t xml:space="preserve">We have audited the accompanying consolidated balance sheets of LiveRamp Holdings, Inc. and subsidiaries (the Company) as of March 31, 2026 and 2025, the related consolidated statements of operations, comprehensive income (loss), equity, and cash flows for each of the years in the three-year period ended March 31, 2026, and the related notes (collectively, the consolidated financial statements). We also have audited the Company’s internal control over financial reporting as of March 31, 2026,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our opinion, the consolidated financial statements referred to above present fairly, in all material respects, the financial position of the Company as of March 31, 2026 and 2025, and the results of its operations and its cash flows for each of the years in the three-year period ended March 31, 2026, in conformity with U.S. generally accepted accounting principles. Also in our opinion, the Company maintained, in all material respects, effective internal control over financial reporting as of March 31, 2026 based on criteria established in </w:t>
      </w:r>
      <w:r>
        <w:rPr>
          <w:rFonts w:ascii="Arial;sans-serif" w:hAnsi="Arial;sans-serif"/>
          <w:b w:val="false"/>
          <w:i/>
          <w:color w:val="000000"/>
          <w:sz w:val="20"/>
        </w:rPr>
        <w:t xml:space="preserve">Internal Control – Integrated Framework (2013) </w:t>
      </w:r>
      <w:r>
        <w:rPr>
          <w:rFonts w:ascii="Arial;sans-serif" w:hAnsi="Arial;sans-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Evaluation of the sufficiency of audit evidence over revenue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discussed in Notes 1 and 2 to the consolidated financial statements, the Company recorded $812.9 million of total revenues for the year ended March 31, 2026, of which $614.4 million was subscription related, and $198.5 million was marketplace and other related.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identified the evaluation of the sufficiency of audit evidence over revenue as a critical audit matter. Evaluating the nature and extent of audit evidence obtained for new revenue contracts or amendments of existing contracts required subjective auditor judgment because of the non-standard nature of the Company’s revenue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applied auditor judgment to determine the nature and extent of procedures to be performed over new or amended revenue contracts. We tested certain internal controls over the Company’s revenue recognition process, including controls over the Company’s assessment of the revenue recognition requirements for new or amended revenue contracts. We tested certain new or amended contracts by reading the underlying contracts and evaluating the Company’s assessment of revenue recognition requirements. We obtained external confirmation directly from certain of the Company’s customers and compared the terms and conditions relevant to the Company’s revenue recognition to the Company’s contracts with those customers. We assessed the recorded revenue by selecting a sample of transactions and comparing the amounts recognized for consistency with underlying documentation, including contracts with customers. In addition, we evaluated the overall sufficiency of audit evidence over revenue by assessing the results of procedures performed.</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2003.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Dallas,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May 21,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(Dollars in thousands) </w:t>
      </w:r>
    </w:p>
    <w:tbl>
      <w:tblPr>
        <w:tblW w:w="10205" w:type="dxa"/>
        <w:jc w:val="center"/>
        <w:tblInd w:w="0" w:type="dxa"/>
        <w:tblLayout w:type="fixed"/>
        <w:tblCellMar>
          <w:top w:w="28" w:type="dxa"/>
          <w:left w:w="28" w:type="dxa"/>
          <w:bottom w:w="28" w:type="dxa"/>
          <w:right w:w="28" w:type="dxa"/>
        </w:tblCellMar>
      </w:tblPr>
      <w:tblGrid>
        <w:gridCol w:w="2754"/>
        <w:gridCol w:w="2085"/>
        <w:gridCol w:w="2073"/>
        <w:gridCol w:w="109"/>
        <w:gridCol w:w="109"/>
        <w:gridCol w:w="109"/>
        <w:gridCol w:w="211"/>
        <w:gridCol w:w="976"/>
        <w:gridCol w:w="109"/>
        <w:gridCol w:w="109"/>
        <w:gridCol w:w="109"/>
        <w:gridCol w:w="109"/>
        <w:gridCol w:w="211"/>
        <w:gridCol w:w="976"/>
        <w:gridCol w:w="156"/>
      </w:tblGrid>
      <w:tr>
        <w:trPr/>
        <w:tc>
          <w:tcPr>
            <w:tcW w:w="2754"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Refundable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656,189 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$1.00 par value (authorized 1 million shares; issued 0 shares at March 31,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$0.10 par value (authorized 200 million shares; issued 161.8 million and 159.2 million shares at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(101.3 million and 93.8 million shares at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(2,430,028)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 except per share amounts)</w:t>
      </w:r>
    </w:p>
    <w:p>
      <w:pPr>
        <w:pStyle w:val="TextBody"/>
        <w:bidi w:val="0"/>
        <w:spacing w:lineRule="auto" w:line="288" w:before="0" w:after="0"/>
        <w:ind w:left="0" w:right="0" w:firstLine="1260"/>
        <w:jc w:val="center"/>
        <w:rPr>
          <w:color w:val="0563C1"/>
        </w:rPr>
      </w:pPr>
      <w:r>
        <w:rPr>
          <w:color w:val="0563C1"/>
        </w:rPr>
        <w:t> </w:t>
      </w:r>
    </w:p>
    <w:tbl>
      <w:tblPr>
        <w:tblW w:w="9429" w:type="dxa"/>
        <w:jc w:val="center"/>
        <w:tblInd w:w="0" w:type="dxa"/>
        <w:tblLayout w:type="fixed"/>
        <w:tblCellMar>
          <w:top w:w="28" w:type="dxa"/>
          <w:left w:w="28" w:type="dxa"/>
          <w:bottom w:w="28" w:type="dxa"/>
          <w:right w:w="28" w:type="dxa"/>
        </w:tblCellMar>
      </w:tblPr>
      <w:tblGrid>
        <w:gridCol w:w="1679"/>
        <w:gridCol w:w="1477"/>
        <w:gridCol w:w="1478"/>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and 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LIVERAMP HOLDINGS, INC. AND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STATEMENTS OF COMPREHENSIVE INCOME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w:t>
      </w:r>
    </w:p>
    <w:p>
      <w:pPr>
        <w:pStyle w:val="TextBody"/>
        <w:bidi w:val="0"/>
        <w:spacing w:lineRule="auto" w:line="288" w:before="0" w:after="0"/>
        <w:ind w:left="0" w:right="0" w:firstLine="1260"/>
        <w:jc w:val="center"/>
        <w:rPr>
          <w:color w:val="0563C1"/>
        </w:rPr>
      </w:pPr>
      <w:r>
        <w:rPr>
          <w:color w:val="0563C1"/>
        </w:rPr>
        <w:t> </w:t>
      </w:r>
    </w:p>
    <w:tbl>
      <w:tblPr>
        <w:tblW w:w="8542" w:type="dxa"/>
        <w:jc w:val="center"/>
        <w:tblInd w:w="0" w:type="dxa"/>
        <w:tblLayout w:type="fixed"/>
        <w:tblCellMar>
          <w:top w:w="28" w:type="dxa"/>
          <w:left w:w="28" w:type="dxa"/>
          <w:bottom w:w="28" w:type="dxa"/>
          <w:right w:w="28" w:type="dxa"/>
        </w:tblCellMar>
      </w:tblPr>
      <w:tblGrid>
        <w:gridCol w:w="1514"/>
        <w:gridCol w:w="1332"/>
        <w:gridCol w:w="1338"/>
        <w:gridCol w:w="109"/>
        <w:gridCol w:w="109"/>
        <w:gridCol w:w="109"/>
        <w:gridCol w:w="109"/>
        <w:gridCol w:w="109"/>
        <w:gridCol w:w="109"/>
        <w:gridCol w:w="109"/>
        <w:gridCol w:w="211"/>
        <w:gridCol w:w="826"/>
        <w:gridCol w:w="109"/>
        <w:gridCol w:w="109"/>
        <w:gridCol w:w="109"/>
        <w:gridCol w:w="109"/>
        <w:gridCol w:w="211"/>
        <w:gridCol w:w="541"/>
        <w:gridCol w:w="109"/>
        <w:gridCol w:w="109"/>
        <w:gridCol w:w="109"/>
        <w:gridCol w:w="109"/>
        <w:gridCol w:w="360"/>
        <w:gridCol w:w="361"/>
        <w:gridCol w:w="213"/>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1261"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261"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449" w:type="dxa"/>
            <w:gridSpan w:val="1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11,341 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3566" w:type="dxa"/>
        <w:jc w:val="center"/>
        <w:tblInd w:w="0" w:type="dxa"/>
        <w:tblLayout w:type="fixed"/>
        <w:tblCellMar>
          <w:top w:w="28" w:type="dxa"/>
          <w:left w:w="28" w:type="dxa"/>
          <w:bottom w:w="28" w:type="dxa"/>
          <w:right w:w="28" w:type="dxa"/>
        </w:tblCellMar>
      </w:tblPr>
      <w:tblGrid>
        <w:gridCol w:w="948"/>
        <w:gridCol w:w="253"/>
        <w:gridCol w:w="255"/>
        <w:gridCol w:w="109"/>
        <w:gridCol w:w="109"/>
        <w:gridCol w:w="109"/>
        <w:gridCol w:w="525"/>
        <w:gridCol w:w="526"/>
        <w:gridCol w:w="283"/>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00"/>
        <w:gridCol w:w="852"/>
        <w:gridCol w:w="169"/>
        <w:gridCol w:w="109"/>
        <w:gridCol w:w="109"/>
        <w:gridCol w:w="109"/>
        <w:gridCol w:w="488"/>
        <w:gridCol w:w="488"/>
        <w:gridCol w:w="283"/>
        <w:gridCol w:w="109"/>
        <w:gridCol w:w="109"/>
        <w:gridCol w:w="109"/>
        <w:gridCol w:w="196"/>
        <w:gridCol w:w="886"/>
        <w:gridCol w:w="109"/>
        <w:gridCol w:w="109"/>
        <w:gridCol w:w="109"/>
        <w:gridCol w:w="109"/>
        <w:gridCol w:w="196"/>
        <w:gridCol w:w="73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6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LIVERAMP HOLDINGS, INC. AND SUBSIDIARIES</w:t>
            </w:r>
          </w:p>
        </w:tc>
      </w:tr>
      <w:tr>
        <w:trPr/>
        <w:tc>
          <w:tcPr>
            <w:tcW w:w="1356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 STATEMENTS OF EQUITY</w:t>
            </w:r>
          </w:p>
        </w:tc>
      </w:tr>
      <w:tr>
        <w:trPr/>
        <w:tc>
          <w:tcPr>
            <w:tcW w:w="1356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thousands) </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153,987,784 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(87,372,837)</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369,442 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(219,270)</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39,174 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1,427,305 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restricted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36,118 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Liability-classified restricted stock units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replacement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(2,076,854)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155,943,262 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(89,668,961)</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(2,318,371)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422,840 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(329,582)</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2,772,149 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(3,762,416)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159,176,452 </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2,045,316 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1,313,358 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4,295 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(93,760,959)</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(2,430,028)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948,859 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before="0" w:after="0"/>
        <w:jc w:val="left"/>
        <w:rPr/>
      </w:pPr>
      <w:r>
        <w:rPr/>
      </w:r>
    </w:p>
    <w:tbl>
      <w:tblPr>
        <w:tblW w:w="13476" w:type="dxa"/>
        <w:jc w:val="center"/>
        <w:tblInd w:w="0" w:type="dxa"/>
        <w:tblLayout w:type="fixed"/>
        <w:tblCellMar>
          <w:top w:w="28" w:type="dxa"/>
          <w:left w:w="28" w:type="dxa"/>
          <w:bottom w:w="28" w:type="dxa"/>
          <w:right w:w="28" w:type="dxa"/>
        </w:tblCellMar>
      </w:tblPr>
      <w:tblGrid>
        <w:gridCol w:w="720"/>
        <w:gridCol w:w="277"/>
        <w:gridCol w:w="279"/>
        <w:gridCol w:w="109"/>
        <w:gridCol w:w="109"/>
        <w:gridCol w:w="109"/>
        <w:gridCol w:w="524"/>
        <w:gridCol w:w="527"/>
        <w:gridCol w:w="283"/>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00"/>
        <w:gridCol w:w="852"/>
        <w:gridCol w:w="169"/>
        <w:gridCol w:w="109"/>
        <w:gridCol w:w="109"/>
        <w:gridCol w:w="109"/>
        <w:gridCol w:w="531"/>
        <w:gridCol w:w="535"/>
        <w:gridCol w:w="283"/>
        <w:gridCol w:w="109"/>
        <w:gridCol w:w="109"/>
        <w:gridCol w:w="109"/>
        <w:gridCol w:w="196"/>
        <w:gridCol w:w="886"/>
        <w:gridCol w:w="109"/>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LIVERAMP HOLDINGS, INC. AND SUBSIDIARIES</w:t>
            </w:r>
          </w:p>
        </w:tc>
      </w:tr>
      <w:tr>
        <w:trPr/>
        <w:tc>
          <w:tcPr>
            <w:tcW w:w="134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CONSOLIDATED STATEMENTS OF EQUITY</w:t>
            </w:r>
          </w:p>
        </w:tc>
      </w:tr>
      <w:tr>
        <w:trPr/>
        <w:tc>
          <w:tcPr>
            <w:tcW w:w="134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thousands) </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awards, benefit plans and other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434,790 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(420,465)</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54,892 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2,164,714 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treasury stock, including transaction costs and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(7,099,306)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161,830,848 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(101,280,730)</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(2,638,708)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consolidated financial statements.</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28"/>
        <w:gridCol w:w="1880"/>
        <w:gridCol w:w="1887"/>
        <w:gridCol w:w="109"/>
        <w:gridCol w:w="109"/>
        <w:gridCol w:w="109"/>
        <w:gridCol w:w="211"/>
        <w:gridCol w:w="826"/>
        <w:gridCol w:w="109"/>
        <w:gridCol w:w="109"/>
        <w:gridCol w:w="109"/>
        <w:gridCol w:w="109"/>
        <w:gridCol w:w="257"/>
        <w:gridCol w:w="627"/>
        <w:gridCol w:w="109"/>
        <w:gridCol w:w="109"/>
        <w:gridCol w:w="109"/>
        <w:gridCol w:w="109"/>
        <w:gridCol w:w="211"/>
        <w:gridCol w:w="721"/>
        <w:gridCol w:w="158"/>
      </w:tblGrid>
      <w:tr>
        <w:trPr/>
        <w:tc>
          <w:tcPr>
            <w:tcW w:w="222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 STATEMENTS OF CASH FLOWS</w:t>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4210"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r>
      <w:tr>
        <w:trPr/>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or impairment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Lease-related impairment and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in acquisitions, net of cash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strategic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(173,680)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related to the issuance of common stock under stock and employee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 for tax withholdings upon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(59,115)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(127,139)</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92"/>
        <w:gridCol w:w="1823"/>
        <w:gridCol w:w="1825"/>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92"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 STATEMENTS OF CASH FLOWS</w:t>
            </w:r>
          </w:p>
        </w:tc>
      </w:tr>
      <w:tr>
        <w:trPr/>
        <w:tc>
          <w:tcPr>
            <w:tcW w:w="5740" w:type="dxa"/>
            <w:gridSpan w:val="3"/>
            <w:tcBorders/>
            <w:vAlign w:val="center"/>
          </w:tcPr>
          <w:p>
            <w:pPr>
              <w:pStyle w:val="TableContents"/>
              <w:bidi w:val="0"/>
              <w:spacing w:before="0" w:after="283"/>
              <w:jc w:val="left"/>
              <w:rPr>
                <w:sz w:val="4"/>
                <w:szCs w:val="4"/>
              </w:rPr>
            </w:pPr>
            <w:r>
              <w:rPr>
                <w:sz w:val="4"/>
                <w:szCs w:val="4"/>
              </w:rPr>
            </w:r>
          </w:p>
        </w:tc>
        <w:tc>
          <w:tcPr>
            <w:tcW w:w="4465"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339,471 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for income taxes, net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for tenant improvement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lease assets obtained in exchange for operating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related lease liabilities, relinquished in lease terminations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 remaining unpaid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equity securities obtained in disposition of strategic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Excise tax payable on net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563C1"/>
        </w:rPr>
      </w:pPr>
      <w:r>
        <w:rPr>
          <w:color w:val="0563C1"/>
        </w:rPr>
        <w:t> </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LIVERAMP HOLDINGS,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NOTES TO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ORGANIZATION AND SUMMARY OF SIGNIFICANT ACCOUNTING POLICIES: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Description of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 — 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and our networked platform. Built on a foundation of strict neutrality, interoperability, and global scale, LiveRamp enables organizations to maximize the value of their data while accelerating business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systems, direct marketing, retail, automotive, telecommunications, technology, consumer packaged goods, media, healthcare, travel and hospitality, entertainment and non-profit. We serve thousands of additional companies through our expansive partner ecosystem, unlocking access to unique customer moments and creating powerful network effects.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Pending Merger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16, 2026, the Company entered into an Agreement and Plan of Merger (the “Merger Agreement”) with MMS USA Holdings, Inc., a Delaware corporation (“Parent”) and a wholly owned subsidiary of Publicis (defined below), Covey Merger Sub, Inc., a Delaware corporation and a wholly owned subsidiary of Parent ("Merger Sub"), and, solely for the purpose of Section 10.14 thereto, Publicis Groupe S.A., a French société anonyme ("Publicis"), pursuant to which, among other things, at the effective time of the Merger (the "Effective Time"), Merger Sub will merge with and into the Company (the “Merger”), with the Company continuing as the surviving corporation and a direct wholly owned subsidiary of Parent.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set forth in the Merger Agreement, at the Effective Time, each share of common stock, par value $0.10 per share, of the Company (“Company Common Stock”) issued and outstanding immediately prior to the Effective Time (other than any (i) Company Common Stock owned by stockholders that have properly perfected their rights of appraisal within the meaning of Section 262 of the Delaware General Corporation Law; (ii) Company Common Stock owned by the Company, Parent or Merger Sub; and (iii) Company Common Stock owned by any direct or indirect wholly owned subsidiary of Parent (other than Merger Sub) or of the Company) will be converted into the right to receive $38.50 in cash, without interest. The Merger is expected to close by the end of calendar year 2026, subject to customary closing conditions including approval by the Company’s stockholders and the receipt of required regulatory approvals.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Basis of Presentation and Principles of Consolidation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accompanying consolidated financial statements include the accounts of the Company and its subsidiaries, after elimination of all significant intercompany accounts and transactions. We have prepared the accompanying consolidated financial statements in U.S. dollars in accordance with accounting principles generally accepted in the U.S. (“GAAP”) as set forth in the Financial Accounting Standards Board’s (“FASB”) Accounting Standards Codification and Updates (“ASC” and "ASU"), and we consider the various staff accounting bulletins and other applicable guidance issued by the United States Securities and Exchange Commission ("SEC"). Our fiscal year ends on March 31. References to fiscal 2026, for example, are to the twelve months ended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Use of Estimates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preparing consolidated financial statements and related disclosures in conformity with GAAP and pursuant to the rules and regulations of the SEC, we must make estimates and judgments that affect the amounts reported in the consolidated financial statements and accompanying notes. Estimates are used in determining, among other items, revenue recognition criteria, allowance for credit losses, operating lease assets and liabilities, including the incremental borrowing rate and terms and provision of each lease, the fair value of acquired assets and assumed liabilities, restructuring and impairment accruals, litigation and facilities lease loss accruals, stock-based compensation, and the recognition and measurement of current and deferred income taxes, including the measurement of uncertain tax positions.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March 31, 2026, the impacts to the Company's business due to risks related to tariffs and other trade restrictions, geopolitical developments and macroeconomic factors, such as inflation, bank failures, changes in foreign currency exchange rates and supply chain disruptions, continue to evolve. As a result, many of the Company's estimates and assumptions, including the allowance for credit losses, consider macroeconomic factors in the market, which require increased judgment and carry a higher degree of variability and volatility. As events continue to evolve and additional information becomes available, the Company's estimates may change materially in future periods.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Operating Segments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apply the provisions of ASC 280,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to our segment disclosures. The segment disclosures may be found in Note 16, "Segment and Geographic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Earnings (Loss) per Share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Basic net earnings (loss) per share is computed by dividing net earnings (loss) by the weighted average number of common shares outstanding for the period. Diluted net earnings (loss) per share is computed by giving effect to all potential dilutive common stock equivalents outstanding for the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the numerator and denominator of basic and diluted earnings (loss) per share is shown below (in thousands, except per share amounts):</w:t>
      </w:r>
    </w:p>
    <w:tbl>
      <w:tblPr>
        <w:tblW w:w="10205" w:type="dxa"/>
        <w:jc w:val="left"/>
        <w:tblInd w:w="0" w:type="dxa"/>
        <w:tblLayout w:type="fixed"/>
        <w:tblCellMar>
          <w:top w:w="28" w:type="dxa"/>
          <w:left w:w="28" w:type="dxa"/>
          <w:bottom w:w="28" w:type="dxa"/>
          <w:right w:w="28" w:type="dxa"/>
        </w:tblCellMar>
      </w:tblPr>
      <w:tblGrid>
        <w:gridCol w:w="2274"/>
        <w:gridCol w:w="1608"/>
        <w:gridCol w:w="1621"/>
        <w:gridCol w:w="109"/>
        <w:gridCol w:w="109"/>
        <w:gridCol w:w="109"/>
        <w:gridCol w:w="109"/>
        <w:gridCol w:w="109"/>
        <w:gridCol w:w="109"/>
        <w:gridCol w:w="109"/>
        <w:gridCol w:w="211"/>
        <w:gridCol w:w="856"/>
        <w:gridCol w:w="109"/>
        <w:gridCol w:w="109"/>
        <w:gridCol w:w="109"/>
        <w:gridCol w:w="109"/>
        <w:gridCol w:w="211"/>
        <w:gridCol w:w="672"/>
        <w:gridCol w:w="109"/>
        <w:gridCol w:w="109"/>
        <w:gridCol w:w="109"/>
        <w:gridCol w:w="109"/>
        <w:gridCol w:w="211"/>
        <w:gridCol w:w="751"/>
        <w:gridCol w:w="155"/>
      </w:tblGrid>
      <w:tr>
        <w:trPr/>
        <w:tc>
          <w:tcPr>
            <w:tcW w:w="227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6"/>
            <w:tcBorders/>
          </w:tcPr>
          <w:p>
            <w:pPr>
              <w:pStyle w:val="TableContents"/>
              <w:bidi w:val="0"/>
              <w:spacing w:before="0" w:after="283"/>
              <w:jc w:val="left"/>
              <w:rPr>
                <w:sz w:val="4"/>
                <w:szCs w:val="4"/>
              </w:rPr>
            </w:pPr>
            <w:r>
              <w:rPr>
                <w:sz w:val="4"/>
                <w:szCs w:val="4"/>
              </w:rPr>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March 31,</w:t>
            </w:r>
          </w:p>
        </w:tc>
        <w:tc>
          <w:tcPr>
            <w:tcW w:w="1444" w:type="dxa"/>
            <w:gridSpan w:val="6"/>
            <w:tcBorders/>
          </w:tcPr>
          <w:p>
            <w:pPr>
              <w:pStyle w:val="TableContents"/>
              <w:bidi w:val="0"/>
              <w:spacing w:before="0" w:after="283"/>
              <w:jc w:val="left"/>
              <w:rPr>
                <w:sz w:val="4"/>
                <w:szCs w:val="4"/>
              </w:rPr>
            </w:pPr>
            <w:r>
              <w:rPr>
                <w:sz w:val="4"/>
                <w:szCs w:val="4"/>
              </w:rPr>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common stock options and restricted stock units as computed under the treasury stock method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equity awards under stock-based award plans excluded from the determination of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Earnings per share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number of common stock options and restricted stock units as computed under the treasury stock method that would have otherwise been dilutive but are excluded from the table above because their effect would have been anti-dilutive due to the net loss position of the Company was 1.4 million for the twelve months ended March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Cash and Cash Equivalents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considers all highly liquid investments purchased with original maturities of three months or less to be cash equivalents. Cash and cash equivalents consist of cash held in bank deposit accounts and short-term, highly liquid money market fund investments and U.S. Treasury securities with remaining maturities of three months or less at the date of purchase.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Investments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Investments primarily consist of U.S. Treasury securities and certificates of deposit. Securities having remaining maturities of more than three months at the date of purchase and less than one year from the date of the balance sheet are classified as short-term, and those with maturities of more than one year from the date of the balance sheet are classified as long-term in the consolidated balance sheets. These investments are carried at fair market value, with unrealized gains and losses considered to be temporary in nature reported as accumulated other comprehensive income,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 We did not recognize any gains or losses in the twelve months ended March 31, 2026, 2025 or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Beginning in fiscal 2025, the Company also holds immaterial, non-controlling investments in publicly held equity securities that are recorded in other current assets in the consolidated balance sheets. Changes in the fair value are measured on a recurring basis and recognized within total other income, net in the consolidated statements of operations. The fair value changes resulted in net losses of $0.3 million and $0.2 million for the twelve months ended March 31, 2026 and 2025, respectively, due to net changes in the underlying stock prices of those investments.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Strategic Investments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statements of operations. 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as other expense, net of tax. During the twelve months ended March 31, 2026, the Company recorded a $0.1 million impairment of a strategic investment that is recorded in other income, net in the consolidated statement of operations. There were no impairment charges for the twelve months ended March 31, 2025 or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Revenue Recognition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 recognizes revenue from the following sources: (i) Subscription revenue, which consists primarily of subscription fees from customers accessing our LiveRamp platform; and (ii) Marketplace and Other revenue, which primarily consists of revenue-sharing fees generated from access to data through our LiveRamp Data Marketplace, professional services including product implementation, data science analytics and audience measurement, and transactional usage-based revenue from arrangements with certain publishers and addressable TV providers.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 revenue recognition through the following steps: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Identification of the contract, or contracts, with a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Identification of the performance obligations in the contract;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Determination of the transaction price;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Allocation of the transaction price to the performance obligations in the contract;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Recognition of revenue when, or as, the performance obligations are satisfied.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Identification of the contract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consider the terms and conditions of the contract and our customary business practices when identifying our contracts under ASC 606. We determine we have a contract with a customer when the contract or contract modification is approved and the parties are committed to performing their respective obligations, we can identify each party's rights regarding the services to be transferred, we can identify the payment terms for the services, we have determined the contract has commercial substance, and we have determined that collection of at least some of the contract consideration is probable. At contract inception we evaluate whether two or more contracts should be combined and accounted for as a single contract and whether the single or combined contract includes one or multiple performance obligations. We apply judgment in determining the customer's ability to pay, which is based on a variety of factors, including the customer's historical payment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Identification of the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accounting for arrangements with multiple performance obligations, we must assess whether each performance obligation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our subscriptions to the platform are a distinct performance obligation and access to data for revenue-sharing and usage-based arrangements is a distinct performance obligation because, once a customer has access to the platform, the service is fully functional and does not require any additional development, modification, or customization.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Determination of the transaction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transaction price is the amount of consideration we expect to be entitled to in exchange for transferring services to a customer, excluding sales taxes that are collected on behalf of government agencies. Variable consideration is assessed and included in the transaction price if, in our judgment, it is probable that a significant future reversal of cumulative revenue under the contract will not occur. None of our contracts contain a significant financing component.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Allocation of the transaction price to the performance obligations in the contract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distinct performance obligation based on the standalone selling price ("SSP") of each service. We generally determine the SSP based on contractual selling prices when the obligation is sold on a standalone basis, as well as market conditions, competition, and pricing practices. As pricing and marketing strategies evolve, we may modify our pricing practices in the future, which could result in changes to SSP.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Recognition of revenue when, or as, the performance obligations are satisfied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Revenues are recognized when or as control of the promised services is transferred to customers. Subscription revenue is generally recognized ratably over the subscription period beginning on the date the services are made available to customers. Marketplace and Other revenue is typically transactional in nature, tied to a revenue share or volumes purchased. We report revenue from Data Marketplace and other similar transactions on a net basis because our performance obligation is to facilitate a transaction between data providers and data buyers, for which we earn a portion of the gross fee. Consequently, the portion of the gross amount billed to data buyers that is remitted to data providers is not reflected as revenues. We generate revenue from services from bundled platform subscriptions and project fees paid by subscribers to our platform. Services revenue is less than 5% of total Company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include amounts billed to customers as well as unbilled amounts recognized in accordance with the Company’s revenue recognition policies. Unbilled amounts included in trade accounts receivable, net, which generally arise from the performance of services to customers in advance of billings, were $21.0 million at March 31, 2026 and $18.5 million at March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the activity of the allowance for credit losses, returns and credits was (dollars in thousands):</w:t>
      </w:r>
    </w:p>
    <w:tbl>
      <w:tblPr>
        <w:tblW w:w="10205" w:type="dxa"/>
        <w:jc w:val="left"/>
        <w:tblInd w:w="0" w:type="dxa"/>
        <w:tblLayout w:type="fixed"/>
        <w:tblCellMar>
          <w:top w:w="28" w:type="dxa"/>
          <w:left w:w="28" w:type="dxa"/>
          <w:bottom w:w="28" w:type="dxa"/>
          <w:right w:w="28" w:type="dxa"/>
        </w:tblCellMar>
      </w:tblPr>
      <w:tblGrid>
        <w:gridCol w:w="399"/>
        <w:gridCol w:w="351"/>
        <w:gridCol w:w="354"/>
        <w:gridCol w:w="109"/>
        <w:gridCol w:w="109"/>
        <w:gridCol w:w="109"/>
        <w:gridCol w:w="330"/>
        <w:gridCol w:w="965"/>
        <w:gridCol w:w="170"/>
        <w:gridCol w:w="109"/>
        <w:gridCol w:w="109"/>
        <w:gridCol w:w="109"/>
        <w:gridCol w:w="616"/>
        <w:gridCol w:w="577"/>
        <w:gridCol w:w="578"/>
        <w:gridCol w:w="109"/>
        <w:gridCol w:w="109"/>
        <w:gridCol w:w="109"/>
        <w:gridCol w:w="305"/>
        <w:gridCol w:w="305"/>
        <w:gridCol w:w="307"/>
        <w:gridCol w:w="109"/>
        <w:gridCol w:w="109"/>
        <w:gridCol w:w="109"/>
        <w:gridCol w:w="676"/>
        <w:gridCol w:w="640"/>
        <w:gridCol w:w="642"/>
        <w:gridCol w:w="109"/>
        <w:gridCol w:w="109"/>
        <w:gridCol w:w="109"/>
        <w:gridCol w:w="289"/>
        <w:gridCol w:w="845"/>
        <w:gridCol w:w="22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Twelve months ended</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Bad debts written off, net of amounts recovered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Balance at end of period</w:t>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9,344 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2,254 </w:t>
            </w:r>
          </w:p>
        </w:tc>
        <w:tc>
          <w:tcPr>
            <w:tcW w:w="5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(3,154)</w:t>
            </w:r>
          </w:p>
        </w:tc>
        <w:tc>
          <w:tcPr>
            <w:tcW w:w="6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9,199 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Deferred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revenue consists of amounts billed in excess of revenue recognized. Deferred revenues are subsequently recorded as revenue when earned in accordance with the Company’s revenue recognition policies.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u w:val="single"/>
        </w:rPr>
        <w:t>Deferred Commissions, net</w:t>
      </w:r>
      <w:r>
        <w:rPr>
          <w:color w:val="000000"/>
        </w:rPr>
        <w:t xml:space="preserve"> </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capitalizes incremental costs to acquire contracts and amortizes them on a straight-line basis over the expected period of benefit, which we have determined to be four years. Net amortized costs of $3.7 million were recognized as an increase in operating expense during the twelve months ended March 31, 2026. Net capitalized costs of $3.7 million were recognized as a reduction of operating expense during the twelve months ended March 31, 2025. We did not recognize any impairment charges during the twelve months ended March 31, 2026, 2025, or 2024.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Property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Property and equipment are stated at cost. Depreciation and amortization are calculated on the straight-line method over the estimated useful lives of the assets as follows: leasehold improvements, 2 - 5 years; data processing equipment, 2 - 5 years, and office furniture and other equipment, 3 - 7 years.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Operating Leases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Right-of-use ("ROU") assets represent the Company's right to control the use of an identified asset for a period of time, or term, in exchange for consideration, and operating lease liabilities represent its obligation to make lease payments arising from the aforementioned right.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determines if an arrangement is, or contains, a lease at inception, and whether lease and non-lease components are combined or not. Operating leases with a duration of one year or less are excluded from ROU assets and lease liabilities and related expense is recorded as incurred. ROU assets and lease liabilities are initially recorded based on the present value of lease payments over the lease term, which includes the minimum unconditional term of the lease, and may include options to extend or terminate the lease when it is reasonably certain at the commencement date that such options will be exercised. As the rate implicit for each of the Company's leases is not readily determinable, the Company uses its incremental borrowing rate at commencement date in determining the present value of lease payments. The Company uses judgment in determining its incremental borrowing rate, which includes selecting a yield curve based on a hypothetical credit rating. ROU assets also include any initial direct costs and any lease payments made prior to the lease commencement date and are reduced by any lease incentives received. ROU assets are included in other assets in the consolidated balance sheets. Short-term lease liabilities are included in other accrued expenses and long-term lease liabilities are included in other liabilities in the consolidated balance sheets. ROU assets are amortized on a straight-line basis as operating lease cost in the consolidated statements of operations. The Company evaluates the recoverability of the ROU assets for possible impairment in accordance with the impairment of long-lived assets policy below.</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Business Combinations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apply the provisions of ASC 805, </w:t>
      </w:r>
      <w:r>
        <w:rPr>
          <w:rFonts w:ascii="Arial;sans-serif" w:hAnsi="Arial;sans-serif"/>
          <w:b w:val="false"/>
          <w:i/>
          <w:color w:val="000000"/>
          <w:sz w:val="20"/>
        </w:rPr>
        <w:t>Business Combinations</w:t>
      </w:r>
      <w:r>
        <w:rPr>
          <w:rFonts w:ascii="Arial;sans-serif" w:hAnsi="Arial;sans-serif"/>
          <w:b w:val="false"/>
          <w:color w:val="000000"/>
          <w:sz w:val="20"/>
        </w:rPr>
        <w:t>, in accounting for acquisitions. ASC 805 requires us to determine if assets or a business was acquired. If a business was acquired, it requires us to recognize separately from goodwill the fair value of the assets acquired and the liabilities assumed at the acquisition date. Goodwill as of the acquisition date is measured as the excess of the fair value of consideration transferred over the net of the acquisition date fair values of the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record adjustments resulting from new information about facts and circumstances that existed at the acquisition date and falls within the measurement period to the assets acquired and liabilities assumed with the corresponding offset to goodwill. Upon the conclusion of the measurement period or final determination of the values of assets acquired and liabilities assumed, whichever comes first, any subsequent adjustments are recorded to our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Goodwill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Goodwill represents the excess of the purchase price over the fair value of net assets acquired in business acquisitions accounted for using the acquisition method of accounting and is not amortized. Goodwill is measured and tested for impairment on an annual basis in the first quarter of the Company's fiscal year in accordance with ASC 350, </w:t>
      </w:r>
      <w:r>
        <w:rPr>
          <w:rFonts w:ascii="Arial;sans-serif" w:hAnsi="Arial;sans-serif"/>
          <w:b w:val="false"/>
          <w:i/>
          <w:color w:val="000000"/>
          <w:sz w:val="20"/>
        </w:rPr>
        <w:t>Intangibles-Goodwill and Other</w:t>
      </w:r>
      <w:r>
        <w:rPr>
          <w:rFonts w:ascii="Arial;sans-serif" w:hAnsi="Arial;sans-serif"/>
          <w:b w:val="false"/>
          <w:color w:val="000000"/>
          <w:sz w:val="20"/>
        </w:rPr>
        <w:t>, or more frequently if an event occurs or circumstances change that would more likely than not reduce the fair value of a reporting unit below its carrying amount. Such events and changes may include significant changes in performance related to expected operating results, significant changes in asset use, significant negative industry or economic trends, and changes in our business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test for goodwill impairment starts with a qualitative assessment to determine whether it is necessary to perform the quantitative goodwill impairment test. If qualitative factors indicate that the fair value of the reporting unit is more likely than not less than its carrying amount, then a quantitative goodwill impairment test is performed. For the purposes of impairment testing, we have determined that we have three reporting units. We completed our annual impairment test during the first quarter of fiscal 2026 and assessed whether there were any triggering events quarterly. We did not recognize any goodwill impairment charges in the twelve months ended March 31, 2026 or 2025. We recognized $2.9 million of goodwill impairment charges in the twelve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Intangible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amortize intangible assets with finite lives over their estimated useful lives and review them for impairment whenever an impairment indicator exists. We continually monitor events and changes in circumstances that could indicate carrying amounts of our long-lived assets, including our intangible assets, may not be recoverable. When such events or changes in circumstances occur, we assess recoverability by determining whether the carrying value of such assets will be recovered through the undiscounted expected future cash flows. If the future undiscounted cash flows are less than the carrying amount of these assets, we recognize an impairment loss based on any excess of the carrying amount over the fair value of the assets. We did not recognize any intangible asset impairment charges in the twelve months ended March 31, 2026, 2025 or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fiscal 2026, our intangible assets were amortized over their estimated useful lives ranging from one year to four years. Amortization is based on the pattern in which the economic benefits of the intangible asset will be consumed or on a straight-line basis when the consumption pattern is not apparent. The weighted average useful lives of our intangible assets were as follows:</w:t>
      </w:r>
    </w:p>
    <w:tbl>
      <w:tblPr>
        <w:tblW w:w="5517"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901"/>
        <w:gridCol w:w="901"/>
        <w:gridCol w:w="1273"/>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Weighted Average Useful Life (years)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0.8</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0.8</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Impairment of Long-lived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Long-lived assets (asset groups) are reviewed for impairment whenever events or changes in circumstances indicate that the carrying amount of an asset may not be recoverable. The Company considers the following to be potential indicators of impairment of its long-lived assets (asset groups): operating losses, substantial decreases in the Company’s stock price, significant adverse changes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long-lived asset (asset group) will be sold or otherwise disposed of significantly before the end of its previously estimated useful life. When such events occur, recoverability of assets to be held and used is measured by a comparison of the carrying amount of an asset group to the undiscounted cash flows expected to result from the use and eventual disposition of the asset group. If such assets are impaired, the impairment to be recognized is measured by the amount by which the carrying amount of the assets exceeds the fair value of the assets.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Fair Value of Financial Instruments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apply the provisions of ASC 820, </w:t>
      </w:r>
      <w:r>
        <w:rPr>
          <w:rFonts w:ascii="Arial;sans-serif" w:hAnsi="Arial;sans-serif"/>
          <w:b w:val="false"/>
          <w:i/>
          <w:color w:val="000000"/>
          <w:sz w:val="20"/>
        </w:rPr>
        <w:t>Fair Value Measurement</w:t>
      </w:r>
      <w:r>
        <w:rPr>
          <w:rFonts w:ascii="Arial;sans-serif" w:hAnsi="Arial;sans-serif"/>
          <w:b w:val="false"/>
          <w:color w:val="000000"/>
          <w:sz w:val="20"/>
        </w:rPr>
        <w:t xml:space="preserve">, to our assets and liabilities that we are required to measure at fair value pursuant to other accounting standards. The additional disclosure regarding our fair value measurements is included in Note 17 - </w:t>
      </w:r>
      <w:r>
        <w:rPr>
          <w:rFonts w:ascii="Arial;sans-serif" w:hAnsi="Arial;sans-serif"/>
          <w:b w:val="false"/>
          <w:i/>
          <w:color w:val="000000"/>
          <w:sz w:val="20"/>
        </w:rPr>
        <w:t>Fair Value of Financial Instruments and Fair Value Measurements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Concentration of Credit Risk and Significant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Financial instruments that potentially subject us to concentrations of credit risk consist primarily of cash and cash equivalents and trade accounts receivable.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cash and cash equivalents are held in federally insured financial institutions. Although the Company's deposits may exceed federally insured limits, management believes the Company is not exposed to significant credit risk due to the financial position of the depository institutions in which those deposits are held.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no significant off-balance sheet risk such as foreign exchange contracts, options contracts, or other hedging arrangements.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trade accounts receivables are from a large number of customers. Accordingly, the Company’s credit risk is affected by general economic conditions.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both March 31, 2026 and March 31, 2025, there was one customer that represented more than 10% of our trade accounts receivable balance. Our ten largest customers represented approximately 30% of our revenues in the twelve months ended March 31, 2026, and 25% of our revenues in the twelve months ended March 31, 2025. There was no customer that individually exceeded 10% of our revenue in fiscal years 2026 or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Income Taxes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taxes are estimated based on the results of operations and enacted tax laws in the U.S. and other jurisdictions. Deferred tax assets and liabilities are recognized for temporary differences between the financial reporting basis and income tax basis of assets and liabilities, and for net operating loss and tax credit carryforwards. Deferred tax assets are reduced by a valuation allowance when, based on an evaluation of all available positive and negative evidence, it is more likely than not that some portion of the related tax benefits will not be realized. This assessment requires significant judgment and considers factors such as cumulative results and forecasts of future taxable income. Adjustments to deferred tax assets and liabilities resulting from changes in tax laws and changes in valuation allowance are recognized in income tax expense in the period in which such changes are enacted or occur.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Unrecognized tax benefits arise from tax positions for which the related tax benefit has not been fully recognized. A tax benefit is recognized if it is more likely than not that a tax position will be sustained upon examination based solely on its technical merits and is measured as the largest amount of tax benefit that has a greater than 50% likelihood of being realized upon ultimate settlement with the relevant tax authority. Unrecognized tax benefits are recorded as long-term income tax payable or as reductions of deferred tax assets. Unrecognized tax benefits related to net operating loss and tax credit carryforwards are recorded as a reduction of the related deferred tax assets when disallowance of the related tax benefit would reduce those carryforwards. Adjustments to unrecognized tax benefits are recognized in income tax expense in the period in which such changes occur. Interest and penalties related to unrecognized tax benefits are recognized in income tax expense.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Foreign Currency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reporting currency of the Company is the U.S. dollar. The functional currency of our foreign operations generally is the applicable local currency for each foreign subsidiary. The balance sheets of the Company’s foreign subsidiaries are translated at period-end rates of exchange, and the statements of operations are translated at the average exchange rate for the period. The effects of foreign currency translation adjustments are included in accumulated other comprehensive income (loss) in the consolidated statements of equity and comprehensive income (loss). We reflect net foreign exchange transaction gains and losses, resulting from the conversion of the transaction currency to functional currency, as a component of foreign currency exchange gain (loss) in total other income (expense) in the consolidated statements of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Advertising Expense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Advertising costs are expensed as incurred. Advertising expense was approximately $10.6 million, $13.8 million, and $11.5 million for the twelve months ended March 31, 2026, 2025 and 2024, respectively. Advertising expense is included in operating expenses in the consolidated statements of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Legal Contingencies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currently involved in various claims and legal proceedings. Quarterly, we review the status of each significant matter and assess our potential financial exposure. We accrue a liability for an estimated loss if the potential loss from any claim or legal proceeding is considered probable, and the amount can be reasonably estimated. Note 12, "Commitments and Contingencies" provides additional information regarding certain of our legal contingencies.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Company records stock-based compensation expense according to the provisions of ASC Topic 718, </w:t>
      </w:r>
      <w:r>
        <w:rPr>
          <w:rFonts w:ascii="Arial;sans-serif" w:hAnsi="Arial;sans-serif"/>
          <w:b w:val="false"/>
          <w:i/>
          <w:color w:val="000000"/>
          <w:sz w:val="20"/>
        </w:rPr>
        <w:t>Compensation – Stock Compensation</w:t>
      </w:r>
      <w:r>
        <w:rPr>
          <w:rFonts w:ascii="Arial;sans-serif" w:hAnsi="Arial;sans-serif"/>
          <w:b w:val="false"/>
          <w:color w:val="000000"/>
          <w:sz w:val="20"/>
        </w:rPr>
        <w:t>. ASC Topic 718 requires all stock-based payments to employees, including grants of employee stock options, to be recognized in the statement of operations over the service period of the award based on their fair values. Under the provisions of ASC Topic 718, the Company determines the appropriate fair value model to be used for valuing stock-based payments and the amortization method for compensation cost.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stock option plans and equity compensation plans (collectively referred to as the “stock-based plans”) administered by the talent and compensation committee of the board of directors (“talent and compensation committee”) under which options and restricted stock units were outstanding as of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equity compensation plan provides that all employees (employees, officers, directors, affiliates, independent contractors or consultants) are eligible to receive awards (grant of any option, stock appreciation right, restricted stock award, restricted stock unit award, performance award, performance share, performance unit, qualified performance-based award, or other stock unit award) under the plan with the terms and conditions applicable to an award set forth in applicable grant documents.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Incentive stock option awards granted under the stock-based plans cannot be granted with an exercise price less than 100% of the per-share market value of the Company’s shares at the date of grant and have a maximum duration of ten years from the date of grant. Board policy currently requires that non-qualified options also must be priced at or above 100% of the fair market value of the common stock at the time of grant with a maximum duration of ten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stock units may be issued under the equity compensation plan and represent the right to receive shares in the future by way of an award agreement that includes vesting provisions. Award agreements can further provide for forfeitures triggered by certain prohibited activities, such as breach of confidentiality. All restricted stock units are expensed over the vesting period and adjusted for forfeitures as incurred. The vesting of some restricted stock units is subject to the Company’s achievement of certain performance criteria, as well as the individual remaining employed by the Company for a period of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receives income tax deductions upon the exercise of non-qualified stock options and the vesting of other stock-based awards. To the extent the income tax deductions differ from the corresponding stock-based compensation expense, such excess tax benefits and deficiencies are included as a component of income tax expense and reflected as an operating cash flow included in changes in operating assets and liabilities.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Restructuring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Company records costs associated with employee terminations and other exit activity in accordance with ASC 420, </w:t>
      </w:r>
      <w:r>
        <w:rPr>
          <w:rFonts w:ascii="Arial;sans-serif" w:hAnsi="Arial;sans-serif"/>
          <w:b w:val="false"/>
          <w:i/>
          <w:color w:val="000000"/>
          <w:sz w:val="20"/>
        </w:rPr>
        <w:t>Exit or Disposal Cost Obligations</w:t>
      </w:r>
      <w:r>
        <w:rPr>
          <w:rFonts w:ascii="Arial;sans-serif" w:hAnsi="Arial;sans-serif"/>
          <w:b w:val="false"/>
          <w:color w:val="000000"/>
          <w:sz w:val="20"/>
        </w:rPr>
        <w:t>, depending on whether the costs relate to exit or disposal activities under the accounting standards, or whether they are other post-employment termination benefits. Under applicable accounting standards for exit or disposal costs, the Company records employee termination benefits as an operating expense when the benefit arrangement is communicated to the employee and no significant future services are required. Under the accounting standards related to post-employment termination benefits, the Company records employee termination benefits when the termination benefits are probable and can be estimated.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6"/>
        <w:gridCol w:w="681"/>
        <w:gridCol w:w="630"/>
        <w:gridCol w:w="1091"/>
        <w:gridCol w:w="1091"/>
        <w:gridCol w:w="1030"/>
        <w:gridCol w:w="831"/>
        <w:gridCol w:w="724"/>
        <w:gridCol w:w="515"/>
        <w:gridCol w:w="925"/>
        <w:gridCol w:w="925"/>
        <w:gridCol w:w="986"/>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Accounting Pronouncements Adopted During the Current Year - </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Standard</w:t>
            </w:r>
          </w:p>
        </w:tc>
        <w:tc>
          <w:tcPr>
            <w:tcW w:w="32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20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Adoption</w:t>
            </w:r>
          </w:p>
        </w:tc>
        <w:tc>
          <w:tcPr>
            <w:tcW w:w="28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on Financial Statements or Other Significant Matters</w:t>
            </w:r>
          </w:p>
        </w:tc>
      </w:tr>
      <w:tr>
        <w:trPr/>
        <w:tc>
          <w:tcPr>
            <w:tcW w:w="20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Accounting Standard Update (“ASU”) 2023-09</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Taxes (Topic 740): Improvements to Income Tax Disclosures</w:t>
            </w:r>
          </w:p>
        </w:tc>
        <w:tc>
          <w:tcPr>
            <w:tcW w:w="321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2023-09 requires greater disaggregated information about a reporting entity's effective tax rate reconciliation as well as information on income tax paid.</w:t>
            </w:r>
          </w:p>
        </w:tc>
        <w:tc>
          <w:tcPr>
            <w:tcW w:w="20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ASU became effective for the Company's annual periods beginning with fiscal 2026.</w:t>
            </w:r>
          </w:p>
        </w:tc>
        <w:tc>
          <w:tcPr>
            <w:tcW w:w="28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2023-09 affected financial statement disclosure only, and its adoption did not affect our financial condition and results of operations.</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6"/>
        <w:gridCol w:w="954"/>
        <w:gridCol w:w="427"/>
        <w:gridCol w:w="1485"/>
        <w:gridCol w:w="1485"/>
        <w:gridCol w:w="1262"/>
        <w:gridCol w:w="598"/>
        <w:gridCol w:w="518"/>
        <w:gridCol w:w="303"/>
        <w:gridCol w:w="640"/>
        <w:gridCol w:w="584"/>
        <w:gridCol w:w="693"/>
      </w:tblGrid>
      <w:tr>
        <w:trPr/>
        <w:tc>
          <w:tcPr>
            <w:tcW w:w="125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Recent accounting pronouncements not yet adopted - </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Standard</w:t>
            </w:r>
          </w:p>
        </w:tc>
        <w:tc>
          <w:tcPr>
            <w:tcW w:w="42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1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Adoption</w:t>
            </w:r>
          </w:p>
        </w:tc>
        <w:tc>
          <w:tcPr>
            <w:tcW w:w="1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 on Financial Statements or Other Significant Matters</w:t>
            </w:r>
          </w:p>
        </w:tc>
      </w:tr>
      <w:tr>
        <w:trPr/>
        <w:tc>
          <w:tcPr>
            <w:tcW w:w="26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2024-03</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Income Statement-Reporting Comprehensive Income-Expense Disaggregation Disclosures (Subtopic 220-40): Disaggregation of Income Statement Expenses </w:t>
            </w:r>
          </w:p>
        </w:tc>
        <w:tc>
          <w:tcPr>
            <w:tcW w:w="42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2024-03 requires more detailed information about the types of expenses included in certain expense captions presented on the consolidated statements of operations. Additionally, this amendment requires the disclosure of a qualitative description of the amounts remaining in relevant expense captions that are not separately disaggregated quantitatively and the disclosure of the total amount of selling expenses. The new guidance does not change the expense captions on the statements of operations.</w:t>
            </w:r>
          </w:p>
        </w:tc>
        <w:tc>
          <w:tcPr>
            <w:tcW w:w="1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2028. Early adoption is permitted.</w:t>
            </w:r>
          </w:p>
        </w:tc>
        <w:tc>
          <w:tcPr>
            <w:tcW w:w="1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consolidated financial statements and disclosures.</w:t>
            </w:r>
          </w:p>
        </w:tc>
      </w:tr>
      <w:tr>
        <w:trPr/>
        <w:tc>
          <w:tcPr>
            <w:tcW w:w="26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2025-06</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Intangibles-Goodwill and Other-Internal-Use Software (Subtopic 350-40): Targeted Improvements to the Accounting for Internal-Use Software</w:t>
            </w:r>
          </w:p>
        </w:tc>
        <w:tc>
          <w:tcPr>
            <w:tcW w:w="42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2025-06 modernizes the accounting for internal-use software. It removes all references to software development stages and requires capitalization of software costs when management has committed to the software project and it is probable the software will be completed and perform its intended use.</w:t>
            </w:r>
          </w:p>
        </w:tc>
        <w:tc>
          <w:tcPr>
            <w:tcW w:w="1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2029. Early adoption is permitted.</w:t>
            </w:r>
          </w:p>
        </w:tc>
        <w:tc>
          <w:tcPr>
            <w:tcW w:w="19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consolidated financial statement disclosures.</w:t>
            </w:r>
          </w:p>
        </w:tc>
      </w:tr>
      <w:tr>
        <w:trPr/>
        <w:tc>
          <w:tcPr>
            <w:tcW w:w="2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ASU 2025-11</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Interim Reporting (Topic 270): Narrow-Scope Improvements</w:t>
            </w:r>
          </w:p>
        </w:tc>
        <w:tc>
          <w:tcPr>
            <w:tcW w:w="423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 2025-11 is intended to update the guidance in Topic 270 by improving navigability of the required interim disclosures, clarifying when that guidance is applicable and adding a principle that requires reporting entities to disclose events since the end of the last annual reporting period that have a material impact on the entity.</w:t>
            </w:r>
          </w:p>
        </w:tc>
        <w:tc>
          <w:tcPr>
            <w:tcW w:w="14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updated standard is effective for us beginning in fiscal 2029. Early adoption is permitted.</w:t>
            </w:r>
          </w:p>
        </w:tc>
        <w:tc>
          <w:tcPr>
            <w:tcW w:w="191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are currently evaluating the impact that the updated standard will have on our consolidated financial statement disclosures.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REVENUE FROM CONTRACTS WITH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Disaggregation of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following table, revenue is disaggregated by primary geographical market and major service offerings (dollars in thousands):</w:t>
      </w:r>
    </w:p>
    <w:tbl>
      <w:tblPr>
        <w:tblW w:w="6573" w:type="dxa"/>
        <w:jc w:val="left"/>
        <w:tblInd w:w="0" w:type="dxa"/>
        <w:tblLayout w:type="fixed"/>
        <w:tblCellMar>
          <w:top w:w="28" w:type="dxa"/>
          <w:left w:w="28" w:type="dxa"/>
          <w:bottom w:w="28" w:type="dxa"/>
          <w:right w:w="28" w:type="dxa"/>
        </w:tblCellMar>
      </w:tblPr>
      <w:tblGrid>
        <w:gridCol w:w="1000"/>
        <w:gridCol w:w="878"/>
        <w:gridCol w:w="882"/>
        <w:gridCol w:w="109"/>
        <w:gridCol w:w="109"/>
        <w:gridCol w:w="109"/>
        <w:gridCol w:w="254"/>
        <w:gridCol w:w="1030"/>
        <w:gridCol w:w="131"/>
        <w:gridCol w:w="131"/>
        <w:gridCol w:w="131"/>
        <w:gridCol w:w="131"/>
        <w:gridCol w:w="254"/>
        <w:gridCol w:w="1030"/>
        <w:gridCol w:w="131"/>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Primary Geographical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763,188 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745,580 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 Offerings/Services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614,388 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568,880 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Marketplace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745,580 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performance obligations associated with fixed commitments in customer contracts for future services that have not yet been recognized in our consolidated financial statements. The amount of fixed revenue not yet recognized was $760.4 million as of March 31, 2026, of which $518.5 million will be recognized over the next twelve months. The Company expects to recognize revenue on substantially all of these remaining performance obligations by December 31, 2032.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3. LEASES: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Right-of-use assets and lease liabilities balances consist of the following (dollars in thousands):</w:t>
      </w:r>
    </w:p>
    <w:tbl>
      <w:tblPr>
        <w:tblW w:w="8723" w:type="dxa"/>
        <w:jc w:val="left"/>
        <w:tblInd w:w="0" w:type="dxa"/>
        <w:tblLayout w:type="fixed"/>
        <w:tblCellMar>
          <w:top w:w="28" w:type="dxa"/>
          <w:left w:w="28" w:type="dxa"/>
          <w:bottom w:w="28" w:type="dxa"/>
          <w:right w:w="28" w:type="dxa"/>
        </w:tblCellMar>
      </w:tblPr>
      <w:tblGrid>
        <w:gridCol w:w="1993"/>
        <w:gridCol w:w="1754"/>
        <w:gridCol w:w="1758"/>
        <w:gridCol w:w="109"/>
        <w:gridCol w:w="109"/>
        <w:gridCol w:w="109"/>
        <w:gridCol w:w="213"/>
        <w:gridCol w:w="758"/>
        <w:gridCol w:w="288"/>
        <w:gridCol w:w="109"/>
        <w:gridCol w:w="109"/>
        <w:gridCol w:w="109"/>
        <w:gridCol w:w="213"/>
        <w:gridCol w:w="758"/>
        <w:gridCol w:w="334"/>
      </w:tblGrid>
      <w:tr>
        <w:trPr/>
        <w:tc>
          <w:tcPr>
            <w:tcW w:w="199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included in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16,159 </w:t>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19,341 </w:t>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liabilities included in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 included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balance sheet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years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cost, net for the twelve months ended March 31, 2026 and 2025, respectively, were as follows (dollars in thousands):</w:t>
      </w:r>
    </w:p>
    <w:tbl>
      <w:tblPr>
        <w:tblW w:w="6082" w:type="dxa"/>
        <w:jc w:val="left"/>
        <w:tblInd w:w="0" w:type="dxa"/>
        <w:tblLayout w:type="fixed"/>
        <w:tblCellMar>
          <w:top w:w="28" w:type="dxa"/>
          <w:left w:w="28" w:type="dxa"/>
          <w:bottom w:w="28" w:type="dxa"/>
          <w:right w:w="28" w:type="dxa"/>
        </w:tblCellMar>
      </w:tblPr>
      <w:tblGrid>
        <w:gridCol w:w="901"/>
        <w:gridCol w:w="793"/>
        <w:gridCol w:w="795"/>
        <w:gridCol w:w="109"/>
        <w:gridCol w:w="109"/>
        <w:gridCol w:w="109"/>
        <w:gridCol w:w="299"/>
        <w:gridCol w:w="917"/>
        <w:gridCol w:w="154"/>
        <w:gridCol w:w="154"/>
        <w:gridCol w:w="154"/>
        <w:gridCol w:w="154"/>
        <w:gridCol w:w="299"/>
        <w:gridCol w:w="917"/>
        <w:gridCol w:w="218"/>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leases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table presents future minimum payments under all operating leases and subleases (including operating leases with a duration of one year or less and excluding ASC 840 leases related to restructuring plans) as of March 31, 2026 (dollars in thousands):</w:t>
      </w:r>
      <w:r>
        <w:rPr>
          <w:color w:val="0563C1"/>
        </w:rPr>
        <w:t> </w:t>
      </w:r>
    </w:p>
    <w:tbl>
      <w:tblPr>
        <w:tblW w:w="10205" w:type="dxa"/>
        <w:jc w:val="left"/>
        <w:tblInd w:w="0" w:type="dxa"/>
        <w:tblLayout w:type="fixed"/>
        <w:tblCellMar>
          <w:top w:w="28" w:type="dxa"/>
          <w:left w:w="28" w:type="dxa"/>
          <w:bottom w:w="28" w:type="dxa"/>
          <w:right w:w="28" w:type="dxa"/>
        </w:tblCellMar>
      </w:tblPr>
      <w:tblGrid>
        <w:gridCol w:w="979"/>
        <w:gridCol w:w="857"/>
        <w:gridCol w:w="833"/>
        <w:gridCol w:w="109"/>
        <w:gridCol w:w="109"/>
        <w:gridCol w:w="109"/>
        <w:gridCol w:w="333"/>
        <w:gridCol w:w="1187"/>
        <w:gridCol w:w="172"/>
        <w:gridCol w:w="109"/>
        <w:gridCol w:w="109"/>
        <w:gridCol w:w="109"/>
        <w:gridCol w:w="646"/>
        <w:gridCol w:w="1980"/>
        <w:gridCol w:w="335"/>
        <w:gridCol w:w="109"/>
        <w:gridCol w:w="109"/>
        <w:gridCol w:w="109"/>
        <w:gridCol w:w="358"/>
        <w:gridCol w:w="1278"/>
        <w:gridCol w:w="266"/>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expected under noncancellable subleases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lease payments</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(2,303)</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(7,148)</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 and short-term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discounted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(6,383)</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23,182 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no future minimum payments as of March 31, 2026 related to ASC 840 lease liabilities under restructuring plans as a result of the Company's exit from certain leased office facilities (see Note 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4. RESTRUCTURING, IMPAIRMENT AND OTHER CHARGES: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Restructuring activities result in various costs, including asset write-offs, ROU asset group impairments, exit charges including severance, contract termination fees, and decommissioning and other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the beginning and ending restructuring liabilities is shown below for the twelve months ended March 31, 2026 and 2025. The restructuring charges and adjustments are included in gains, losses and other items, net in the consolidated statements of operations. The reserve balances are included in accrued payroll and related expenses and other liabilities in the consolidated balance sheets (dollars in thousands).</w:t>
      </w:r>
    </w:p>
    <w:tbl>
      <w:tblPr>
        <w:tblW w:w="7969" w:type="dxa"/>
        <w:jc w:val="left"/>
        <w:tblInd w:w="0" w:type="dxa"/>
        <w:tblLayout w:type="fixed"/>
        <w:tblCellMar>
          <w:top w:w="28" w:type="dxa"/>
          <w:left w:w="28" w:type="dxa"/>
          <w:bottom w:w="28" w:type="dxa"/>
          <w:right w:w="28" w:type="dxa"/>
        </w:tblCellMar>
      </w:tblPr>
      <w:tblGrid>
        <w:gridCol w:w="1276"/>
        <w:gridCol w:w="1120"/>
        <w:gridCol w:w="1129"/>
        <w:gridCol w:w="109"/>
        <w:gridCol w:w="109"/>
        <w:gridCol w:w="109"/>
        <w:gridCol w:w="324"/>
        <w:gridCol w:w="993"/>
        <w:gridCol w:w="169"/>
        <w:gridCol w:w="109"/>
        <w:gridCol w:w="109"/>
        <w:gridCol w:w="109"/>
        <w:gridCol w:w="211"/>
        <w:gridCol w:w="646"/>
        <w:gridCol w:w="109"/>
        <w:gridCol w:w="109"/>
        <w:gridCol w:w="109"/>
        <w:gridCol w:w="109"/>
        <w:gridCol w:w="211"/>
        <w:gridCol w:w="64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Employee-related</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w:t>
              <w:br/>
              <w:t>accruals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Employee-related Restructuring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2026, the Company recorded a total of $4.8 million in employee-related restructuring charges and adjustments. The expense reflects $4.6 million of severance charges in the United States and Europe and $0.1 million of adjustments to the fiscal 2025 employee-related restructuring plans in the United States and Europe. Of the fiscal 2026 employee-related restructuring plans, $4.2 million remained accrued as of March 31, 2026 and is expected to be paid during fiscal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2025, the Company recorded a total of $7.9 million in employee-related restructuring charges and adjustments. The expense included $7.7 million of severance and other employee-related charges in the United States, Europe, and APAC, and $0.2 million in adjustments to the fiscal 2021 and fiscal 2024 employee-related restructuring plans for employees in the United States and APAC. Of the fiscal 2025 employee-related restructuring plans, $0.1 million remained accrued as of March 31, 2026 and is expected to be paid during fiscal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2024, the Company recorded a total of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No amounts remain unpaid as of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Lease-related Impairments and Restructuring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 During the twelve months ended March 31, 2025, we transitioned our London office from a sublease to a lease directly with the landlord and exited our offices in Singapore and Tokyo.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combined impairment charges totaling $26.5 million during the twelve months ended March 31, 2024 and March 31, 2023,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$2.0 million in combined lease-related restructuring charges and adjustments during fiscal years 2023 through 2026 that covered other obligations related to the leased office spaces in San Francisco and Phoenix, of which a negative $0.6 million was recognized during the twelve months ended March 31, 2026. As of March 31, 2026, $0.6 million remains accrued and will be satisfied over the remainder of the San Francisco lease terms, which continue through April 2029.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2017, the Company made the strategic decision to exit and sub-lease a certain leased office facility under a staggered-exit plan. The full exit was completed in fiscal 2019. The liability was satisfied over the remainder of the leased property's term, which continued through November 2025. Through March 31, 2026, the Company has recorded a total of $8.2 million of restructuring charges and adjustments related to this lease, of which $0.8 million was recognized during the twelve months ended March 31, 2026. No amounts remain unpaid as of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Gains, Losses and Other Items,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activity included in gains, losses and other items, net in the consolidated statements of operations for each of the periods presented (dollars in thousands): </w:t>
      </w:r>
    </w:p>
    <w:tbl>
      <w:tblPr>
        <w:tblW w:w="9736" w:type="dxa"/>
        <w:jc w:val="left"/>
        <w:tblInd w:w="0" w:type="dxa"/>
        <w:tblLayout w:type="fixed"/>
        <w:tblCellMar>
          <w:top w:w="28" w:type="dxa"/>
          <w:left w:w="28" w:type="dxa"/>
          <w:bottom w:w="28" w:type="dxa"/>
          <w:right w:w="28" w:type="dxa"/>
        </w:tblCellMar>
      </w:tblPr>
      <w:tblGrid>
        <w:gridCol w:w="1849"/>
        <w:gridCol w:w="1624"/>
        <w:gridCol w:w="1627"/>
        <w:gridCol w:w="109"/>
        <w:gridCol w:w="109"/>
        <w:gridCol w:w="109"/>
        <w:gridCol w:w="109"/>
        <w:gridCol w:w="109"/>
        <w:gridCol w:w="116"/>
        <w:gridCol w:w="116"/>
        <w:gridCol w:w="226"/>
        <w:gridCol w:w="692"/>
        <w:gridCol w:w="116"/>
        <w:gridCol w:w="116"/>
        <w:gridCol w:w="116"/>
        <w:gridCol w:w="116"/>
        <w:gridCol w:w="226"/>
        <w:gridCol w:w="692"/>
        <w:gridCol w:w="116"/>
        <w:gridCol w:w="109"/>
        <w:gridCol w:w="109"/>
        <w:gridCol w:w="109"/>
        <w:gridCol w:w="211"/>
        <w:gridCol w:w="751"/>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restructuring plan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Lease-related restructuring plan charges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 group impairments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DISCONTINUED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Acxiom Marketing Solutions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fiscal 2019, the Company completed the sale of its Acxiom Marketing Solutions ("AMS") business, and the business qualified for treatment as discontinued operations. Significant income taxes were incurred and paid on the gain from the sale of AMS. During the twelve months ended March 31, 2026, 2025, and 2024, the Company recovered $1.2 million, $1.7 million, and $1.8 million, respectively, net of tax and fees, of certain previously paid state income taxes arising from the sale of AMS. </w:t>
      </w:r>
    </w:p>
    <w:p>
      <w:pPr>
        <w:pStyle w:val="TextBody"/>
        <w:bidi w:val="0"/>
        <w:spacing w:lineRule="auto" w:line="276" w:before="0" w:after="0"/>
        <w:jc w:val="left"/>
        <w:rPr>
          <w:color w:val="0563C1"/>
        </w:rPr>
      </w:pPr>
      <w:r>
        <w:rPr>
          <w:color w:val="0563C1"/>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6. OTHER CURRENT AND NONCURRENT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current assets consist of the following (dollars in thousands):  </w:t>
      </w:r>
    </w:p>
    <w:tbl>
      <w:tblPr>
        <w:tblW w:w="6683" w:type="dxa"/>
        <w:jc w:val="left"/>
        <w:tblInd w:w="0" w:type="dxa"/>
        <w:tblLayout w:type="fixed"/>
        <w:tblCellMar>
          <w:top w:w="28" w:type="dxa"/>
          <w:left w:w="28" w:type="dxa"/>
          <w:bottom w:w="28" w:type="dxa"/>
          <w:right w:w="28" w:type="dxa"/>
        </w:tblCellMar>
      </w:tblPr>
      <w:tblGrid>
        <w:gridCol w:w="1255"/>
        <w:gridCol w:w="1104"/>
        <w:gridCol w:w="1106"/>
        <w:gridCol w:w="109"/>
        <w:gridCol w:w="109"/>
        <w:gridCol w:w="109"/>
        <w:gridCol w:w="248"/>
        <w:gridCol w:w="884"/>
        <w:gridCol w:w="128"/>
        <w:gridCol w:w="109"/>
        <w:gridCol w:w="109"/>
        <w:gridCol w:w="109"/>
        <w:gridCol w:w="246"/>
        <w:gridCol w:w="878"/>
        <w:gridCol w:w="180"/>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noncurrent assets consist of the following (dollars in thousands): </w:t>
      </w:r>
    </w:p>
    <w:tbl>
      <w:tblPr>
        <w:tblW w:w="6742" w:type="dxa"/>
        <w:jc w:val="left"/>
        <w:tblInd w:w="0" w:type="dxa"/>
        <w:tblLayout w:type="fixed"/>
        <w:tblCellMar>
          <w:top w:w="28" w:type="dxa"/>
          <w:left w:w="28" w:type="dxa"/>
          <w:bottom w:w="28" w:type="dxa"/>
          <w:right w:w="28" w:type="dxa"/>
        </w:tblCellMar>
      </w:tblPr>
      <w:tblGrid>
        <w:gridCol w:w="1277"/>
        <w:gridCol w:w="1120"/>
        <w:gridCol w:w="1127"/>
        <w:gridCol w:w="109"/>
        <w:gridCol w:w="109"/>
        <w:gridCol w:w="109"/>
        <w:gridCol w:w="248"/>
        <w:gridCol w:w="884"/>
        <w:gridCol w:w="128"/>
        <w:gridCol w:w="109"/>
        <w:gridCol w:w="109"/>
        <w:gridCol w:w="109"/>
        <w:gridCol w:w="246"/>
        <w:gridCol w:w="878"/>
        <w:gridCol w:w="180"/>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prepaid 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(see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miscellaneous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is summarized as follows (dollars in thousands):</w:t>
      </w:r>
    </w:p>
    <w:tbl>
      <w:tblPr>
        <w:tblW w:w="9802" w:type="dxa"/>
        <w:jc w:val="left"/>
        <w:tblInd w:w="0" w:type="dxa"/>
        <w:tblLayout w:type="fixed"/>
        <w:tblCellMar>
          <w:top w:w="28" w:type="dxa"/>
          <w:left w:w="28" w:type="dxa"/>
          <w:bottom w:w="28" w:type="dxa"/>
          <w:right w:w="28" w:type="dxa"/>
        </w:tblCellMar>
      </w:tblPr>
      <w:tblGrid>
        <w:gridCol w:w="2384"/>
        <w:gridCol w:w="2095"/>
        <w:gridCol w:w="2105"/>
        <w:gridCol w:w="109"/>
        <w:gridCol w:w="109"/>
        <w:gridCol w:w="109"/>
        <w:gridCol w:w="248"/>
        <w:gridCol w:w="884"/>
        <w:gridCol w:w="128"/>
        <w:gridCol w:w="109"/>
        <w:gridCol w:w="109"/>
        <w:gridCol w:w="109"/>
        <w:gridCol w:w="246"/>
        <w:gridCol w:w="878"/>
        <w:gridCol w:w="180"/>
      </w:tblGrid>
      <w:tr>
        <w:trPr/>
        <w:tc>
          <w:tcPr>
            <w:tcW w:w="238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14,591 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14,508 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 processing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furniture and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 of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Depreciation expense on property and equipment was $2.4 million and $2.8 million for the twelve months ended March 31, 2026 and 2025,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8. GOODWILL: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goodwill for the twelve months ended March 31, 2026 and 2025 were as follows (dollars in thousands):</w:t>
      </w:r>
    </w:p>
    <w:tbl>
      <w:tblPr>
        <w:tblW w:w="7593" w:type="dxa"/>
        <w:jc w:val="left"/>
        <w:tblInd w:w="0" w:type="dxa"/>
        <w:tblLayout w:type="fixed"/>
        <w:tblCellMar>
          <w:top w:w="28" w:type="dxa"/>
          <w:left w:w="28" w:type="dxa"/>
          <w:bottom w:w="28" w:type="dxa"/>
          <w:right w:w="28" w:type="dxa"/>
        </w:tblCellMar>
      </w:tblPr>
      <w:tblGrid>
        <w:gridCol w:w="2188"/>
        <w:gridCol w:w="1925"/>
        <w:gridCol w:w="1932"/>
        <w:gridCol w:w="109"/>
        <w:gridCol w:w="109"/>
        <w:gridCol w:w="109"/>
        <w:gridCol w:w="211"/>
        <w:gridCol w:w="856"/>
        <w:gridCol w:w="154"/>
      </w:tblGrid>
      <w:tr>
        <w:trPr/>
        <w:tc>
          <w:tcPr>
            <w:tcW w:w="218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501,756 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price accounting adjustment related to acquisition of Habu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501,756 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Goodwill by geography as of March 31, 2026 was (dollars in thousands):  </w:t>
      </w:r>
    </w:p>
    <w:tbl>
      <w:tblPr>
        <w:tblW w:w="2059"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11"/>
        <w:gridCol w:w="85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amounts allocated to intangible assets from acquisitions include developed technology, customer relationships, and trade names. Intangible assets are summarized as follows (dollars in thousands):</w:t>
      </w:r>
    </w:p>
    <w:tbl>
      <w:tblPr>
        <w:tblW w:w="6967" w:type="dxa"/>
        <w:jc w:val="left"/>
        <w:tblInd w:w="0" w:type="dxa"/>
        <w:tblLayout w:type="fixed"/>
        <w:tblCellMar>
          <w:top w:w="28" w:type="dxa"/>
          <w:left w:w="28" w:type="dxa"/>
          <w:bottom w:w="28" w:type="dxa"/>
          <w:right w:w="28" w:type="dxa"/>
        </w:tblCellMar>
      </w:tblPr>
      <w:tblGrid>
        <w:gridCol w:w="1358"/>
        <w:gridCol w:w="1192"/>
        <w:gridCol w:w="1199"/>
        <w:gridCol w:w="109"/>
        <w:gridCol w:w="109"/>
        <w:gridCol w:w="109"/>
        <w:gridCol w:w="248"/>
        <w:gridCol w:w="884"/>
        <w:gridCol w:w="128"/>
        <w:gridCol w:w="109"/>
        <w:gridCol w:w="109"/>
        <w:gridCol w:w="109"/>
        <w:gridCol w:w="225"/>
        <w:gridCol w:w="915"/>
        <w:gridCol w:w="16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94,000 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8,334 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18,334 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relationship/trade name,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customer relationship/trade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Publisher/data supply relationships,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publisher/data supply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9,167 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20,167 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amortization expense related to intangible assets was $11.0 million, $14.4 million, and $8.8 million for the twelve months ended March 31, 2026, 2025, and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the estimated future amortization expenses related to intangible assets (dollars in thousands). </w:t>
      </w:r>
    </w:p>
    <w:p>
      <w:pPr>
        <w:pStyle w:val="TextBody"/>
        <w:bidi w:val="0"/>
        <w:spacing w:before="0" w:after="0"/>
        <w:jc w:val="left"/>
        <w:rPr/>
      </w:pPr>
      <w:r>
        <w:rPr/>
      </w:r>
    </w:p>
    <w:tbl>
      <w:tblPr>
        <w:tblW w:w="2372" w:type="dxa"/>
        <w:jc w:val="left"/>
        <w:tblInd w:w="0" w:type="dxa"/>
        <w:tblLayout w:type="fixed"/>
        <w:tblCellMar>
          <w:top w:w="28" w:type="dxa"/>
          <w:left w:w="28" w:type="dxa"/>
          <w:bottom w:w="28" w:type="dxa"/>
          <w:right w:w="28" w:type="dxa"/>
        </w:tblCellMar>
      </w:tblPr>
      <w:tblGrid>
        <w:gridCol w:w="374"/>
        <w:gridCol w:w="328"/>
        <w:gridCol w:w="332"/>
        <w:gridCol w:w="109"/>
        <w:gridCol w:w="109"/>
        <w:gridCol w:w="109"/>
        <w:gridCol w:w="211"/>
        <w:gridCol w:w="646"/>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OTHER ACCRUED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accrued expenses consist of the following (dollars in thousands):</w:t>
      </w:r>
    </w:p>
    <w:tbl>
      <w:tblPr>
        <w:tblW w:w="7072" w:type="dxa"/>
        <w:jc w:val="left"/>
        <w:tblInd w:w="0" w:type="dxa"/>
        <w:tblLayout w:type="fixed"/>
        <w:tblCellMar>
          <w:top w:w="28" w:type="dxa"/>
          <w:left w:w="28" w:type="dxa"/>
          <w:bottom w:w="28" w:type="dxa"/>
          <w:right w:w="28" w:type="dxa"/>
        </w:tblCellMar>
      </w:tblPr>
      <w:tblGrid>
        <w:gridCol w:w="1394"/>
        <w:gridCol w:w="1227"/>
        <w:gridCol w:w="1233"/>
        <w:gridCol w:w="109"/>
        <w:gridCol w:w="109"/>
        <w:gridCol w:w="109"/>
        <w:gridCol w:w="248"/>
        <w:gridCol w:w="884"/>
        <w:gridCol w:w="128"/>
        <w:gridCol w:w="109"/>
        <w:gridCol w:w="109"/>
        <w:gridCol w:w="109"/>
        <w:gridCol w:w="246"/>
        <w:gridCol w:w="878"/>
        <w:gridCol w:w="180"/>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of non-qualified retirement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liabilities (see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consideration holdback (see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miscellaneous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11. OTHER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liabilities consist of the following (dollars in thousands):</w:t>
      </w:r>
    </w:p>
    <w:tbl>
      <w:tblPr>
        <w:tblW w:w="8453" w:type="dxa"/>
        <w:jc w:val="left"/>
        <w:tblInd w:w="0" w:type="dxa"/>
        <w:tblLayout w:type="fixed"/>
        <w:tblCellMar>
          <w:top w:w="28" w:type="dxa"/>
          <w:left w:w="28" w:type="dxa"/>
          <w:bottom w:w="28" w:type="dxa"/>
          <w:right w:w="28" w:type="dxa"/>
        </w:tblCellMar>
      </w:tblPr>
      <w:tblGrid>
        <w:gridCol w:w="1892"/>
        <w:gridCol w:w="1666"/>
        <w:gridCol w:w="1677"/>
        <w:gridCol w:w="109"/>
        <w:gridCol w:w="109"/>
        <w:gridCol w:w="109"/>
        <w:gridCol w:w="248"/>
        <w:gridCol w:w="884"/>
        <w:gridCol w:w="128"/>
        <w:gridCol w:w="109"/>
        <w:gridCol w:w="109"/>
        <w:gridCol w:w="109"/>
        <w:gridCol w:w="246"/>
        <w:gridCol w:w="878"/>
        <w:gridCol w:w="180"/>
      </w:tblGrid>
      <w:tr>
        <w:trPr/>
        <w:tc>
          <w:tcPr>
            <w:tcW w:w="189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 (see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restructuring accruals and related sublease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3,866 </w:t>
            </w:r>
          </w:p>
        </w:tc>
        <w:tc>
          <w:tcPr>
            <w:tcW w:w="180" w:type="dxa"/>
            <w:tcBorders>
              <w:right w:val="single" w:sz="8" w:space="0" w:color="D9D9D9"/>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9D9D9"/>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D9D9D9"/>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62,994 </w:t>
            </w:r>
          </w:p>
        </w:tc>
        <w:tc>
          <w:tcPr>
            <w:tcW w:w="180" w:type="dxa"/>
            <w:tcBorders>
              <w:top w:val="single" w:sz="8" w:space="0" w:color="000000"/>
              <w:bottom w:val="double" w:sz="8" w:space="0" w:color="000000"/>
              <w:right w:val="single" w:sz="8" w:space="0" w:color="D9D9D9"/>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Legal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January 24, 2025, a purported class action styled Riganian et al v. LiveRamp Holdings, Inc. and LiveRamp, Inc. (Case No. 4:25-cv-824-JST) was filed in the United States District Court for the Northern District of California against the Company and LiveRamp, Inc., alleging claims based on the California Constitution, the common law protections against intrusion upon seclusion, the California Invasion of Privacy Act, the Federal Wiretap Act and unjust enrichment. The lawsuit seeks certification of classes of California and national consumers, unspecified monetary damages, costs and attorneys’ fees and other relief (including injunctive and declaratory relief). Discovery has begun, and it is anticipated that class certification issues will be determined in late-2026. The Company intends to defend this matter vigorously, and, because it is still in its preliminary stages, we have not yet determined what effect this lawsuit will have, if any, on our financial position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involved in various other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Company’s purchase commitments at March 31, 2026.  Purchase commitments primarily include contractual commitments for the purchase of data, hosting services, software-as-a-service arrangements and leasehold improvements. The table does not include the future payment of liabilities related to uncertain tax positions of $36.0 million as the Company is not able to predict the periods in which the payments will be made (dollars in thousands):</w:t>
      </w:r>
    </w:p>
    <w:tbl>
      <w:tblPr>
        <w:tblW w:w="8375"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8"/>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Company does not have any other material contractual commitments for capital expenditures, certain levels of investments in facilities and computer equipment continue to be necessary to support the growth of the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STOCKHOLDERS' EQUITY AND STOCK-BASED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authorized 200.0 million shares of $0.10 par value common stock and 1.0 million shares of $1.00 par value preferred stock. The board of directors of the Company may designate the relative rights and preferences of the preferred stock when and if issued. Such rights and preferences could include liquidation preferences, redemption rights, voting rights and dividends, and the shares could be issued in multiple series with different rights and preferences. There has not been any preferred stock activity in the periods presented.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29, 2011, the board of directors adopted a common stock repurchase program.  That program was subsequently modified and expanded, most recently on February 12, 2026, to authorize an additional $200.0 million in share repurchases and extend the term of the existing common stock repurchase program. Under the modified common stock repurchase program, the Company may purchase up to $1.5 billion of its common stock through the period ending December 31, 2027. During the twelve months ended March 31, 2026, the Company repurchased 7.1 million shares of its common stock for $194.4 million under the stock repurchase program. During the twelve months ended March 31, 2025, the Company repurchased 3.8 million shares of its common stock for $101.1 million under the stock repurchase program. During the twelve months ended March 31, 2024, the Company repurchased 2.1 million shares of its common stock for $60.5 million under the stock repurchase program. Through March 31, 2026, the Company has repurchased 48.6 million shares of its common stock for $1.2 billion, leaving remaining capacity of $261.8 million under the stock repurchase program. In accordance with the Merger Agreement, the Company has paused repurchases under its stock repurchase program through the completion of the Merger. For more information regarding the Merger, see Note 18, “Subsequent Events,” of the Notes to Consolidated Financial Statements accompanying this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repurchase amounts included in the consolidated financial statements that were related to the 1% excise tax on share repurchases, net of share issuances, as a result of the Inflation Reduction Act of 2022 are (dollars in thousands):</w:t>
      </w:r>
    </w:p>
    <w:tbl>
      <w:tblPr>
        <w:tblW w:w="10205" w:type="dxa"/>
        <w:jc w:val="left"/>
        <w:tblInd w:w="0" w:type="dxa"/>
        <w:tblLayout w:type="fixed"/>
        <w:tblCellMar>
          <w:top w:w="28" w:type="dxa"/>
          <w:left w:w="28" w:type="dxa"/>
          <w:bottom w:w="28" w:type="dxa"/>
          <w:right w:w="28" w:type="dxa"/>
        </w:tblCellMar>
      </w:tblPr>
      <w:tblGrid>
        <w:gridCol w:w="2681"/>
        <w:gridCol w:w="2358"/>
        <w:gridCol w:w="2370"/>
        <w:gridCol w:w="109"/>
        <w:gridCol w:w="109"/>
        <w:gridCol w:w="109"/>
        <w:gridCol w:w="243"/>
        <w:gridCol w:w="745"/>
        <w:gridCol w:w="125"/>
        <w:gridCol w:w="125"/>
        <w:gridCol w:w="125"/>
        <w:gridCol w:w="125"/>
        <w:gridCol w:w="243"/>
        <w:gridCol w:w="554"/>
        <w:gridCol w:w="184"/>
      </w:tblGrid>
      <w:tr>
        <w:trPr/>
        <w:tc>
          <w:tcPr>
            <w:tcW w:w="268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payments and accruals included in the consolidated statements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payments included in the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paid no dividends on its common stock for any of the years reported.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stock option, equity compensation, and stock purchase plans for which a total of 54.0 million shares of the Company’s common stock have been reserved for issuance since the inception of the plans. At March 31, 2026, there were a total of 7.3 million shares available for future grants under the plans, of which 0.6 million shares relate to the Company's qualified employee stock purchase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2026, the board of directors voted to amend the Amended and Restated 2005 Equity Compensation Plan (the "2005 Plan") to increase the number of shares available under the 2005 Plan by 2.5 million shares. The amendment received shareholder approval at the August 2025 annual shareholders' meeting. This increased the 2005 Plan shares from 48.9 million shares at March 31, 2025 to 51.4 million shares beginning in the quarter ended September 30, 2025 and increased the total number of shares reserved for issuance since inception of all plans from 51.5 million shares at March 31, 2025 to 54.0 million shares beginning in the quarter ended September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2025, the board of directors voted to amend the 2005 Plan to increase the number of shares available under the 2005 Plan by 2.5 million shares. The amendment received shareholder approval at the August 2024 annual shareholders' meeting. This increased the 2005 Plan shares from 46.4 million shares at March 31, 2024 to 48.9 million shares beginning in the quarter ended September 30, 2024 and increased the total number of shares reserved for issuance since inception of all plans from 49.0 million shares at March 31, 2024 to 51.5 million shares beginning in the quarter ended September 30,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2024, the board of directors voted to amend the 2005 Plan to increase the number of shares available under the 2005 Plan by 4.0 million shares. The amendment received shareholder approval at the August 2023 annual shareholders' meeting. This increased the 2005 Plan shares from 42.4 million shares at March 31, 2023 to 46.4 million shares beginning in the quarter ended September 30, 2023 and increased the total number of shares reserved for issuance since inception of all plans from 45.0 million shares at March 31, 2023 to 49.0 million shares beginning in the quarter ended September 30, 2023.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u w:val="single"/>
        </w:rPr>
      </w:pPr>
      <w:r>
        <w:rPr>
          <w:rFonts w:ascii="Arial;sans-serif" w:hAnsi="Arial;sans-serif"/>
          <w:b w:val="false"/>
          <w:color w:val="000000"/>
          <w:sz w:val="20"/>
          <w:u w:val="single"/>
        </w:rPr>
        <w:t>Stock-based Compensation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stock-based compensation activity for the twelve months ended March 31, 2026, 2025, and 2024, by award type, was (dollars in thousands):</w:t>
      </w:r>
    </w:p>
    <w:tbl>
      <w:tblPr>
        <w:tblW w:w="10205" w:type="dxa"/>
        <w:jc w:val="left"/>
        <w:tblInd w:w="0" w:type="dxa"/>
        <w:tblLayout w:type="fixed"/>
        <w:tblCellMar>
          <w:top w:w="28" w:type="dxa"/>
          <w:left w:w="28" w:type="dxa"/>
          <w:bottom w:w="28" w:type="dxa"/>
          <w:right w:w="28" w:type="dxa"/>
        </w:tblCellMar>
      </w:tblPr>
      <w:tblGrid>
        <w:gridCol w:w="2241"/>
        <w:gridCol w:w="1814"/>
        <w:gridCol w:w="1804"/>
        <w:gridCol w:w="109"/>
        <w:gridCol w:w="109"/>
        <w:gridCol w:w="109"/>
        <w:gridCol w:w="211"/>
        <w:gridCol w:w="751"/>
        <w:gridCol w:w="109"/>
        <w:gridCol w:w="109"/>
        <w:gridCol w:w="109"/>
        <w:gridCol w:w="109"/>
        <w:gridCol w:w="211"/>
        <w:gridCol w:w="856"/>
        <w:gridCol w:w="109"/>
        <w:gridCol w:w="109"/>
        <w:gridCol w:w="109"/>
        <w:gridCol w:w="109"/>
        <w:gridCol w:w="211"/>
        <w:gridCol w:w="751"/>
        <w:gridCol w:w="156"/>
      </w:tblGrid>
      <w:tr>
        <w:trPr/>
        <w:tc>
          <w:tcPr>
            <w:tcW w:w="224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5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time-vesting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D9D9D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56,583 </w:t>
            </w:r>
          </w:p>
        </w:tc>
        <w:tc>
          <w:tcPr>
            <w:tcW w:w="156" w:type="dxa"/>
            <w:tcBorders>
              <w:top w:val="single" w:sz="8" w:space="0" w:color="D9D9D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performance-based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D9D9D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56" w:type="dxa"/>
            <w:tcBorders>
              <w:top w:val="single" w:sz="8" w:space="0" w:color="D9D9D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Acuity performance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56"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DataFleets acquisition consideration holdback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acquisition consideration holdback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Directors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consolidated 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expense related to liability-based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consolidated statements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 of stock-based compensation expense on income, by financial statement line item, was (dollars in thousands):</w:t>
      </w:r>
    </w:p>
    <w:tbl>
      <w:tblPr>
        <w:tblW w:w="10205" w:type="dxa"/>
        <w:jc w:val="left"/>
        <w:tblInd w:w="0" w:type="dxa"/>
        <w:tblLayout w:type="fixed"/>
        <w:tblCellMar>
          <w:top w:w="28" w:type="dxa"/>
          <w:left w:w="28" w:type="dxa"/>
          <w:bottom w:w="28" w:type="dxa"/>
          <w:right w:w="28" w:type="dxa"/>
        </w:tblCellMar>
      </w:tblPr>
      <w:tblGrid>
        <w:gridCol w:w="2186"/>
        <w:gridCol w:w="1865"/>
        <w:gridCol w:w="1809"/>
        <w:gridCol w:w="109"/>
        <w:gridCol w:w="109"/>
        <w:gridCol w:w="109"/>
        <w:gridCol w:w="211"/>
        <w:gridCol w:w="751"/>
        <w:gridCol w:w="109"/>
        <w:gridCol w:w="109"/>
        <w:gridCol w:w="109"/>
        <w:gridCol w:w="109"/>
        <w:gridCol w:w="211"/>
        <w:gridCol w:w="856"/>
        <w:gridCol w:w="109"/>
        <w:gridCol w:w="109"/>
        <w:gridCol w:w="109"/>
        <w:gridCol w:w="109"/>
        <w:gridCol w:w="211"/>
        <w:gridCol w:w="751"/>
        <w:gridCol w:w="155"/>
      </w:tblGrid>
      <w:tr>
        <w:trPr/>
        <w:tc>
          <w:tcPr>
            <w:tcW w:w="218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5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stock-based compensation included in the 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71,304 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the expected future expense for all of the Company's outstanding equity awards at March 31, 2026, by award type (dollars in thousands).</w:t>
      </w:r>
    </w:p>
    <w:tbl>
      <w:tblPr>
        <w:tblW w:w="9582" w:type="dxa"/>
        <w:jc w:val="left"/>
        <w:tblInd w:w="0" w:type="dxa"/>
        <w:tblLayout w:type="fixed"/>
        <w:tblCellMar>
          <w:top w:w="28" w:type="dxa"/>
          <w:left w:w="28" w:type="dxa"/>
          <w:bottom w:w="28" w:type="dxa"/>
          <w:right w:w="28" w:type="dxa"/>
        </w:tblCellMar>
      </w:tblPr>
      <w:tblGrid>
        <w:gridCol w:w="1308"/>
        <w:gridCol w:w="1150"/>
        <w:gridCol w:w="1156"/>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09"/>
        <w:gridCol w:w="109"/>
        <w:gridCol w:w="109"/>
        <w:gridCol w:w="109"/>
        <w:gridCol w:w="211"/>
        <w:gridCol w:w="75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acquisition consideration holdback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future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Stock Options Activity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2024, in connection with the acquisition of Habu, the Company replaced all unvested outstanding stock options held by Habu employees immediately prior to the acquisition with options to acquire shares of LiveRamp common stock having substantially the same terms and conditions as were applicable under the original options. In total, the Company issued 252,364 replacement options at a weighted-average exercise price of $8.91 per share. The acquisition-date fair value of the replacement stock options was $7.9 million and was determined using a binomial lattice model. Of the $7.9 million acquisition-date fair value, $0.3 million was attributed to pre-combination service and treated as a component of purchase consideration transferred. The remaining $7.5 million of acquisition-date fair value is considered future compensation cost and will be recognized as stock-based compensation cost over the remaining service period of the replacement options.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option activity for the twelve months ended March 31, 2026 was:  </w:t>
      </w:r>
    </w:p>
    <w:tbl>
      <w:tblPr>
        <w:tblW w:w="9694"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458"/>
        <w:gridCol w:w="458"/>
        <w:gridCol w:w="316"/>
        <w:gridCol w:w="109"/>
        <w:gridCol w:w="109"/>
        <w:gridCol w:w="109"/>
        <w:gridCol w:w="331"/>
        <w:gridCol w:w="1013"/>
        <w:gridCol w:w="171"/>
        <w:gridCol w:w="109"/>
        <w:gridCol w:w="109"/>
        <w:gridCol w:w="109"/>
        <w:gridCol w:w="504"/>
        <w:gridCol w:w="504"/>
        <w:gridCol w:w="506"/>
        <w:gridCol w:w="109"/>
        <w:gridCol w:w="109"/>
        <w:gridCol w:w="109"/>
        <w:gridCol w:w="275"/>
        <w:gridCol w:w="843"/>
        <w:gridCol w:w="20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370,596 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90,610 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52,024 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aggregate intrinsic value for options exercised in the twelve months ended March 31, 2026, 2025, and 2024 was $3.9 million, $3.5 million, and $0.9 million, respectively. The aggregate intrinsic value at period end represents the total pre-tax intrinsic value (the difference between LiveRamp’s closing stock price on the last trading day of the period and the exercise price for each in-the-money option) that would have been received by the option holders had they exercised their options on March 31, 2026.  This amount changes based upon changes in the fair market value of LiveRamp’s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stock options outstanding and exercisable as of March 31, 2026 was:</w:t>
      </w:r>
    </w:p>
    <w:tbl>
      <w:tblPr>
        <w:tblW w:w="10497" w:type="dxa"/>
        <w:jc w:val="left"/>
        <w:tblInd w:w="0" w:type="dxa"/>
        <w:tblLayout w:type="fixed"/>
        <w:tblCellMar>
          <w:top w:w="28" w:type="dxa"/>
          <w:left w:w="28" w:type="dxa"/>
          <w:bottom w:w="28" w:type="dxa"/>
          <w:right w:w="28" w:type="dxa"/>
        </w:tblCellMar>
      </w:tblPr>
      <w:tblGrid>
        <w:gridCol w:w="226"/>
        <w:gridCol w:w="646"/>
        <w:gridCol w:w="109"/>
        <w:gridCol w:w="109"/>
        <w:gridCol w:w="109"/>
        <w:gridCol w:w="109"/>
        <w:gridCol w:w="115"/>
        <w:gridCol w:w="115"/>
        <w:gridCol w:w="116"/>
        <w:gridCol w:w="109"/>
        <w:gridCol w:w="109"/>
        <w:gridCol w:w="109"/>
        <w:gridCol w:w="211"/>
        <w:gridCol w:w="646"/>
        <w:gridCol w:w="109"/>
        <w:gridCol w:w="109"/>
        <w:gridCol w:w="109"/>
        <w:gridCol w:w="109"/>
        <w:gridCol w:w="375"/>
        <w:gridCol w:w="376"/>
        <w:gridCol w:w="363"/>
        <w:gridCol w:w="109"/>
        <w:gridCol w:w="109"/>
        <w:gridCol w:w="109"/>
        <w:gridCol w:w="504"/>
        <w:gridCol w:w="501"/>
        <w:gridCol w:w="286"/>
        <w:gridCol w:w="109"/>
        <w:gridCol w:w="109"/>
        <w:gridCol w:w="109"/>
        <w:gridCol w:w="331"/>
        <w:gridCol w:w="746"/>
        <w:gridCol w:w="109"/>
        <w:gridCol w:w="109"/>
        <w:gridCol w:w="109"/>
        <w:gridCol w:w="109"/>
        <w:gridCol w:w="375"/>
        <w:gridCol w:w="376"/>
        <w:gridCol w:w="333"/>
        <w:gridCol w:w="112"/>
        <w:gridCol w:w="112"/>
        <w:gridCol w:w="112"/>
        <w:gridCol w:w="322"/>
        <w:gridCol w:w="742"/>
        <w:gridCol w:w="167"/>
      </w:tblGrid>
      <w:tr>
        <w:trPr/>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exercisable</w:t>
            </w:r>
          </w:p>
        </w:tc>
      </w:tr>
      <w:tr>
        <w:trPr/>
        <w:tc>
          <w:tcPr>
            <w:tcW w:w="2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Range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r>
      <w:tr>
        <w:trPr/>
        <w:tc>
          <w:tcPr>
            <w:tcW w:w="2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r>
      <w:tr>
        <w:trPr/>
        <w:tc>
          <w:tcPr>
            <w:tcW w:w="2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exercisable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88,900 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90,610 </w:t>
            </w:r>
          </w:p>
        </w:tc>
        <w:tc>
          <w:tcPr>
            <w:tcW w:w="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52,024 </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Restricted Stock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2024, in connection with the acquisition of Habu, the Company replaced the unvested outstanding restricted stock shares held by Habu employees immediately prior to the acquisition with restricted shares of LiveRamp common stock having substantially the same terms and conditions as were applicable under the original restricted stock agreement. The conversion calculation resulted in the issuance of 36,118 replacement restricted stock shares having an acquisition-date fair value of $1.4 million. Of the $1.4 million acquisition-date fair value, $0.1 million was attributed to pre-combination service and treated as a component of purchase consideration transferred. The remaining $1.3 million of acquisition-date fair value is considered future compensation cost and will be recognized as stock-based compensation cost over the remaining service period of the replacement restricted stock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stock share activity for the twelve months ended March 31, 2026 was:</w:t>
      </w:r>
    </w:p>
    <w:p>
      <w:pPr>
        <w:pStyle w:val="TextBody"/>
        <w:bidi w:val="0"/>
        <w:spacing w:before="0" w:after="0"/>
        <w:jc w:val="left"/>
        <w:rPr/>
      </w:pPr>
      <w:r>
        <w:rPr/>
      </w:r>
    </w:p>
    <w:tbl>
      <w:tblPr>
        <w:tblW w:w="10038" w:type="dxa"/>
        <w:jc w:val="left"/>
        <w:tblInd w:w="0" w:type="dxa"/>
        <w:tblLayout w:type="fixed"/>
        <w:tblCellMar>
          <w:top w:w="28" w:type="dxa"/>
          <w:left w:w="28" w:type="dxa"/>
          <w:bottom w:w="28" w:type="dxa"/>
          <w:right w:w="28" w:type="dxa"/>
        </w:tblCellMar>
      </w:tblPr>
      <w:tblGrid>
        <w:gridCol w:w="1686"/>
        <w:gridCol w:w="1484"/>
        <w:gridCol w:w="1494"/>
        <w:gridCol w:w="109"/>
        <w:gridCol w:w="109"/>
        <w:gridCol w:w="109"/>
        <w:gridCol w:w="353"/>
        <w:gridCol w:w="353"/>
        <w:gridCol w:w="283"/>
        <w:gridCol w:w="109"/>
        <w:gridCol w:w="109"/>
        <w:gridCol w:w="109"/>
        <w:gridCol w:w="331"/>
        <w:gridCol w:w="1013"/>
        <w:gridCol w:w="171"/>
        <w:gridCol w:w="109"/>
        <w:gridCol w:w="109"/>
        <w:gridCol w:w="109"/>
        <w:gridCol w:w="553"/>
        <w:gridCol w:w="553"/>
        <w:gridCol w:w="783"/>
      </w:tblGrid>
      <w:tr>
        <w:trPr/>
        <w:tc>
          <w:tcPr>
            <w:tcW w:w="168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restricted stock awards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restricted stock awards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fair value of restricted stock awards vested during twelve months ended March 31, 2026 and 2025 was $0.0 million and $0.8 million, respectively, and is measured as the quoted market price of the Company's common stock on the vesting date for the number of shares vested. No restricted stock awards vested during the twelve months ended March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Restricted Stock Unit Activity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Time-vesting restricted stock units ("RSUs")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2026, the Company granted time-vesting RSUs covering 2,201,909 shares of common stock and having a fair value at the date of grant of $64.5 million. The RSUs granted in fiscal 2026 will vest over three years. Grant date fair value of these units is equal to the quoted market price for the shares on the date of grant.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2025, the Company granted time-vesting RSUs covering 2,036,456 shares of common stock and having a fair value at the date of grant of $65.2 million. The RSUs granted in fiscal 2025 will vest over three years. Grant date fair value of these units is equal to the quoted market price for the shares on the date of grant.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2024, the Company granted time-vesting RSUs covering 1,783,478 shares of common stock and having a fair value at the date of grant of $48.6 million. Of the RSUs granted in fiscal 2024, 999,987 vest over three years and 783,491 vest over two years. Grant date fair value of these units is equal to the quoted market price for the shares on the date of grant.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2024, in connection with the acquisition of Habu, the Company replaced the unvested outstanding time-vesting RSUs held by Habu employees immediately prior to the acquisition with LiveRamp RSUs covering 410,853 shares of common stock having an acquisition-date fair value of $16.2 million. The replacement RSUs have substantially the same terms and conditions as were applicable under the original RSU agreement. The replacement RSUs vest subject to post-combination service requirements, as the awards were granted in conjunction with the closing of the acquisition. As a result, the acquisition-date fair value is considered future compensation cost and will be recognized as stock-based compensation cost over the vesting period of the replacement RSUs. At March 31, 2026, the replacement RSUs had a remaining weighted-average contractual term of 0.8 years.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RSU activity for the twelve months ended March 31, 2026 was:</w:t>
      </w:r>
    </w:p>
    <w:tbl>
      <w:tblPr>
        <w:tblW w:w="8570"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539"/>
        <w:gridCol w:w="541"/>
        <w:gridCol w:w="283"/>
        <w:gridCol w:w="109"/>
        <w:gridCol w:w="109"/>
        <w:gridCol w:w="109"/>
        <w:gridCol w:w="334"/>
        <w:gridCol w:w="1023"/>
        <w:gridCol w:w="174"/>
        <w:gridCol w:w="109"/>
        <w:gridCol w:w="109"/>
        <w:gridCol w:w="109"/>
        <w:gridCol w:w="553"/>
        <w:gridCol w:w="553"/>
        <w:gridCol w:w="78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2,985,522 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2,201,909 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(1,831,969)</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(434,320)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2,921,142 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total fair value of RSUs vested during the twelve months ended March 31, 2026, 2025, and 2024 was $56.0 million, $83.4 million, and $45.3 million, respectively, and is measured as the quoted market price of the Company's common stock on the vesting date for the number of shares vested.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Performance-based restricted stock units ("PSUs") -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2026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2026, the Company granted PSUs covering 520,826 shares of common stock having a fair value at the date of grant of $17.2 million. The grants were made under three separate performance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total shareholder return ("TSR") performance plan, units covering 154,299 shares of common stock were granted having a fair value at the date of grant of $6.4 million, determined using a Monte Carlo simulation model. The units vest subject to attainment of market conditions established by the talent and compensation committee and continuous employment through the vesting date. The units may vest in a number of shares from 0% to 200% of the award, based on the TSR of LiveRamp common stock compared to the TSR of the Russell 2000 market index for the period from April 1, 2025 to March 31,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operating metrics performance plan, units covering 360,036 shares of common stock were granted having a fair value at the date of grant of $10.6 million, which was equal to the quoted market price for the shares on the date of grant. The units vest subject to attainment of performance criteria established by the talent and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2026, 2027, and 2028.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international operating metrics performance plan, units covering 6,491 shares of common stock were granted having a fair value at the date of grant of $0.2 million, which was equal to the quoted market price for the shares on the date of grant. The units vest subject to attainment of performance criteria established by the talent and compensation committee and continuous employment through the vesting date. The units are subject to vesting or forfeiture, 100% or 0%, respectively, based on the attainment of a performance target at the end of the performance period that is based on international operating income metrics for the fiscal year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2025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2025, the Company granted PSUs covering 465,515 shares of common stock having a fair value at the date of grant of $16.8 million. The grants were made under three separate performance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TSR performance plan, units covering 128,953 shares of common stock were granted having a fair value at the date of grant of $5.6 million, determined using a Monte Carlo simulation model. The units vest subject to attainment of market conditions established by the talent and compensation committee and continuous employment through the vesting date. The units may vest in a number of shares from 0% to 200% of the award, based on the TSR of LiveRamp common stock compared to the TSR of the Russell 2000 market index for the period from April 1, 2024 to March 31,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operating metrics performance plan, units covering 300,904 shares of common stock were granted having a fair value at the date of grant of $9.9 million, which was equal to the quoted market price for the shares on the date of grant. The units vest subject to attainment of performance criteria established by the talent and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2025, 2026, and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international operating metrics performance plan, units covering 35,658 shares of common stock were granted having a fair value at the date of grant of $1.2 million, which was equal to the quoted market price for the shares on the date of grant. The units vest subject to attainment of performance criteria established by the talent and compensation committee and continuous employment through the vesting date. The units are subject to vesting or forfeiture, 100% or 0%, respectively, based on the attainment of a performance target at the end of the performance period that is based on an international operating income metrics for the fiscal year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2024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2024, the Company granted PSUs covering 666,496 shares of common stock having a fair value at the date of grant of $21.0 million. The grants were made under two separate performance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TSR performance plan, units covering 199,946 shares of common stock were granted having a fair value at the date of grant of $8.4 million, determined using a Monte Carlo simulation model. The units vest subject to attainment of market conditions established by the talent and compensation committee and continuous employment through the vesting date. The units may vest in a number of shares from 0% to 200% of the award, based on the TSR of LiveRamp common stock compared to the TSR of the Russell 2000 market index for the period from April 1, 2023 to March 31, 2026. As of March 31, 2026, 158,486 units, net of forfeitures, remain eligible for award under this plan. The final performance measurement resulted in approximately 94% attainment, or 149,115 shares. The shares are expected to be delivered in the first and third quarters of fiscal 2027 subject to talent and compensation committee approval. The remaining 9,371 units are expected to be canceled at that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operating metrics performance plan, units covering 466,550 shares of common stock were granted having a fair value at the date of grant of $12.6 million, which was equal to the quoted market price for the shares on the date of grant. The units vest subject to attainment of performance criteria established by the talent and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2024, 2025, and 2026. As of March 31, 2026, 369,807 units, net of forfeitures, remain eligible for award under this plan. The final performance measurement resulted in approximately 97% attainment, or 358,708 shares. The shares are expected to be delivered in the first and third quarters of fiscal 2027 subject to talent and compensation committee approval. The remaining 11,099 units are expected to be canceled at that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PSU activity for the twelve months ended March 31, 2026 was:</w:t>
      </w:r>
    </w:p>
    <w:tbl>
      <w:tblPr>
        <w:tblW w:w="8511"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510"/>
        <w:gridCol w:w="511"/>
        <w:gridCol w:w="283"/>
        <w:gridCol w:w="109"/>
        <w:gridCol w:w="109"/>
        <w:gridCol w:w="109"/>
        <w:gridCol w:w="334"/>
        <w:gridCol w:w="1023"/>
        <w:gridCol w:w="174"/>
        <w:gridCol w:w="109"/>
        <w:gridCol w:w="109"/>
        <w:gridCol w:w="109"/>
        <w:gridCol w:w="553"/>
        <w:gridCol w:w="553"/>
        <w:gridCol w:w="78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 at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contractual</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(in years)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1,395,426 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31.36 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520,826 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(332,745)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(138,432)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1,445,075 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total fair value of PSUs vested in the twelve months ended March 31, 2026, 2025 and 2024 was $11.1 million, $1.0 million, and $1.5 million, respectively, and is measured as the quoted market price of the Company’s common stock on the vesting date for the number of shares vested.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Other Stock Compensation Activity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Acquisition-related Consideration Holdback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twelve months ended March 31, 2024, in connection with the acquisition of Habu, $14.6 million of the acquisition consideration otherwise payable with respect to incentive compensation and shares of Habu common stock held by certain key employees was subject to holdback by the Company pursuant to agreements with those employees (each, a "Holdback Agreement"). Each Holdback Agreement specifies that the consideration holdback will vest in three equal annual increments on the anniversary of the January 31, 2024 closing date, with provisions for accelerated settlement under certain circumstances. Vesting is subject to the Habu key employees' continued employment through each annual vesting date and will be settled in cash, shares of Company common stock, or any combination of cash and Company common stock, at the Company's discretion. Through March 31, 2026, the Company has recognized a total of $12.3 million as stock-based compensation expense related to the Habu consideration holdback. At March 31, 2026, the recognized, but unpaid, balance related to the Habu consideration holdback in other accrued expenses in the consolidated balance sheet was $2.6 million. An accelerated settlement of $2.1 million will occur in the first quarter of fiscal 2027 and the third annual remaining settlement of $2.8 million is expected to occur in the fourth quarter of fiscal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Qualified Employee Stock Purchase Plan ("ESPP")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Under the Company's ESPP, all eligible employees are permitted to authorize payroll deductions of up to the applicable ESPP and statutory limits to purchase shares of common stock. The ESPP provides for offering periods that are every six months. ESPP purchases generally occur on May 31st and November 30th each year. At each purchase date, employees are able to purchase shares at 85% of the lower of (1) the closing market price per share of common stock on the employee's enrollment into the applicable offering period and (2) the closing market price per share of common stock on the purchase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calculates the fair value of the ESPP purchase right using the Black-Scholes option-pricing model. Stock-based compensation expense associated with the ESPP was $1.5 million, $1.7 million and $1.7 million for the twelve months ended March 31, 2026, 2025, and 2024,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twelve months ended March 31, 2026, 166,077 shares of common stock were purchased under the ESPP at a weighted-average price of $25.91 per share, resulting in cash proceeds of $4.3 million over the relevant offering periods. During the twelve months ended March 31, 2025, 187,764 shares of common stock were purchased under the ESPP at a weighted-average price of $26.25 per share, resulting in cash proceeds of $4.9 million over the relevant offering periods. During the twelve months ended March 31, 2024, 216,699 shares of common stock were purchased under the ESPP at a weighted-average price of $19.76 per share, resulting in cash proceeds of $4.3 million over the relevant offering periods.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March 31, 2026, there was approximately $0.1 million of total unrecognized stock-based compensation expense related to the ESPP, which is expected to be recognized on a straight-line basis over the remaining term of the current offering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Accumulated other comprehensive income accumulated balances of $5.6 million and $4.3 million at March 31, 2026 and March 31, 2025, respectively, reflect accumulated foreign currency translation adjustments.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14. INCOME TAX: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(benefit) (dollars in thousands):</w:t>
      </w:r>
    </w:p>
    <w:tbl>
      <w:tblPr>
        <w:tblW w:w="6503"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211"/>
        <w:gridCol w:w="811"/>
        <w:gridCol w:w="109"/>
        <w:gridCol w:w="109"/>
        <w:gridCol w:w="109"/>
        <w:gridCol w:w="109"/>
        <w:gridCol w:w="211"/>
        <w:gridCol w:w="751"/>
        <w:gridCol w:w="109"/>
        <w:gridCol w:w="109"/>
        <w:gridCol w:w="109"/>
        <w:gridCol w:w="109"/>
        <w:gridCol w:w="211"/>
        <w:gridCol w:w="75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from continuing operations before income taxes (dollars in thousands):</w:t>
      </w:r>
    </w:p>
    <w:tbl>
      <w:tblPr>
        <w:tblW w:w="5005" w:type="dxa"/>
        <w:jc w:val="left"/>
        <w:tblInd w:w="0" w:type="dxa"/>
        <w:tblLayout w:type="fixed"/>
        <w:tblCellMar>
          <w:top w:w="28" w:type="dxa"/>
          <w:left w:w="28" w:type="dxa"/>
          <w:bottom w:w="28" w:type="dxa"/>
          <w:right w:w="28" w:type="dxa"/>
        </w:tblCellMar>
      </w:tblPr>
      <w:tblGrid>
        <w:gridCol w:w="277"/>
        <w:gridCol w:w="242"/>
        <w:gridCol w:w="247"/>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98,064 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34,361 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Components of income tax expense (benefit) attributable to continuing operations (dollars in thousands):</w:t>
      </w:r>
      <w:r>
        <w:rPr>
          <w:color w:val="0563C1"/>
        </w:rPr>
        <w:t> </w:t>
      </w:r>
    </w:p>
    <w:tbl>
      <w:tblPr>
        <w:tblW w:w="5155"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211"/>
        <w:gridCol w:w="811"/>
        <w:gridCol w:w="109"/>
        <w:gridCol w:w="109"/>
        <w:gridCol w:w="109"/>
        <w:gridCol w:w="109"/>
        <w:gridCol w:w="211"/>
        <w:gridCol w:w="751"/>
        <w:gridCol w:w="109"/>
        <w:gridCol w:w="109"/>
        <w:gridCol w:w="109"/>
        <w:gridCol w:w="109"/>
        <w:gridCol w:w="211"/>
        <w:gridCol w:w="751"/>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(56,342)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(46,712)</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2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Reconciliation between expected income tax expense at the federal statutory rate and income tax expense (dollars in thousands):</w:t>
      </w:r>
      <w:r>
        <w:rPr>
          <w:color w:val="0563C1"/>
        </w:rPr>
        <w:t> </w:t>
      </w:r>
    </w:p>
    <w:tbl>
      <w:tblPr>
        <w:tblW w:w="10205" w:type="dxa"/>
        <w:jc w:val="left"/>
        <w:tblInd w:w="0" w:type="dxa"/>
        <w:tblLayout w:type="fixed"/>
        <w:tblCellMar>
          <w:top w:w="28" w:type="dxa"/>
          <w:left w:w="28" w:type="dxa"/>
          <w:bottom w:w="28" w:type="dxa"/>
          <w:right w:w="28" w:type="dxa"/>
        </w:tblCellMar>
      </w:tblPr>
      <w:tblGrid>
        <w:gridCol w:w="1370"/>
        <w:gridCol w:w="955"/>
        <w:gridCol w:w="958"/>
        <w:gridCol w:w="109"/>
        <w:gridCol w:w="109"/>
        <w:gridCol w:w="109"/>
        <w:gridCol w:w="211"/>
        <w:gridCol w:w="783"/>
        <w:gridCol w:w="109"/>
        <w:gridCol w:w="285"/>
        <w:gridCol w:w="287"/>
        <w:gridCol w:w="286"/>
        <w:gridCol w:w="109"/>
        <w:gridCol w:w="109"/>
        <w:gridCol w:w="109"/>
        <w:gridCol w:w="211"/>
        <w:gridCol w:w="751"/>
        <w:gridCol w:w="109"/>
        <w:gridCol w:w="322"/>
        <w:gridCol w:w="324"/>
        <w:gridCol w:w="286"/>
        <w:gridCol w:w="109"/>
        <w:gridCol w:w="109"/>
        <w:gridCol w:w="109"/>
        <w:gridCol w:w="211"/>
        <w:gridCol w:w="751"/>
        <w:gridCol w:w="109"/>
        <w:gridCol w:w="285"/>
        <w:gridCol w:w="287"/>
        <w:gridCol w:w="334"/>
      </w:tblGrid>
      <w:tr>
        <w:trPr/>
        <w:tc>
          <w:tcPr>
            <w:tcW w:w="13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3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income taxes, net of federal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&amp; development tax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Nontaxable and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meals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7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State and local income taxes, net of federal benefit, in fiscal 2026 included a $28.9 million state tax benefit from a state valuation allowance release, the majority of which was attributable to California. The remaining state tax expense in fiscal 2026 was $4.8 million, the majority of which was attributable to Pennsylvania, New York, Georgia, Tennessee, and Wisconsin. In fiscal 2025 and 2024, the majority of state tax expense was attributable to New York, Illinois, Pennsylvania, and California.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paid for income taxes, net of refunds (dollars in thousands):</w:t>
      </w:r>
    </w:p>
    <w:tbl>
      <w:tblPr>
        <w:tblW w:w="7239" w:type="dxa"/>
        <w:jc w:val="left"/>
        <w:tblInd w:w="0" w:type="dxa"/>
        <w:tblLayout w:type="fixed"/>
        <w:tblCellMar>
          <w:top w:w="28" w:type="dxa"/>
          <w:left w:w="28" w:type="dxa"/>
          <w:bottom w:w="28" w:type="dxa"/>
          <w:right w:w="28" w:type="dxa"/>
        </w:tblCellMar>
      </w:tblPr>
      <w:tblGrid>
        <w:gridCol w:w="1139"/>
        <w:gridCol w:w="1002"/>
        <w:gridCol w:w="1009"/>
        <w:gridCol w:w="109"/>
        <w:gridCol w:w="109"/>
        <w:gridCol w:w="109"/>
        <w:gridCol w:w="211"/>
        <w:gridCol w:w="646"/>
        <w:gridCol w:w="109"/>
        <w:gridCol w:w="109"/>
        <w:gridCol w:w="109"/>
        <w:gridCol w:w="109"/>
        <w:gridCol w:w="211"/>
        <w:gridCol w:w="751"/>
        <w:gridCol w:w="109"/>
        <w:gridCol w:w="109"/>
        <w:gridCol w:w="109"/>
        <w:gridCol w:w="109"/>
        <w:gridCol w:w="211"/>
        <w:gridCol w:w="706"/>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One Big Beautiful Bill Act was signed into law on July 4, 2025 as Public Law 119-21 (the "2025 Tax Act"). The 2025 Tax Act includes provisions that allow for the immediate expensing of domestic research and development expenditures, as well as the accelerated deduction of remaining amortized amounts under a transition rule, which significantly reduced federal and state cash paid for income taxes in fiscal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State and foreign jurisdictions where income taxes paid, net of refunds, exceed 5% of the total (dollars in thousands):</w:t>
      </w:r>
    </w:p>
    <w:tbl>
      <w:tblPr>
        <w:tblW w:w="7652" w:type="dxa"/>
        <w:jc w:val="left"/>
        <w:tblInd w:w="0" w:type="dxa"/>
        <w:tblLayout w:type="fixed"/>
        <w:tblCellMar>
          <w:top w:w="28" w:type="dxa"/>
          <w:left w:w="28" w:type="dxa"/>
          <w:bottom w:w="28" w:type="dxa"/>
          <w:right w:w="28" w:type="dxa"/>
        </w:tblCellMar>
      </w:tblPr>
      <w:tblGrid>
        <w:gridCol w:w="1451"/>
        <w:gridCol w:w="1274"/>
        <w:gridCol w:w="1295"/>
        <w:gridCol w:w="109"/>
        <w:gridCol w:w="109"/>
        <w:gridCol w:w="109"/>
        <w:gridCol w:w="233"/>
        <w:gridCol w:w="532"/>
        <w:gridCol w:w="120"/>
        <w:gridCol w:w="120"/>
        <w:gridCol w:w="120"/>
        <w:gridCol w:w="120"/>
        <w:gridCol w:w="241"/>
        <w:gridCol w:w="464"/>
        <w:gridCol w:w="120"/>
        <w:gridCol w:w="120"/>
        <w:gridCol w:w="120"/>
        <w:gridCol w:w="120"/>
        <w:gridCol w:w="241"/>
        <w:gridCol w:w="464"/>
        <w:gridCol w:w="170"/>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Kentucky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Alabama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Iowa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Tennessee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Maryland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taxes paid, net of refunds, are not presented if less than 5% of the total. The "Other" amounts in fiscal 2024 include thirteen states and seven foreign jurisdictions where taxes paid, net of refunds, exceeded 5% of the total but did not exceed $0.1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March 27, 2020, the U.S. enacted The Coronavirus Aid, Relief, and Economic Security Act (“CARES Act”). The CARES Act included several significant changes and clarifications to existing tax law, including changes to the treatment of net operating losses (“NOLs”). Under the CARES Act, NOLs arising in tax years beginning after December 31, 2017, and before January 1, 2021, may be carried back to each of the five tax years preceding the tax year of the loss. The Company carried back its fiscal 2021 NOL, resulting in a refund of approximately $29.0 million, which was received during fiscal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Components of deferred tax assets and liabilities (dollars in thousands):  </w:t>
      </w:r>
    </w:p>
    <w:tbl>
      <w:tblPr>
        <w:tblW w:w="6228" w:type="dxa"/>
        <w:jc w:val="left"/>
        <w:tblInd w:w="0" w:type="dxa"/>
        <w:tblLayout w:type="fixed"/>
        <w:tblCellMar>
          <w:top w:w="28" w:type="dxa"/>
          <w:left w:w="28" w:type="dxa"/>
          <w:bottom w:w="28" w:type="dxa"/>
          <w:right w:w="28" w:type="dxa"/>
        </w:tblCellMar>
      </w:tblPr>
      <w:tblGrid>
        <w:gridCol w:w="1245"/>
        <w:gridCol w:w="1090"/>
        <w:gridCol w:w="1099"/>
        <w:gridCol w:w="109"/>
        <w:gridCol w:w="109"/>
        <w:gridCol w:w="109"/>
        <w:gridCol w:w="211"/>
        <w:gridCol w:w="751"/>
        <w:gridCol w:w="109"/>
        <w:gridCol w:w="109"/>
        <w:gridCol w:w="109"/>
        <w:gridCol w:w="109"/>
        <w:gridCol w:w="225"/>
        <w:gridCol w:w="690"/>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Nonqualified 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131,748 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March 31, 2026, the Company has federal net operating loss carryforwards of $19.0 million, state net operating loss carry forwards of $96.4 million, and foreign net operating loss carryforwards of $84.4 million. The federal net operating loss carryforwards do not expire. Of the state net operating loss carryforwards, $13.9 million do not expire and the remainder will expire by fiscal 2056. Of the foreign net operating loss carryforwards, $80.0 million do not expire and the remainder will expire by fiscal 2031. The Company has federal tax credit carryforwards of $4.2 million, which will expire by fiscal 2046. The Company has state tax credit carryforwards of $15.7 million, of which $13.4 million do not expire and the remainder will expire by fiscal 2041.</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Deferred tax assets related to capitalized research and development decreased significantly in fiscal 2026 as a result of the 2025 Tax Act’s provisions allowing for the immediate expensing of domestic research and development expenditures</w:t>
      </w:r>
      <w:r>
        <w:rPr>
          <w:rFonts w:ascii="Arial;sans-serif" w:hAnsi="Arial;sans-serif"/>
          <w:b w:val="false"/>
          <w:color w:val="008080"/>
          <w:sz w:val="24"/>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considers whether a valuation allowance is required if it is more likely than not that the tax benefit of some or all of the deferred tax assets will not be realized due to the inability to generate sufficient taxable income.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2026, the tax benefit attributable to changes in federal and state valuation allowance was $53.8 million and $28.9 million, respectively. The valuation allowance release in fiscal 2026 was based on all available evidence, including sustained profitability in recent years, improved expectations of future taxable income, and the absence of significant negative evidence. The remaining valuation allowance of $20.6 million is related to foreign deferred tax assets, which are primarily net operating loss carryforwards not expected to be deducted in jurisdictions with a history of taxable losses. After the federal and state valuation allowance release, it is more likely than not that the tax benefit from all deferred tax assets, net of the foreign valuation allowance, will be realized.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unrecognized tax benefits (dollars in thousands):</w:t>
      </w:r>
    </w:p>
    <w:tbl>
      <w:tblPr>
        <w:tblW w:w="7703" w:type="dxa"/>
        <w:jc w:val="left"/>
        <w:tblInd w:w="0" w:type="dxa"/>
        <w:tblLayout w:type="fixed"/>
        <w:tblCellMar>
          <w:top w:w="28" w:type="dxa"/>
          <w:left w:w="28" w:type="dxa"/>
          <w:bottom w:w="28" w:type="dxa"/>
          <w:right w:w="28" w:type="dxa"/>
        </w:tblCellMar>
      </w:tblPr>
      <w:tblGrid>
        <w:gridCol w:w="1252"/>
        <w:gridCol w:w="1102"/>
        <w:gridCol w:w="1110"/>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related to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related to prior fiscal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related to current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Lapses of statutes of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unrecognized tax benefits at March 31, 2026, if recognized, would reduce income tax expense by $31.2 million. Interest and penalties related to unrecognized tax benefits are recognized in income tax expense. Accrued interest and penalties related to unrecognized tax benefits was $10.9 million as of March 31, 2026 with an increase of $2.3 million during fiscal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federal tax returns prior to fiscal 2019 are no longer subject to examination by the Internal Revenue Service. The Internal Revenue Service is currently examining the federal tax return for fiscal 2019. Fiscal years subject to examination by state and foreign tax authorities vary by jurisdiction.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15. RETIREMENT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a qualified 401(k) retirement savings plan that covers substantially all U.S. employees.  The Company also offers a supplemental non-qualified deferred compensation plan (“SNQDC Plan”) for certain highly compensated employees. The Company matches 100% of the first 6% of each participating employee's annual aggregate contributions. The Company may also contribute additional amounts to the plans at the discretion of the 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contributions for the above plans amounted to approximately $12.4 million, $13.0 million, and $12.1 million in the twelve months ended March 31, 2026, 2025, and 2024, respectively.  Included in both other current assets and other accrued liabilities are the assets and liabilities of the SNQDC Plan in the amount of $16.9 million and $15.9 million at March 31,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16. SEGMENT AND GEOGRAPHIC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provides a data collaboration platform, essentially acting as a data collaboration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chief operating decision maker (“CODM”), the Chief Executive Officer (“CEO”),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generally accepted accounting principles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consolidated balance sheets as total consolidated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LiveRamp’s CODM regularly reviews significant segment expenses by the nature of the cost: cost of revenue, research and development, sales and marketing, general and administrative, and gains, losses and other items, net. This is consistent with the Company’s presentation on its consolidated statements of operations. Other significant segment expenses within income from operations include depreciation and amortization expenses and stock compensation expenses that are presented in more detail in the consolidated statements of cash flows and in Note 13, "Stockholders' Equity and Stock-Based Compensation", as well as employee-related expenses, excluding stock compensation expenses, which is detailed below (dollars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90"/>
        <w:gridCol w:w="1659"/>
        <w:gridCol w:w="1664"/>
        <w:gridCol w:w="109"/>
        <w:gridCol w:w="109"/>
        <w:gridCol w:w="109"/>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89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1550" w:type="dxa"/>
            <w:gridSpan w:val="6"/>
            <w:tcBorders/>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550" w:type="dxa"/>
            <w:gridSpan w:val="6"/>
            <w:tcBorders/>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 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expenses, net of stock compensation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342,053 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significant segment expenses within net earnings from continuing operations include other income (expense) (primarily interest income and expense), and income tax expense (benefit) that is presented in more detail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the Company operates as one operating segment, financial segment information, including significant segment expenses, profit or loss and asset information, can be found in the consolidated financial statements except for interest expense and interest income. Interest expense and interest income are included in total other income, net on the consolidated statements of operations, which is detailed below (dollars in thousands).</w:t>
      </w:r>
    </w:p>
    <w:tbl>
      <w:tblPr>
        <w:tblW w:w="7779" w:type="dxa"/>
        <w:jc w:val="left"/>
        <w:tblInd w:w="0" w:type="dxa"/>
        <w:tblLayout w:type="fixed"/>
        <w:tblCellMar>
          <w:top w:w="28" w:type="dxa"/>
          <w:left w:w="28" w:type="dxa"/>
          <w:bottom w:w="28" w:type="dxa"/>
          <w:right w:w="28" w:type="dxa"/>
        </w:tblCellMar>
      </w:tblPr>
      <w:tblGrid>
        <w:gridCol w:w="1124"/>
        <w:gridCol w:w="986"/>
        <w:gridCol w:w="994"/>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1443" w:type="dxa"/>
            <w:gridSpan w:val="6"/>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Geographic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attributes revenue to each geographic region based on the location of the Company’s operations. The following table shows financial information by geographic area (dollars in thousands): </w:t>
      </w:r>
    </w:p>
    <w:p>
      <w:pPr>
        <w:pStyle w:val="TextBody"/>
        <w:bidi w:val="0"/>
        <w:spacing w:before="0" w:after="0"/>
        <w:jc w:val="left"/>
        <w:rPr/>
      </w:pPr>
      <w:r>
        <w:rPr/>
      </w:r>
    </w:p>
    <w:tbl>
      <w:tblPr>
        <w:tblW w:w="7030"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w:t>
            </w:r>
          </w:p>
        </w:tc>
        <w:tc>
          <w:tcPr>
            <w:tcW w:w="1548"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 ("APAC")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659,661 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563C1"/>
        </w:rPr>
      </w:pPr>
      <w:r>
        <w:rPr>
          <w:color w:val="0563C1"/>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Long-lived assets excluding financial instruments (dollars in thousands):</w:t>
      </w:r>
    </w:p>
    <w:tbl>
      <w:tblPr>
        <w:tblW w:w="4521"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226"/>
        <w:gridCol w:w="917"/>
        <w:gridCol w:w="116"/>
        <w:gridCol w:w="109"/>
        <w:gridCol w:w="109"/>
        <w:gridCol w:w="109"/>
        <w:gridCol w:w="225"/>
        <w:gridCol w:w="915"/>
        <w:gridCol w:w="16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636,725 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596,396 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641,036 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603,182 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17. FAIR VALUE OF FINANCIAL INSTRUMENTS AND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 Unobservable inputs to the valuation methodology that are significant to the measurement of fair value of assets or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details the fair value measurements within the fair value hierarchy of the Company's financial assets and liabilities at March 31, 2026 and March 31, 2025 that are measured at fair value on a recurring basis (dollars in thousands):</w:t>
      </w:r>
    </w:p>
    <w:tbl>
      <w:tblPr>
        <w:tblW w:w="10205" w:type="dxa"/>
        <w:jc w:val="left"/>
        <w:tblInd w:w="0" w:type="dxa"/>
        <w:tblLayout w:type="fixed"/>
        <w:tblCellMar>
          <w:top w:w="28" w:type="dxa"/>
          <w:left w:w="28" w:type="dxa"/>
          <w:bottom w:w="28" w:type="dxa"/>
          <w:right w:w="28" w:type="dxa"/>
        </w:tblCellMar>
      </w:tblPr>
      <w:tblGrid>
        <w:gridCol w:w="1041"/>
        <w:gridCol w:w="811"/>
        <w:gridCol w:w="769"/>
        <w:gridCol w:w="109"/>
        <w:gridCol w:w="109"/>
        <w:gridCol w:w="109"/>
        <w:gridCol w:w="334"/>
        <w:gridCol w:w="1358"/>
        <w:gridCol w:w="172"/>
        <w:gridCol w:w="109"/>
        <w:gridCol w:w="109"/>
        <w:gridCol w:w="109"/>
        <w:gridCol w:w="364"/>
        <w:gridCol w:w="1116"/>
        <w:gridCol w:w="189"/>
        <w:gridCol w:w="109"/>
        <w:gridCol w:w="109"/>
        <w:gridCol w:w="109"/>
        <w:gridCol w:w="298"/>
        <w:gridCol w:w="1064"/>
        <w:gridCol w:w="154"/>
        <w:gridCol w:w="109"/>
        <w:gridCol w:w="109"/>
        <w:gridCol w:w="109"/>
        <w:gridCol w:w="211"/>
        <w:gridCol w:w="856"/>
        <w:gridCol w:w="160"/>
      </w:tblGrid>
      <w:tr>
        <w:trPr/>
        <w:tc>
          <w:tcPr>
            <w:tcW w:w="10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404,102 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non-qualified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left w:val="single" w:sz="8" w:space="0" w:color="D9D9D9"/>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left w:val="single" w:sz="8" w:space="0" w:color="D9D9D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D9D9D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60" w:type="dxa"/>
            <w:tcBorders>
              <w:right w:val="single" w:sz="8" w:space="0" w:color="D9D9D9"/>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413,331 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437,190 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certain financial instruments, including accounts receivable and accounts payable, the carrying amounts approximate their fair value due to the relatively short maturity of these balances.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held $6.2 million and $3.2 million of strategic investments without readily determinable fair values at March 31, 2026 and March 31, 2025, respectively (see Note 6). Strategic investments consist of non-controlling equity investments in privately held companies. These investments are accounted for under the cost method of accounting and are included in other assets on the consolidated balance sheets. During the twelve months ended March 31, 2026, the Company recorded $0.1 million in strategic investment impairment charges that is recorded in other expense in the consolidated statement of operations. There were no impairment charges during the twelve months ended March 31, 2025 or 2024.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18. SUBSEQUENT EVENTS: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Pending Merger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16, 2026, the Company entered into the Merger Agreement with Parent, Merger Sub, and, solely for the purpose of Section 10.14 thereto, Publicis, pursuant to which, among other things, at the Effective Time, Merger Sub will merge with and into the Company, with the Company continuing as the surviving corporation and a direct wholly owned subsidiary of Parent.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the terms and subject to the conditions set forth in the Merger Agreement, at the Effective Time, each share of common stock, par value $0.10 per share, of the Company issued and outstanding immediately prior to the Effective Time (other than any (i) Company Common Stock owned by stockholders that have properly perfected their rights of appraisal within the meaning of Section 262 of the Delaware General Corporation Law; (ii) Company Common Stock owned by the Company, Parent or Merger Sub; and (iii) Company Common Stock owned by any direct or indirect wholly owned subsidiary of Parent (other than Merger Sub) or of the Company) will be converted into the right to receive $38.50 in cash, without interest. The Merger is expected to close by the end of calendar year 2026, subject to customary closing conditions including approval by the Company’s stockholders and the receipt of required regulatory approvals.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consummation of the Merger is subject to various conditions, including, among others, customary conditions relating to: (i) approval of the Merger and the adoption of the Merger Agreement by the Company’s stockholders; (ii) the absence of any law or order making unlawful or restraining, enjoining or otherwise prohibiting consummation of the Merger; (iii) (a) expiration or termination of any applicable waiting periods (and any extension thereof) under the Hart-Scott-Rodino Antitrust Improvements Act of 1976, as amended, (b) the receipt of certain non-U.S. antitrust and foreign direct investment approvals and (c) the receipt of the CFIUS Approval (as defined in the Merger Agreement); (iv) the absence of any material adverse effect with respect to the Company; and (v) other customary conditions relating to the accuracy of representations and warranties and performance of covenants.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Merger Agreement also contains customary representations, warranties and covenants of the Company, Parent and Merger Sub, including, among others, covenants regarding the operation of the business of the Company and its subsidiaries prior to the Effective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Merger is consummated, the Company Common Stock will be delisted from the New York Stock Exchange and deregistered under the Securities Exchange Act of 1934, as amended, provided that such delisting and termination will not be effective until at or after the Effective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F-60</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SUBSIDIARIES OF LIVERAMP HOLDINGS, INC.</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3"/>
        <w:gridCol w:w="896"/>
        <w:gridCol w:w="904"/>
        <w:gridCol w:w="109"/>
        <w:gridCol w:w="109"/>
        <w:gridCol w:w="109"/>
        <w:gridCol w:w="567"/>
        <w:gridCol w:w="516"/>
        <w:gridCol w:w="518"/>
        <w:gridCol w:w="109"/>
        <w:gridCol w:w="109"/>
        <w:gridCol w:w="109"/>
        <w:gridCol w:w="444"/>
        <w:gridCol w:w="383"/>
        <w:gridCol w:w="1014"/>
        <w:gridCol w:w="109"/>
        <w:gridCol w:w="109"/>
        <w:gridCol w:w="109"/>
        <w:gridCol w:w="943"/>
        <w:gridCol w:w="830"/>
        <w:gridCol w:w="1136"/>
      </w:tblGrid>
      <w:tr>
        <w:trPr/>
        <w:tc>
          <w:tcPr>
            <w:tcW w:w="107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 SUBSIDIARIES</w:t>
            </w:r>
          </w:p>
        </w:tc>
      </w:tr>
      <w:tr>
        <w:trPr/>
        <w:tc>
          <w:tcPr>
            <w:tcW w:w="2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Subsidiary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Organized or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 of Equity Securities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Doing Business As</w:t>
            </w:r>
          </w:p>
        </w:tc>
      </w:tr>
      <w:tr>
        <w:trPr/>
        <w:tc>
          <w:tcPr>
            <w:tcW w:w="2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Inc.</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 Plus Math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 Plus Math</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DataFleets,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DataFleets</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Diablo.ai,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Diablo.ai</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Habu</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 SUBSIDIARIES</w:t>
            </w:r>
          </w:p>
        </w:tc>
      </w:tr>
      <w:tr>
        <w:trPr/>
        <w:tc>
          <w:tcPr>
            <w:tcW w:w="2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Subsidiary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Organized or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 of Equity Securities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Doing Business As</w:t>
            </w:r>
          </w:p>
        </w:tc>
      </w:tr>
      <w:tr>
        <w:trPr/>
        <w:tc>
          <w:tcPr>
            <w:tcW w:w="2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India Private Limited</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Australia Pty Limited</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France SAS</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UK Limited</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Greater China Information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Greater China Information Services Ltd.</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Japan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Japan K.K.</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Netherlands B.V.</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(NZ)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Zealand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(NZ) Limited</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PTE. Ltd.</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Italy s.r.l.</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Software as a Service Brazil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Software as a Service Brazil Ltda</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Spain, S.L.</w:t>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Germany GmbH</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w:t>
      </w:r>
    </w:p>
    <w:p>
      <w:pPr>
        <w:pStyle w:val="TextBody"/>
        <w:bidi w:val="0"/>
        <w:spacing w:before="240" w:after="480"/>
        <w:jc w:val="center"/>
        <w:rPr/>
      </w:pPr>
      <w:r>
        <w:rPr/>
      </w:r>
    </w:p>
    <w:p>
      <w:pPr>
        <w:pStyle w:val="TextBody"/>
        <w:bidi w:val="0"/>
        <w:spacing w:lineRule="auto" w:line="288" w:before="240" w:after="48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333-91395, 333-127743, 333-197463, 333-214926, 333-214927, 333-219839, 333-227540, 333-231823, 333-232963, 333-254302, 333-265186, 333-268274, 333-274086, 333-277604 and 333-281648) on Form S-8 of our report dated May 21, 2026, with respect to the consolidated financial statements of LiveRamp Holdings, Inc. and subsidiaries and the effectiveness of internal control over financial reporting.</w:t>
      </w:r>
    </w:p>
    <w:p>
      <w:pPr>
        <w:pStyle w:val="TextBody"/>
        <w:bidi w:val="0"/>
        <w:spacing w:before="0" w:after="0"/>
        <w:jc w:val="both"/>
        <w:rPr/>
      </w:pPr>
      <w:r>
        <w:rPr/>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Dallas, Texas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21,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left"/>
        <w:rPr/>
      </w:pPr>
      <w:r>
        <w:rPr/>
      </w:r>
    </w:p>
    <w:p>
      <w:pPr>
        <w:pStyle w:val="TextBody"/>
        <w:bidi w:val="0"/>
        <w:spacing w:lineRule="auto" w:line="36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KNOW ALL MEN BY THESE PRESENTS: That the undersigned, a director or officer, or both, of LiveRamp Holdings, Inc. ("the Company"), acting pursuant to authorization of the Company’s Board of Directors, hereby appoints Jerry C. Jones and Arthur G. Kellam, or any one of them, attorneys-in-fact and agents for me and in my name and on my behalf, individually and as a director or officer, or both, of the Company, to sign the Company’s Annual Report on Form 10-K for the year ended March 31, 2026, together with any amendments thereto, and to file the same, together with any exhibits and all other documents related thereto, with the Securities and Exchange Commission, granting to said attorneys-in-fact and agents full power and authority to do and perform each and any act necessary to be done in connection therewith, as fully to all intents and purposes as the undersigned might or could do in person, duly ratifying and confirming all that said attorneys-in-fact and agents may lawfully do or cause to be done by virtue of the power herein granted.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Executed as of the 13th day of May, 2026.</w:t>
      </w:r>
      <w:r>
        <w:rPr>
          <w:color w:val="000000"/>
        </w:rPr>
        <w:t xml:space="preserve">                         </w:t>
      </w:r>
    </w:p>
    <w:p>
      <w:pPr>
        <w:pStyle w:val="TextBody"/>
        <w:bidi w:val="0"/>
        <w:spacing w:before="0" w:after="0"/>
        <w:ind w:left="0" w:right="0" w:firstLine="4320"/>
        <w:jc w:val="left"/>
        <w:rPr/>
      </w:pPr>
      <w:r>
        <w:rPr/>
      </w:r>
    </w:p>
    <w:tbl>
      <w:tblPr>
        <w:tblW w:w="5952" w:type="dxa"/>
        <w:jc w:val="right"/>
        <w:tblInd w:w="0" w:type="dxa"/>
        <w:tblLayout w:type="fixed"/>
        <w:tblCellMar>
          <w:top w:w="28" w:type="dxa"/>
          <w:left w:w="28" w:type="dxa"/>
          <w:bottom w:w="28" w:type="dxa"/>
          <w:right w:w="28" w:type="dxa"/>
        </w:tblCellMar>
      </w:tblPr>
      <w:tblGrid>
        <w:gridCol w:w="124"/>
        <w:gridCol w:w="109"/>
        <w:gridCol w:w="109"/>
        <w:gridCol w:w="1641"/>
        <w:gridCol w:w="1641"/>
        <w:gridCol w:w="23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val="false"/>
                <w:color w:val="000000"/>
                <w:sz w:val="20"/>
              </w:rPr>
              <w:t>Signed:</w:t>
            </w:r>
            <w:r>
              <w:rPr>
                <w:color w:val="000000"/>
              </w:rPr>
              <w:t>    </w:t>
            </w:r>
            <w:r>
              <w:rPr>
                <w:color w:val="000000"/>
                <w:u w:val="single"/>
              </w:rPr>
              <w:t xml:space="preserve"> </w:t>
            </w:r>
            <w:r>
              <w:rPr>
                <w:rFonts w:ascii="Arial;sans-serif" w:hAnsi="Arial;sans-serif"/>
                <w:b w:val="false"/>
                <w:color w:val="000000"/>
                <w:sz w:val="20"/>
                <w:u w:val="single"/>
              </w:rPr>
              <w:t>/s/ Kristi Argyilan</w:t>
            </w:r>
          </w:p>
          <w:p>
            <w:pPr>
              <w:pStyle w:val="TableContents"/>
              <w:bidi w:val="0"/>
              <w:spacing w:lineRule="auto" w:line="240" w:before="0" w:after="0"/>
              <w:jc w:val="left"/>
              <w:rPr/>
            </w:pPr>
            <w:r>
              <w:rPr>
                <w:rFonts w:ascii="Arial;sans-serif" w:hAnsi="Arial;sans-serif"/>
                <w:b w:val="false"/>
                <w:color w:val="000000"/>
                <w:sz w:val="20"/>
              </w:rPr>
              <w:t>Name:</w:t>
            </w:r>
            <w:r>
              <w:rPr>
                <w:color w:val="000000"/>
              </w:rPr>
              <w:t>    </w:t>
            </w:r>
            <w:r>
              <w:rPr>
                <w:rFonts w:ascii="Arial;sans-serif" w:hAnsi="Arial;sans-serif"/>
                <w:b w:val="false"/>
                <w:color w:val="000000"/>
                <w:sz w:val="20"/>
              </w:rPr>
              <w:t>KRISTI ARGYILAN, Director</w:t>
            </w:r>
          </w:p>
          <w:p>
            <w:pPr>
              <w:pStyle w:val="TableContents"/>
              <w:bidi w:val="0"/>
              <w:spacing w:before="0" w:after="0"/>
              <w:jc w:val="left"/>
              <w:rPr/>
            </w:pPr>
            <w:r>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val="false"/>
                <w:color w:val="000000"/>
                <w:sz w:val="20"/>
              </w:rPr>
              <w:t>Signed:</w:t>
            </w:r>
            <w:r>
              <w:rPr>
                <w:color w:val="000000"/>
              </w:rPr>
              <w:t>    </w:t>
            </w:r>
            <w:r>
              <w:rPr>
                <w:color w:val="000000"/>
                <w:u w:val="single"/>
              </w:rPr>
              <w:t xml:space="preserve"> </w:t>
            </w:r>
            <w:r>
              <w:rPr>
                <w:rFonts w:ascii="Arial;sans-serif" w:hAnsi="Arial;sans-serif"/>
                <w:b w:val="false"/>
                <w:color w:val="000000"/>
                <w:sz w:val="20"/>
                <w:u w:val="single"/>
              </w:rPr>
              <w:t>/s/ John L. Battelle</w:t>
            </w:r>
          </w:p>
          <w:p>
            <w:pPr>
              <w:pStyle w:val="TableContents"/>
              <w:bidi w:val="0"/>
              <w:spacing w:lineRule="auto" w:line="240" w:before="0" w:after="0"/>
              <w:jc w:val="left"/>
              <w:rPr/>
            </w:pPr>
            <w:r>
              <w:rPr>
                <w:rFonts w:ascii="Arial;sans-serif" w:hAnsi="Arial;sans-serif"/>
                <w:b w:val="false"/>
                <w:color w:val="000000"/>
                <w:sz w:val="20"/>
              </w:rPr>
              <w:t>Name:</w:t>
            </w:r>
            <w:r>
              <w:rPr>
                <w:color w:val="000000"/>
              </w:rPr>
              <w:t>    </w:t>
            </w:r>
            <w:r>
              <w:rPr>
                <w:rFonts w:ascii="Arial;sans-serif" w:hAnsi="Arial;sans-serif"/>
                <w:b w:val="false"/>
                <w:color w:val="000000"/>
                <w:sz w:val="20"/>
              </w:rPr>
              <w:t>JOHN L. BATTELLE, Director</w:t>
            </w:r>
          </w:p>
          <w:p>
            <w:pPr>
              <w:pStyle w:val="TableContents"/>
              <w:bidi w:val="0"/>
              <w:spacing w:before="0" w:after="0"/>
              <w:jc w:val="left"/>
              <w:rPr/>
            </w:pPr>
            <w:r>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val="false"/>
                <w:color w:val="000000"/>
                <w:sz w:val="20"/>
              </w:rPr>
              <w:t>Signed:</w:t>
            </w:r>
            <w:r>
              <w:rPr>
                <w:color w:val="000000"/>
                <w:u w:val="single"/>
              </w:rPr>
              <w:t xml:space="preserve"> </w:t>
            </w:r>
            <w:r>
              <w:rPr>
                <w:rFonts w:ascii="Arial;sans-serif" w:hAnsi="Arial;sans-serif"/>
                <w:b w:val="false"/>
                <w:color w:val="000000"/>
                <w:sz w:val="20"/>
                <w:u w:val="single"/>
              </w:rPr>
              <w:t>/s/ Timothy R. Cadogan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TIMOTHY R. CADOGAN, Director</w:t>
            </w:r>
          </w:p>
          <w:p>
            <w:pPr>
              <w:pStyle w:val="TableContents"/>
              <w:bidi w:val="0"/>
              <w:spacing w:before="0" w:after="0"/>
              <w:jc w:val="left"/>
              <w:rPr/>
            </w:pPr>
            <w:r>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val="false"/>
                <w:color w:val="000000"/>
                <w:sz w:val="20"/>
              </w:rPr>
              <w:t>Signed:</w:t>
            </w:r>
            <w:r>
              <w:rPr>
                <w:color w:val="000000"/>
                <w:u w:val="single"/>
              </w:rPr>
              <w:t xml:space="preserve"> </w:t>
            </w:r>
            <w:r>
              <w:rPr>
                <w:rFonts w:ascii="Arial;sans-serif" w:hAnsi="Arial;sans-serif"/>
                <w:b w:val="false"/>
                <w:color w:val="000000"/>
                <w:sz w:val="20"/>
                <w:u w:val="single"/>
              </w:rPr>
              <w:t>/s/ Vivian Chow</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VIVIAN CHOW, Director</w:t>
            </w:r>
          </w:p>
          <w:p>
            <w:pPr>
              <w:pStyle w:val="TableContents"/>
              <w:bidi w:val="0"/>
              <w:spacing w:before="0" w:after="0"/>
              <w:jc w:val="left"/>
              <w:rPr/>
            </w:pPr>
            <w:r>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Signed: </w:t>
            </w:r>
            <w:r>
              <w:rPr>
                <w:rFonts w:ascii="Arial;sans-serif" w:hAnsi="Arial;sans-serif"/>
                <w:b w:val="false"/>
                <w:color w:val="000000"/>
                <w:sz w:val="20"/>
                <w:u w:val="single"/>
              </w:rPr>
              <w:t>/s/ Scott E. Howe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SCOTT E. HOWE, Director and Chief Executive Officer</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(principal executive officer)</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Signed: </w:t>
            </w:r>
            <w:r>
              <w:rPr>
                <w:rFonts w:ascii="Arial;sans-serif" w:hAnsi="Arial;sans-serif"/>
                <w:b w:val="false"/>
                <w:color w:val="000000"/>
                <w:sz w:val="20"/>
                <w:u w:val="single"/>
              </w:rPr>
              <w:t>/s/ Clark M. Kokich</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CLARK M. KOKICH, Director</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(Non-Executive Chairman of the Board)</w:t>
            </w:r>
          </w:p>
        </w:tc>
      </w:tr>
      <w:tr>
        <w:trPr/>
        <w:tc>
          <w:tcPr>
            <w:tcW w:w="34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Signed: </w:t>
            </w:r>
            <w:r>
              <w:rPr>
                <w:rFonts w:ascii="Arial;sans-serif" w:hAnsi="Arial;sans-serif"/>
                <w:b w:val="false"/>
                <w:color w:val="000000"/>
                <w:sz w:val="20"/>
                <w:u w:val="single"/>
              </w:rPr>
              <w:t>/s/ Debora B. Tomlin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DEBORA B. TOMLIN, Director</w:t>
            </w:r>
          </w:p>
          <w:p>
            <w:pPr>
              <w:pStyle w:val="TableContents"/>
              <w:bidi w:val="0"/>
              <w:spacing w:before="0" w:after="0"/>
              <w:jc w:val="left"/>
              <w:rPr/>
            </w:pPr>
            <w:r>
              <w:rPr/>
            </w:r>
          </w:p>
        </w:tc>
      </w:tr>
    </w:tbl>
    <w:p>
      <w:pPr>
        <w:pStyle w:val="TextBody"/>
        <w:bidi w:val="0"/>
        <w:spacing w:before="0" w:after="0"/>
        <w:ind w:left="0" w:right="0" w:firstLine="3600"/>
        <w:jc w:val="left"/>
        <w:rPr/>
      </w:pPr>
      <w:r>
        <w:rPr/>
      </w:r>
    </w:p>
    <w:tbl>
      <w:tblPr>
        <w:tblW w:w="2204" w:type="dxa"/>
        <w:jc w:val="left"/>
        <w:tblInd w:w="0" w:type="dxa"/>
        <w:tblLayout w:type="fixed"/>
        <w:tblCellMar>
          <w:top w:w="28" w:type="dxa"/>
          <w:left w:w="28" w:type="dxa"/>
          <w:bottom w:w="28" w:type="dxa"/>
          <w:right w:w="28" w:type="dxa"/>
        </w:tblCellMar>
      </w:tblPr>
      <w:tblGrid>
        <w:gridCol w:w="179"/>
        <w:gridCol w:w="156"/>
        <w:gridCol w:w="159"/>
        <w:gridCol w:w="501"/>
        <w:gridCol w:w="501"/>
        <w:gridCol w:w="708"/>
      </w:tblGrid>
      <w:tr>
        <w:trPr/>
        <w:tc>
          <w:tcPr>
            <w:tcW w:w="1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Jerry C. Jones</w:t>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Jerry C. Jones</w:t>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Attorney-in-Fact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ind w:left="0" w:right="0" w:firstLine="126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LIVERAMP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Scott E. Howe, certify that:</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LiveRamp Holdings, Inc.;</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firstLine="360"/>
        <w:jc w:val="left"/>
        <w:rPr/>
      </w:pPr>
      <w:r>
        <w:rPr/>
      </w:r>
    </w:p>
    <w:tbl>
      <w:tblPr>
        <w:tblW w:w="4512" w:type="dxa"/>
        <w:jc w:val="left"/>
        <w:tblInd w:w="0" w:type="dxa"/>
        <w:tblLayout w:type="fixed"/>
        <w:tblCellMar>
          <w:top w:w="28" w:type="dxa"/>
          <w:left w:w="28" w:type="dxa"/>
          <w:bottom w:w="28" w:type="dxa"/>
          <w:right w:w="28" w:type="dxa"/>
        </w:tblCellMar>
      </w:tblPr>
      <w:tblGrid>
        <w:gridCol w:w="700"/>
        <w:gridCol w:w="616"/>
        <w:gridCol w:w="618"/>
        <w:gridCol w:w="134"/>
        <w:gridCol w:w="134"/>
        <w:gridCol w:w="136"/>
        <w:gridCol w:w="634"/>
        <w:gridCol w:w="634"/>
        <w:gridCol w:w="906"/>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May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E. Howe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2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ind w:left="0" w:right="0" w:firstLine="1260"/>
        <w:jc w:val="center"/>
        <w:rPr/>
      </w:pPr>
      <w:r>
        <w:rPr>
          <w:color w:val="000000"/>
        </w:rPr>
        <w:t> </w:t>
      </w:r>
      <w:r>
        <w:rPr>
          <w:rFonts w:ascii="Arial;sans-serif" w:hAnsi="Arial;sans-serif"/>
          <w:b/>
          <w:color w:val="000000"/>
          <w:sz w:val="20"/>
        </w:rPr>
        <w:t>LIVERAMP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Lauren Dillard, certify that:</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LiveRamp Holdings, Inc.;</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jc w:val="left"/>
        <w:rPr>
          <w:color w:val="000000"/>
        </w:rPr>
      </w:pPr>
      <w:r>
        <w:rPr>
          <w:color w:val="000000"/>
        </w:rPr>
        <w:t> </w:t>
      </w:r>
    </w:p>
    <w:tbl>
      <w:tblPr>
        <w:tblW w:w="7062" w:type="dxa"/>
        <w:jc w:val="left"/>
        <w:tblInd w:w="0" w:type="dxa"/>
        <w:tblLayout w:type="fixed"/>
        <w:tblCellMar>
          <w:top w:w="28" w:type="dxa"/>
          <w:left w:w="28" w:type="dxa"/>
          <w:bottom w:w="28" w:type="dxa"/>
          <w:right w:w="28" w:type="dxa"/>
        </w:tblCellMar>
      </w:tblPr>
      <w:tblGrid>
        <w:gridCol w:w="700"/>
        <w:gridCol w:w="616"/>
        <w:gridCol w:w="618"/>
        <w:gridCol w:w="134"/>
        <w:gridCol w:w="134"/>
        <w:gridCol w:w="136"/>
        <w:gridCol w:w="1380"/>
        <w:gridCol w:w="1380"/>
        <w:gridCol w:w="196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May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Lauren Dillard</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accompanying Annual Report on Form 10-K of LiveRamp Holdings, Inc. (the “Company”) for the period ending March 31, 2026 as filed with the Securities and Exchange Commission on the date hereof (the “Report”), I, Scott E. Howe, Chief Executive Officer of the Company, certify, pursuant to 18 U.S.C. § 1350, as adopted pursuant to § 906 of the Sarbanes-Oxley Act of 2002, to my knowledge, that:</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1.</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4"/>
        <w:gridCol w:w="634"/>
        <w:gridCol w:w="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Scott E. Howe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E. Howe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accompanying Annual Report on Form 10-K of LiveRamp Holdings, Inc. (the “Company”) for the period ending March 31, 2026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1.</w:t>
      </w:r>
      <w:r>
        <w:rPr>
          <w:rFonts w:ascii="Arial;sans-serif" w:hAnsi="Arial;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24"/>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067" w:type="dxa"/>
        <w:jc w:val="left"/>
        <w:tblInd w:w="0" w:type="dxa"/>
        <w:tblLayout w:type="fixed"/>
        <w:tblCellMar>
          <w:top w:w="28" w:type="dxa"/>
          <w:left w:w="28" w:type="dxa"/>
          <w:bottom w:w="28" w:type="dxa"/>
          <w:right w:w="28" w:type="dxa"/>
        </w:tblCellMar>
      </w:tblPr>
      <w:tblGrid>
        <w:gridCol w:w="124"/>
        <w:gridCol w:w="109"/>
        <w:gridCol w:w="109"/>
        <w:gridCol w:w="1381"/>
        <w:gridCol w:w="1381"/>
        <w:gridCol w:w="1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Lauren Dillard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Lauren Dillard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21,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733269/000110465926062908/tm2614904d1_ex2-1.htm" TargetMode="External"/><Relationship Id="rId5" Type="http://schemas.openxmlformats.org/officeDocument/2006/relationships/hyperlink" Target="https://www.sec.gov/Archives/edgar/data/733269/000110465924090501/tm2421918d1_ex3-1.htm" TargetMode="External"/><Relationship Id="rId6" Type="http://schemas.openxmlformats.org/officeDocument/2006/relationships/hyperlink" Target="https://www.sec.gov/Archives/edgar/data/733269/000110465926062908/tm2614904d1_ex3-1.htm" TargetMode="External"/><Relationship Id="rId7" Type="http://schemas.openxmlformats.org/officeDocument/2006/relationships/hyperlink" Target="https://www.sec.gov/Archives/edgar/data/733269/000073326925000030/a2025q4ex41descriptionofsh.htm" TargetMode="External"/><Relationship Id="rId8" Type="http://schemas.openxmlformats.org/officeDocument/2006/relationships/hyperlink" Target="https://www.sec.gov/Archives/edgar/data/733269/000110465922089341/tm2223146d1_ex10-2.htm" TargetMode="External"/><Relationship Id="rId9" Type="http://schemas.openxmlformats.org/officeDocument/2006/relationships/hyperlink" Target="https://www.sec.gov/Archives/edgar/data/733269/000110465925079024/tm2523564d1_ex10-1.htm" TargetMode="External"/><Relationship Id="rId10" Type="http://schemas.openxmlformats.org/officeDocument/2006/relationships/hyperlink" Target="https://www.sec.gov/Archives/edgar/data/733269/000073326923000024/a2023q4ex103-liverampserp2.htm" TargetMode="External"/><Relationship Id="rId11" Type="http://schemas.openxmlformats.org/officeDocument/2006/relationships/hyperlink" Target="https://www.sec.gov/Archives/edgar/data/733269/000073326923000024/a2023q4ex104-liverampxamen.htm" TargetMode="External"/><Relationship Id="rId12" Type="http://schemas.openxmlformats.org/officeDocument/2006/relationships/hyperlink" Target="https://www.sec.gov/Archives/edgar/data/733269/000073326921000017/a2021q4exhibit1015.htm" TargetMode="External"/><Relationship Id="rId13" Type="http://schemas.openxmlformats.org/officeDocument/2006/relationships/hyperlink" Target="https://www.sec.gov/Archives/edgar/data/733269/000073326915000018/ex10-6cashinc.htm" TargetMode="External"/><Relationship Id="rId14" Type="http://schemas.openxmlformats.org/officeDocument/2006/relationships/hyperlink" Target="https://www.sec.gov/Archives/edgar/data/733269/000073326924000007/a2024q3ex101amendedandrest.htm" TargetMode="External"/><Relationship Id="rId15" Type="http://schemas.openxmlformats.org/officeDocument/2006/relationships/hyperlink" Target="https://www.sec.gov/Archives/edgar/data/733269/000119312518290000/d612507dex998.htm" TargetMode="External"/><Relationship Id="rId16" Type="http://schemas.openxmlformats.org/officeDocument/2006/relationships/hyperlink" Target="https://www.sec.gov/Archives/edgar/data/733269/000110465924030028/tm247550d1_ex4-3.htm" TargetMode="External"/><Relationship Id="rId17" Type="http://schemas.openxmlformats.org/officeDocument/2006/relationships/hyperlink" Target="https://www.sec.gov/Archives/edgar/data/733269/000073326917000039/ex10-16.htm" TargetMode="External"/><Relationship Id="rId18" Type="http://schemas.openxmlformats.org/officeDocument/2006/relationships/hyperlink" Target="https://www.sec.gov/Archives/edgar/data/733269/000073326917000039/ex10-18.htm" TargetMode="External"/><Relationship Id="rId19" Type="http://schemas.openxmlformats.org/officeDocument/2006/relationships/hyperlink" Target="https://www.sec.gov/Archives/edgar/data/733269/000073326922000026/a2022q4ex1031formofrestric.htm" TargetMode="External"/><Relationship Id="rId20" Type="http://schemas.openxmlformats.org/officeDocument/2006/relationships/hyperlink" Target="https://www.sec.gov/Archives/edgar/data/733269/000073326922000026/a2022q4ex1033formofrestric.htm" TargetMode="External"/><Relationship Id="rId21" Type="http://schemas.openxmlformats.org/officeDocument/2006/relationships/hyperlink" Target="https://www.sec.gov/Archives/edgar/data/733269/000073326923000024/a2023q4ex1022formofperform.htm" TargetMode="External"/><Relationship Id="rId22" Type="http://schemas.openxmlformats.org/officeDocument/2006/relationships/hyperlink" Target="https://www.sec.gov/Archives/edgar/data/733269/000073326923000024/a2023q4ex1023formofperform.htm" TargetMode="External"/><Relationship Id="rId23" Type="http://schemas.openxmlformats.org/officeDocument/2006/relationships/hyperlink" Target="https://www.sec.gov/Archives/edgar/data/733269/000073326918000016/a2018q4exh1022howeemplagre.htm" TargetMode="External"/><Relationship Id="rId24" Type="http://schemas.openxmlformats.org/officeDocument/2006/relationships/hyperlink" Target="https://www.sec.gov/Archives/edgar/data/733269/000073326918000016/a2018q4exh1025directorinde.htm" TargetMode="External"/><Relationship Id="rId25" Type="http://schemas.openxmlformats.org/officeDocument/2006/relationships/hyperlink" Target="https://www.sec.gov/Archives/edgar/data/733269/000073326919000022/q42019ex1025indemnity.htm" TargetMode="External"/><Relationship Id="rId26" Type="http://schemas.openxmlformats.org/officeDocument/2006/relationships/hyperlink" Target="https://www.sec.gov/Archives/edgar/data/733269/000073326926000012/mhseparationagreement12152.htm" TargetMode="External"/><Relationship Id="rId27" Type="http://schemas.openxmlformats.org/officeDocument/2006/relationships/hyperlink" Target="https://www.sec.gov/Archives/edgar/data/733269/000073326924000018/a2024q4ex19liverampstocktr.htm" TargetMode="External"/><Relationship Id="rId28" Type="http://schemas.openxmlformats.org/officeDocument/2006/relationships/hyperlink" Target="https://www.sec.gov/Archives/edgar/data/733269/000073326924000018/a2024q4ex97clawbackpolicy.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56017</Words>
  <Characters>315692</Characters>
  <CharactersWithSpaces>369449</CharactersWithSpaces>
  <Paragraphs>4248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