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Arial;sans-serif" w:hAnsi="Arial;sans-serif"/>
          <w:b w:val="false"/>
          <w:color w:val="000000"/>
          <w:sz w:val="18"/>
        </w:rPr>
      </w:pPr>
      <w:r>
        <w:rPr>
          <w:rFonts w:ascii="Arial;sans-serif" w:hAnsi="Arial;sans-serif"/>
          <w:b w:val="false"/>
          <w:color w:val="000000"/>
          <w:sz w:val="18"/>
        </w:rPr>
        <w:t>(Mark One) </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6"/>
        <w:gridCol w:w="2746"/>
        <w:gridCol w:w="3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 xml:space="preserve">For the quarterly period ended September 30, 2025 </w:t>
      </w:r>
    </w:p>
    <w:p>
      <w:pPr>
        <w:pStyle w:val="TextBody"/>
        <w:bidi w:val="0"/>
        <w:spacing w:lineRule="auto" w:line="288" w:before="0" w:after="0"/>
        <w:ind w:left="0" w:right="0" w:firstLine="540"/>
        <w:jc w:val="center"/>
        <w:rPr>
          <w:color w:val="000000"/>
        </w:rPr>
      </w:pPr>
      <w:r>
        <w:rPr>
          <w:color w:val="000000"/>
        </w:rPr>
        <w:t> </w:t>
      </w:r>
      <w:r>
        <w:rPr>
          <w:rFonts w:ascii="Arial;sans-serif" w:hAnsi="Arial;sans-serif"/>
          <w:b w:val="false"/>
          <w:color w:val="000000"/>
          <w:sz w:val="18"/>
        </w:rPr>
        <w:t>OR </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For the transition period from ----- to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001-38669</w:t>
      </w:r>
    </w:p>
    <w:tbl>
      <w:tblPr>
        <w:tblW w:w="10028" w:type="dxa"/>
        <w:jc w:val="center"/>
        <w:tblInd w:w="0" w:type="dxa"/>
        <w:tblLayout w:type="fixed"/>
        <w:tblCellMar>
          <w:top w:w="28" w:type="dxa"/>
          <w:left w:w="28" w:type="dxa"/>
          <w:bottom w:w="28" w:type="dxa"/>
          <w:right w:w="28" w:type="dxa"/>
        </w:tblCellMar>
      </w:tblPr>
      <w:tblGrid>
        <w:gridCol w:w="1795"/>
        <w:gridCol w:w="1585"/>
        <w:gridCol w:w="1585"/>
        <w:gridCol w:w="468"/>
        <w:gridCol w:w="468"/>
        <w:gridCol w:w="468"/>
        <w:gridCol w:w="1063"/>
        <w:gridCol w:w="1063"/>
        <w:gridCol w:w="1533"/>
      </w:tblGrid>
      <w:tr>
        <w:trPr/>
        <w:tc>
          <w:tcPr>
            <w:tcW w:w="179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8"/>
              </w:rPr>
            </w:pPr>
            <w:r>
              <w:rPr>
                <w:rFonts w:ascii="Arial;sans-serif" w:hAnsi="Arial;sans-serif"/>
                <w:b/>
                <w:color w:val="000000"/>
                <w:sz w:val="28"/>
              </w:rPr>
              <w:t>LiveRamp Holdings, Inc.</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00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83-1269307</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225 Bush Street, Seventeenth Floor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San Francisco,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94104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(888) 987-6764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$.10 Par Value</w:t>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RAMP</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5063"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1"/>
        <w:gridCol w:w="809"/>
        <w:gridCol w:w="809"/>
        <w:gridCol w:w="849"/>
        <w:gridCol w:w="809"/>
        <w:gridCol w:w="809"/>
        <w:gridCol w:w="809"/>
        <w:gridCol w:w="809"/>
        <w:gridCol w:w="809"/>
        <w:gridCol w:w="809"/>
        <w:gridCol w:w="809"/>
        <w:gridCol w:w="1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5"/>
        <w:gridCol w:w="1455"/>
        <w:gridCol w:w="1455"/>
        <w:gridCol w:w="1662"/>
        <w:gridCol w:w="1455"/>
        <w:gridCol w:w="2073"/>
      </w:tblGrid>
      <w:tr>
        <w:trPr/>
        <w:tc>
          <w:tcPr>
            <w:tcW w:w="210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 [X]</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   [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 [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 ☐</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Emerging growth company ☐</w:t>
            </w:r>
          </w:p>
        </w:tc>
      </w:tr>
    </w:tbl>
    <w:tbl>
      <w:tblPr>
        <w:tblW w:w="10205" w:type="dxa"/>
        <w:jc w:val="left"/>
        <w:tblInd w:w="0" w:type="dxa"/>
        <w:tblLayout w:type="fixed"/>
        <w:tblCellMar>
          <w:top w:w="28" w:type="dxa"/>
          <w:left w:w="28" w:type="dxa"/>
          <w:bottom w:w="28" w:type="dxa"/>
          <w:right w:w="28" w:type="dxa"/>
        </w:tblCellMar>
      </w:tblPr>
      <w:tblGrid>
        <w:gridCol w:w="901"/>
        <w:gridCol w:w="792"/>
        <w:gridCol w:w="792"/>
        <w:gridCol w:w="937"/>
        <w:gridCol w:w="792"/>
        <w:gridCol w:w="792"/>
        <w:gridCol w:w="907"/>
        <w:gridCol w:w="792"/>
        <w:gridCol w:w="792"/>
        <w:gridCol w:w="792"/>
        <w:gridCol w:w="792"/>
        <w:gridCol w:w="112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Yes  [ ]</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w:t>
            </w:r>
          </w:p>
        </w:tc>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number of shares of common stock, $ 0.10 par value per share, outstanding as of October 31, 2025 was 63,648,844.</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LIVERAMP HOLDINGS,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TABLE OF CONTENTS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REPORT ON 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September 30, 2025 </w:t>
      </w:r>
    </w:p>
    <w:p>
      <w:pPr>
        <w:pStyle w:val="TextBody"/>
        <w:bidi w:val="0"/>
        <w:spacing w:lineRule="auto" w:line="288" w:before="0" w:after="0"/>
        <w:ind w:left="0" w:right="0" w:firstLine="12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
        <w:gridCol w:w="243"/>
        <w:gridCol w:w="246"/>
        <w:gridCol w:w="2869"/>
        <w:gridCol w:w="2869"/>
        <w:gridCol w:w="2875"/>
        <w:gridCol w:w="240"/>
        <w:gridCol w:w="240"/>
        <w:gridCol w:w="345"/>
      </w:tblGrid>
      <w:tr>
        <w:trPr/>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No.</w:t>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
              <w:r>
                <w:rPr>
                  <w:rStyle w:val="InternetLink"/>
                  <w:rFonts w:ascii="Arial;sans-serif" w:hAnsi="Arial;sans-serif"/>
                  <w:b w:val="false"/>
                  <w:color w:val="0000FF"/>
                  <w:sz w:val="20"/>
                  <w:u w:val="single"/>
                </w:rPr>
                <w:t>Forward-looking Statements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9">
              <w:r>
                <w:rPr>
                  <w:rStyle w:val="InternetLink"/>
                  <w:rFonts w:ascii="Arial;sans-serif" w:hAnsi="Arial;sans-serif"/>
                  <w:b w:val="false"/>
                  <w:color w:val="0000FF"/>
                  <w:sz w:val="20"/>
                  <w:u w:val="single"/>
                </w:rPr>
                <w:t>3</w:t>
              </w:r>
            </w:hyperlink>
          </w:p>
        </w:tc>
      </w:tr>
      <w:tr>
        <w:trPr/>
        <w:tc>
          <w:tcPr>
            <w:tcW w:w="93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2">
              <w:r>
                <w:rPr>
                  <w:rStyle w:val="InternetLink"/>
                  <w:rFonts w:ascii="Arial;sans-serif" w:hAnsi="Arial;sans-serif"/>
                  <w:b w:val="false"/>
                  <w:color w:val="0000FF"/>
                  <w:sz w:val="20"/>
                  <w:u w:val="single"/>
                </w:rPr>
                <w:t>Part I.  Financial Information </w:t>
              </w:r>
            </w:hyperlink>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Item 1. </w:t>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Financial Statements</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5">
              <w:r>
                <w:rPr>
                  <w:rStyle w:val="InternetLink"/>
                  <w:rFonts w:ascii="Arial;sans-serif" w:hAnsi="Arial;sans-serif"/>
                  <w:b w:val="false"/>
                  <w:color w:val="0000FF"/>
                  <w:sz w:val="20"/>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8">
              <w:r>
                <w:rPr>
                  <w:rStyle w:val="InternetLink"/>
                  <w:rFonts w:ascii="Arial;sans-serif" w:hAnsi="Arial;sans-serif"/>
                  <w:b w:val="false"/>
                  <w:color w:val="0000FF"/>
                  <w:sz w:val="20"/>
                  <w:u w:val="single"/>
                </w:rPr>
                <w:t>Condensed Consolidated Balance Sheets as of September 30, 2025 (Unaudited) and March 31, 2025</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8">
              <w:r>
                <w:rPr>
                  <w:rStyle w:val="InternetLink"/>
                  <w:rFonts w:ascii="Arial;sans-serif" w:hAnsi="Arial;sans-serif"/>
                  <w:b w:val="false"/>
                  <w:color w:val="0000FF"/>
                  <w:sz w:val="20"/>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34">
              <w:r>
                <w:rPr>
                  <w:rStyle w:val="InternetLink"/>
                  <w:rFonts w:ascii="Arial;sans-serif" w:hAnsi="Arial;sans-serif"/>
                  <w:b w:val="false"/>
                  <w:color w:val="0000FF"/>
                  <w:sz w:val="20"/>
                  <w:u w:val="single"/>
                </w:rPr>
                <w:t>Condensed Consolidated Statements of Operations for the three and six months ended September 30, 2025 and 2024 (Unaudited)</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34">
              <w:r>
                <w:rPr>
                  <w:rStyle w:val="InternetLink"/>
                  <w:rFonts w:ascii="Arial;sans-serif" w:hAnsi="Arial;sans-serif"/>
                  <w:b w:val="false"/>
                  <w:color w:val="0000FF"/>
                  <w:sz w:val="20"/>
                  <w:u w:val="single"/>
                </w:rPr>
                <w:t>7</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37">
              <w:r>
                <w:rPr>
                  <w:rStyle w:val="InternetLink"/>
                  <w:rFonts w:ascii="Arial;sans-serif" w:hAnsi="Arial;sans-serif"/>
                  <w:b w:val="false"/>
                  <w:color w:val="0000FF"/>
                  <w:sz w:val="20"/>
                  <w:u w:val="single"/>
                </w:rPr>
                <w:t>Condensed Consolidated Statements of Comprehensive Income (Loss) for the three and six months ended September 30, 2025 and 2024 (Unaudited)</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37">
              <w:r>
                <w:rPr>
                  <w:rStyle w:val="InternetLink"/>
                  <w:rFonts w:ascii="Arial;sans-serif" w:hAnsi="Arial;sans-serif"/>
                  <w:b w:val="false"/>
                  <w:color w:val="0000FF"/>
                  <w:sz w:val="20"/>
                  <w:u w:val="single"/>
                </w:rPr>
                <w:t>8</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40">
              <w:r>
                <w:rPr>
                  <w:rStyle w:val="InternetLink"/>
                  <w:rFonts w:ascii="Arial;sans-serif" w:hAnsi="Arial;sans-serif"/>
                  <w:b w:val="false"/>
                  <w:color w:val="0000FF"/>
                  <w:sz w:val="20"/>
                  <w:u w:val="single"/>
                </w:rPr>
                <w:t>Condensed Consolidated Statements of Equity for the three and six months ended September 30, 2025 (Unaudited)</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40">
              <w:r>
                <w:rPr>
                  <w:rStyle w:val="InternetLink"/>
                  <w:rFonts w:ascii="Arial;sans-serif" w:hAnsi="Arial;sans-serif"/>
                  <w:b w:val="false"/>
                  <w:color w:val="0000FF"/>
                  <w:sz w:val="20"/>
                  <w:u w:val="single"/>
                </w:rPr>
                <w:t>9</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43">
              <w:r>
                <w:rPr>
                  <w:rStyle w:val="InternetLink"/>
                  <w:rFonts w:ascii="Arial;sans-serif" w:hAnsi="Arial;sans-serif"/>
                  <w:b w:val="false"/>
                  <w:color w:val="0000FF"/>
                  <w:sz w:val="20"/>
                  <w:u w:val="single"/>
                </w:rPr>
                <w:t>Condensed Consolidated Statements of Equity for the three and six months ended September 30, 2024 (Unaudited)</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43">
              <w:r>
                <w:rPr>
                  <w:rStyle w:val="InternetLink"/>
                  <w:rFonts w:ascii="Arial;sans-serif" w:hAnsi="Arial;sans-serif"/>
                  <w:b w:val="false"/>
                  <w:color w:val="0000FF"/>
                  <w:sz w:val="20"/>
                  <w:u w:val="single"/>
                </w:rPr>
                <w:t>10</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49">
              <w:r>
                <w:rPr>
                  <w:rStyle w:val="InternetLink"/>
                  <w:rFonts w:ascii="Arial;sans-serif" w:hAnsi="Arial;sans-serif"/>
                  <w:b w:val="false"/>
                  <w:color w:val="000080"/>
                  <w:sz w:val="20"/>
                  <w:u w:val="single"/>
                </w:rPr>
                <w:t xml:space="preserve">Condensed Consolidated Statements of Cash Flows for the </w:t>
              </w:r>
            </w:hyperlink>
            <w:hyperlink w:anchor="i7951cd7b111b44248c7c28c6f4a26a77_49">
              <w:r>
                <w:rPr>
                  <w:rStyle w:val="InternetLink"/>
                  <w:rFonts w:ascii="Arial;sans-serif" w:hAnsi="Arial;sans-serif"/>
                  <w:b w:val="false"/>
                  <w:color w:val="000080"/>
                  <w:sz w:val="20"/>
                  <w:u w:val="single"/>
                </w:rPr>
                <w:t>six months ended September 30, 2025 and 2024 (Unaudited)</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49">
              <w:r>
                <w:rPr>
                  <w:rStyle w:val="InternetLink"/>
                  <w:rFonts w:ascii="Arial;sans-serif" w:hAnsi="Arial;sans-serif"/>
                  <w:b w:val="false"/>
                  <w:color w:val="0000FF"/>
                  <w:sz w:val="20"/>
                  <w:u w:val="single"/>
                </w:rPr>
                <w:t>11</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52">
              <w:r>
                <w:rPr>
                  <w:rStyle w:val="InternetLink"/>
                  <w:rFonts w:ascii="Arial;sans-serif" w:hAnsi="Arial;sans-serif"/>
                  <w:b w:val="false"/>
                  <w:color w:val="0000FF"/>
                  <w:sz w:val="20"/>
                  <w:u w:val="single"/>
                </w:rPr>
                <w:t>Notes to Condensed Consolidated Financial Statements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52">
              <w:r>
                <w:rPr>
                  <w:rStyle w:val="InternetLink"/>
                  <w:rFonts w:ascii="Arial;sans-serif" w:hAnsi="Arial;sans-serif"/>
                  <w:b w:val="false"/>
                  <w:color w:val="0000FF"/>
                  <w:sz w:val="20"/>
                  <w:u w:val="single"/>
                </w:rPr>
                <w:t>13</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355">
              <w:r>
                <w:rPr>
                  <w:rStyle w:val="InternetLink"/>
                  <w:rFonts w:ascii="Arial;sans-serif" w:hAnsi="Arial;sans-serif"/>
                  <w:b w:val="false"/>
                  <w:color w:val="0000FF"/>
                  <w:sz w:val="20"/>
                  <w:u w:val="single"/>
                </w:rPr>
                <w:t>Item 2.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355">
              <w:r>
                <w:rPr>
                  <w:rStyle w:val="InternetLink"/>
                  <w:rFonts w:ascii="Arial;sans-serif" w:hAnsi="Arial;sans-serif"/>
                  <w:b w:val="false"/>
                  <w:color w:val="0000FF"/>
                  <w:sz w:val="20"/>
                  <w:u w:val="single"/>
                </w:rPr>
                <w:t>Management’s Discussion and Analysis of Financial Condition and Results of Operations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45">
              <w:r>
                <w:rPr>
                  <w:rStyle w:val="InternetLink"/>
                  <w:rFonts w:ascii="Arial;sans-serif" w:hAnsi="Arial;sans-serif"/>
                  <w:b w:val="false"/>
                  <w:color w:val="0000FF"/>
                  <w:sz w:val="20"/>
                  <w:u w:val="single"/>
                </w:rPr>
                <w:t>33</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87">
              <w:r>
                <w:rPr>
                  <w:rStyle w:val="InternetLink"/>
                  <w:rFonts w:ascii="Arial;sans-serif" w:hAnsi="Arial;sans-serif"/>
                  <w:b w:val="false"/>
                  <w:color w:val="0000FF"/>
                  <w:sz w:val="20"/>
                  <w:u w:val="single"/>
                </w:rPr>
                <w:t>Item 3.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87">
              <w:r>
                <w:rPr>
                  <w:rStyle w:val="InternetLink"/>
                  <w:rFonts w:ascii="Arial;sans-serif" w:hAnsi="Arial;sans-serif"/>
                  <w:b w:val="false"/>
                  <w:color w:val="0000FF"/>
                  <w:sz w:val="20"/>
                  <w:u w:val="single"/>
                </w:rPr>
                <w:t>Quantitative and Qualitative Disclosures About Market Risk</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87">
              <w:r>
                <w:rPr>
                  <w:rStyle w:val="InternetLink"/>
                  <w:rFonts w:ascii="Arial;sans-serif" w:hAnsi="Arial;sans-serif"/>
                  <w:b w:val="false"/>
                  <w:color w:val="0000FF"/>
                  <w:sz w:val="20"/>
                  <w:u w:val="single"/>
                </w:rPr>
                <w:t>48</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0">
              <w:r>
                <w:rPr>
                  <w:rStyle w:val="InternetLink"/>
                  <w:rFonts w:ascii="Arial;sans-serif" w:hAnsi="Arial;sans-serif"/>
                  <w:b w:val="false"/>
                  <w:color w:val="0000FF"/>
                  <w:sz w:val="20"/>
                  <w:u w:val="single"/>
                </w:rPr>
                <w:t>Item 4.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0">
              <w:r>
                <w:rPr>
                  <w:rStyle w:val="InternetLink"/>
                  <w:rFonts w:ascii="Arial;sans-serif" w:hAnsi="Arial;sans-serif"/>
                  <w:b w:val="false"/>
                  <w:color w:val="0000FF"/>
                  <w:sz w:val="20"/>
                  <w:u w:val="single"/>
                </w:rPr>
                <w:t>Controls and Procedures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90">
              <w:r>
                <w:rPr>
                  <w:rStyle w:val="InternetLink"/>
                  <w:rFonts w:ascii="Arial;sans-serif" w:hAnsi="Arial;sans-serif"/>
                  <w:b w:val="false"/>
                  <w:color w:val="0000FF"/>
                  <w:sz w:val="20"/>
                  <w:u w:val="single"/>
                </w:rPr>
                <w:t>48</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3">
              <w:r>
                <w:rPr>
                  <w:rStyle w:val="InternetLink"/>
                  <w:rFonts w:ascii="Arial;sans-serif" w:hAnsi="Arial;sans-serif"/>
                  <w:b w:val="false"/>
                  <w:color w:val="0000FF"/>
                  <w:sz w:val="20"/>
                  <w:u w:val="single"/>
                </w:rPr>
                <w:t>Part II.  Other Information </w:t>
              </w:r>
            </w:hyperlink>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6">
              <w:r>
                <w:rPr>
                  <w:rStyle w:val="InternetLink"/>
                  <w:rFonts w:ascii="Arial;sans-serif" w:hAnsi="Arial;sans-serif"/>
                  <w:b w:val="false"/>
                  <w:color w:val="0000FF"/>
                  <w:sz w:val="20"/>
                  <w:u w:val="single"/>
                </w:rPr>
                <w:t>Item 1.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6">
              <w:r>
                <w:rPr>
                  <w:rStyle w:val="InternetLink"/>
                  <w:rFonts w:ascii="Arial;sans-serif" w:hAnsi="Arial;sans-serif"/>
                  <w:b w:val="false"/>
                  <w:color w:val="0000FF"/>
                  <w:sz w:val="20"/>
                  <w:u w:val="single"/>
                </w:rPr>
                <w:t>Legal Proceedings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96">
              <w:r>
                <w:rPr>
                  <w:rStyle w:val="InternetLink"/>
                  <w:rFonts w:ascii="Arial;sans-serif" w:hAnsi="Arial;sans-serif"/>
                  <w:b w:val="false"/>
                  <w:color w:val="0000FF"/>
                  <w:sz w:val="20"/>
                  <w:u w:val="single"/>
                </w:rPr>
                <w:t>49</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9">
              <w:r>
                <w:rPr>
                  <w:rStyle w:val="InternetLink"/>
                  <w:rFonts w:ascii="Arial;sans-serif" w:hAnsi="Arial;sans-serif"/>
                  <w:b w:val="false"/>
                  <w:color w:val="0000FF"/>
                  <w:sz w:val="20"/>
                  <w:u w:val="single"/>
                </w:rPr>
                <w:t>Item 1A.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199">
              <w:r>
                <w:rPr>
                  <w:rStyle w:val="InternetLink"/>
                  <w:rFonts w:ascii="Arial;sans-serif" w:hAnsi="Arial;sans-serif"/>
                  <w:b w:val="false"/>
                  <w:color w:val="0000FF"/>
                  <w:sz w:val="20"/>
                  <w:u w:val="single"/>
                </w:rPr>
                <w:t>Risk Factors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199">
              <w:r>
                <w:rPr>
                  <w:rStyle w:val="InternetLink"/>
                  <w:rFonts w:ascii="Arial;sans-serif" w:hAnsi="Arial;sans-serif"/>
                  <w:b w:val="false"/>
                  <w:color w:val="0000FF"/>
                  <w:sz w:val="20"/>
                  <w:u w:val="single"/>
                </w:rPr>
                <w:t>49</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2">
              <w:r>
                <w:rPr>
                  <w:rStyle w:val="InternetLink"/>
                  <w:rFonts w:ascii="Arial;sans-serif" w:hAnsi="Arial;sans-serif"/>
                  <w:b w:val="false"/>
                  <w:color w:val="0000FF"/>
                  <w:sz w:val="20"/>
                  <w:u w:val="single"/>
                </w:rPr>
                <w:t>Item 2.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2">
              <w:r>
                <w:rPr>
                  <w:rStyle w:val="InternetLink"/>
                  <w:rFonts w:ascii="Arial;sans-serif" w:hAnsi="Arial;sans-serif"/>
                  <w:b w:val="false"/>
                  <w:color w:val="0000FF"/>
                  <w:sz w:val="20"/>
                  <w:u w:val="single"/>
                </w:rPr>
                <w:t>Unregistered Sales of Equity Securities and Use of Proceeds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02">
              <w:r>
                <w:rPr>
                  <w:rStyle w:val="InternetLink"/>
                  <w:rFonts w:ascii="Arial;sans-serif" w:hAnsi="Arial;sans-serif"/>
                  <w:b w:val="false"/>
                  <w:color w:val="0000FF"/>
                  <w:sz w:val="20"/>
                  <w:u w:val="single"/>
                </w:rPr>
                <w:t>49</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5">
              <w:r>
                <w:rPr>
                  <w:rStyle w:val="InternetLink"/>
                  <w:rFonts w:ascii="Arial;sans-serif" w:hAnsi="Arial;sans-serif"/>
                  <w:b w:val="false"/>
                  <w:color w:val="0000FF"/>
                  <w:sz w:val="20"/>
                  <w:u w:val="single"/>
                </w:rPr>
                <w:t>Item 3.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5">
              <w:r>
                <w:rPr>
                  <w:rStyle w:val="InternetLink"/>
                  <w:rFonts w:ascii="Arial;sans-serif" w:hAnsi="Arial;sans-serif"/>
                  <w:b w:val="false"/>
                  <w:color w:val="0000FF"/>
                  <w:sz w:val="20"/>
                  <w:u w:val="single"/>
                </w:rPr>
                <w:t>Defaults Upon Senior Securities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05">
              <w:r>
                <w:rPr>
                  <w:rStyle w:val="InternetLink"/>
                  <w:rFonts w:ascii="Arial;sans-serif" w:hAnsi="Arial;sans-serif"/>
                  <w:b w:val="false"/>
                  <w:color w:val="0000FF"/>
                  <w:sz w:val="20"/>
                  <w:u w:val="single"/>
                </w:rPr>
                <w:t>50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8">
              <w:r>
                <w:rPr>
                  <w:rStyle w:val="InternetLink"/>
                  <w:rFonts w:ascii="Arial;sans-serif" w:hAnsi="Arial;sans-serif"/>
                  <w:b w:val="false"/>
                  <w:color w:val="0000FF"/>
                  <w:sz w:val="20"/>
                  <w:u w:val="single"/>
                </w:rPr>
                <w:t>Item 4.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08">
              <w:r>
                <w:rPr>
                  <w:rStyle w:val="InternetLink"/>
                  <w:rFonts w:ascii="Arial;sans-serif" w:hAnsi="Arial;sans-serif"/>
                  <w:b w:val="false"/>
                  <w:color w:val="0000FF"/>
                  <w:sz w:val="20"/>
                  <w:u w:val="single"/>
                </w:rPr>
                <w:t>Mine Safety Disclosures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08">
              <w:r>
                <w:rPr>
                  <w:rStyle w:val="InternetLink"/>
                  <w:rFonts w:ascii="Arial;sans-serif" w:hAnsi="Arial;sans-serif"/>
                  <w:b w:val="false"/>
                  <w:color w:val="0000FF"/>
                  <w:sz w:val="20"/>
                  <w:u w:val="single"/>
                </w:rPr>
                <w:t>50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11">
              <w:r>
                <w:rPr>
                  <w:rStyle w:val="InternetLink"/>
                  <w:rFonts w:ascii="Arial;sans-serif" w:hAnsi="Arial;sans-serif"/>
                  <w:b w:val="false"/>
                  <w:color w:val="0000FF"/>
                  <w:sz w:val="20"/>
                  <w:u w:val="single"/>
                </w:rPr>
                <w:t>Item 5.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11">
              <w:r>
                <w:rPr>
                  <w:rStyle w:val="InternetLink"/>
                  <w:rFonts w:ascii="Arial;sans-serif" w:hAnsi="Arial;sans-serif"/>
                  <w:b w:val="false"/>
                  <w:color w:val="0000FF"/>
                  <w:sz w:val="20"/>
                  <w:u w:val="single"/>
                </w:rPr>
                <w:t>Other Information</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11">
              <w:r>
                <w:rPr>
                  <w:rStyle w:val="InternetLink"/>
                  <w:rFonts w:ascii="Arial;sans-serif" w:hAnsi="Arial;sans-serif"/>
                  <w:b w:val="false"/>
                  <w:color w:val="0000FF"/>
                  <w:sz w:val="20"/>
                  <w:u w:val="single"/>
                </w:rPr>
                <w:t>50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14">
              <w:r>
                <w:rPr>
                  <w:rStyle w:val="InternetLink"/>
                  <w:rFonts w:ascii="Arial;sans-serif" w:hAnsi="Arial;sans-serif"/>
                  <w:b w:val="false"/>
                  <w:color w:val="0000FF"/>
                  <w:sz w:val="20"/>
                  <w:u w:val="single"/>
                </w:rPr>
                <w:t>Item 6. </w:t>
              </w:r>
            </w:hyperlink>
          </w:p>
        </w:tc>
        <w:tc>
          <w:tcPr>
            <w:tcW w:w="8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14">
              <w:r>
                <w:rPr>
                  <w:rStyle w:val="InternetLink"/>
                  <w:rFonts w:ascii="Arial;sans-serif" w:hAnsi="Arial;sans-serif"/>
                  <w:b w:val="false"/>
                  <w:color w:val="0000FF"/>
                  <w:sz w:val="20"/>
                  <w:u w:val="single"/>
                </w:rPr>
                <w:t>Exhibits</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14">
              <w:r>
                <w:rPr>
                  <w:rStyle w:val="InternetLink"/>
                  <w:rFonts w:ascii="Arial;sans-serif" w:hAnsi="Arial;sans-serif"/>
                  <w:b w:val="false"/>
                  <w:color w:val="0000FF"/>
                  <w:sz w:val="20"/>
                  <w:u w:val="single"/>
                </w:rPr>
                <w:t>51</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951cd7b111b44248c7c28c6f4a26a77_217">
              <w:r>
                <w:rPr>
                  <w:rStyle w:val="InternetLink"/>
                  <w:rFonts w:ascii="Arial;sans-serif" w:hAnsi="Arial;sans-serif"/>
                  <w:b w:val="false"/>
                  <w:color w:val="0000FF"/>
                  <w:sz w:val="20"/>
                  <w:u w:val="single"/>
                </w:rPr>
                <w:t>Signature </w:t>
              </w:r>
            </w:hyperlink>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51cd7b111b44248c7c28c6f4a26a77_217">
              <w:r>
                <w:rPr>
                  <w:rStyle w:val="InternetLink"/>
                  <w:rFonts w:ascii="Arial;sans-serif" w:hAnsi="Arial;sans-serif"/>
                  <w:b w:val="false"/>
                  <w:color w:val="0000FF"/>
                  <w:sz w:val="20"/>
                  <w:u w:val="single"/>
                </w:rPr>
                <w:t>52</w:t>
              </w:r>
            </w:hyperlink>
          </w:p>
        </w:tc>
      </w:tr>
    </w:tbl>
    <w:p>
      <w:pPr>
        <w:pStyle w:val="TextBody"/>
        <w:bidi w:val="0"/>
        <w:spacing w:before="0" w:after="60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Forward-looking statements may include but are not limited to the following:</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about the macro economy and trends within the consumer or business information industries, including the use of data and consumer expectations related thereto;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our competitive position within our industry and our differentiation strategies;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laws, regulations and industry practices governing the collection and use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personal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impact of tax-related legislation on our tax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estimates, assumptions, projections and/or expectations regarding the Company's annualized future cost savings and expenses associated with our global workforce strategy, recent workforce restructuring, and real estate footprint reduction;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our liquidity needs or containing a projection of revenues, operating income (loss), income (loss), earnings (loss) per share, capital expenditures, research and development spending, dividends, capital structure, income taxes, or other financial items;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of the plans and objectives of management for future operations;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of future performance, including, but not limited to, those statements contained in Management’s Discussion and Analysis of Financial Condition and Results of Operations contained in this Quarterly Report on Form 10-Q;</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regarding future stock-based compensation expense;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containing any assumptions underlying or relating to any of the above statements;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containing a projection or estimate.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Among the factors that may cause actual results and expectations to differ from anticipated results and expectations expressed in such forward-looking statements are the following:</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factors described in Part I, “Item 1A. Risk Factors” included in the Company's Annual Report on Form 10-K for the fiscal year ended March 31, 2025 filed with the Securities and Exchange Commission ("SEC") on May 21, 2025 and in Part I, “Item 2. Management’s Discussion and Analysis of Financial Condition and Results of Operations” and Part II, “Item 1A. Risk Factors” of this Quarterly Report on Form 10-Q and those described from time to time in our future reports filed with the SEC;</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in the event a change of control of the Company is sought, certain customers may attempt to invoke provisions in their contracts allowing for termination upon a change in control, which may result in a decline in revenue and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we will fail to fully realize the potential benefits of acquired businesses or the integration of such acquired businesses may not be as successful as planned;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 fair value of certain of our assets may not be equal to the carrying value of those assets now or in future time periods;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sales cycles may lengthen;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be able to properly motivate our sales force or other employees;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not be able to attract and retain qualified technical and leadership employees, or that we may lose key employees to other organizations;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our global workforce strategy could encounter difficulty and not be as beneficial as planned;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not be able to sublease our exited office spaces on favorable terms and rates;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competent, competitive products, technologies or services will be introduced into the marketplace by other companies;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we will fail to keep up with rapidly changing technology practices in our products and services or that expected benefits from utilization of technological innovations may not be realized as soon as expected or at all;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there will be changes in consumer or business information industries and markets that negatively impact the Company;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be able to protect proprietary information and technology or to obtain necessary licenses on commercially reasonable terms;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data purchasers will reduce their reliance on us by developing and using their own, or alternative, sources of data generally or with respect to certain data elements or categories;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enter into short-term contracts that would affect the predictability of our revenues;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 amount of volume-based and other transactional-based work will not be as expected;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experience a loss of data center capacity or capability or interruption of telecommunication links or power sources;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experience failures or breaches of our network and data security systems, leading to potential adverse publicity, negative customer reaction, or liability to third parties;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our customers may cancel or modify their agreements with us, or may not make timely or complete payments;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successfully meet customer contract requirements or the service levels specified in the contracts, which may result in contract penalties or lost revenue;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experience processing errors that result in credits to customers, re-performance of services or payment of damages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general and global negative conditions, risks related to tariffs and other trade restrictions, risk of recession, high interest rates, the military conflicts in Europe and the Middle East, capital markets volatility, government shutdowns, cost increases and general inflationary pressure and other related causes; and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tax rate and other effects of the changes to U.S. federal tax law.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(Dollars in thousands) </w:t>
      </w:r>
    </w:p>
    <w:tbl>
      <w:tblPr>
        <w:tblW w:w="9486" w:type="dxa"/>
        <w:jc w:val="center"/>
        <w:tblInd w:w="0" w:type="dxa"/>
        <w:tblLayout w:type="fixed"/>
        <w:tblCellMar>
          <w:top w:w="28" w:type="dxa"/>
          <w:left w:w="28" w:type="dxa"/>
          <w:bottom w:w="28" w:type="dxa"/>
          <w:right w:w="28" w:type="dxa"/>
        </w:tblCellMar>
      </w:tblPr>
      <w:tblGrid>
        <w:gridCol w:w="2240"/>
        <w:gridCol w:w="1973"/>
        <w:gridCol w:w="1982"/>
        <w:gridCol w:w="109"/>
        <w:gridCol w:w="109"/>
        <w:gridCol w:w="109"/>
        <w:gridCol w:w="211"/>
        <w:gridCol w:w="976"/>
        <w:gridCol w:w="109"/>
        <w:gridCol w:w="109"/>
        <w:gridCol w:w="109"/>
        <w:gridCol w:w="109"/>
        <w:gridCol w:w="211"/>
        <w:gridCol w:w="976"/>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Refundable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 except per share amounts)</w:t>
      </w:r>
    </w:p>
    <w:p>
      <w:pPr>
        <w:pStyle w:val="TextBody"/>
        <w:bidi w:val="0"/>
        <w:spacing w:lineRule="auto" w:line="288" w:before="0" w:after="0"/>
        <w:ind w:left="0" w:right="0" w:firstLine="1260"/>
        <w:jc w:val="center"/>
        <w:rPr>
          <w:color w:val="0563C1"/>
        </w:rPr>
      </w:pPr>
      <w:r>
        <w:rPr>
          <w:color w:val="0563C1"/>
        </w:rPr>
        <w:t> </w:t>
      </w:r>
    </w:p>
    <w:tbl>
      <w:tblPr>
        <w:tblW w:w="10205" w:type="dxa"/>
        <w:jc w:val="center"/>
        <w:tblInd w:w="0" w:type="dxa"/>
        <w:tblLayout w:type="fixed"/>
        <w:tblCellMar>
          <w:top w:w="28" w:type="dxa"/>
          <w:left w:w="28" w:type="dxa"/>
          <w:bottom w:w="28" w:type="dxa"/>
          <w:right w:w="28" w:type="dxa"/>
        </w:tblCellMar>
      </w:tblPr>
      <w:tblGrid>
        <w:gridCol w:w="1500"/>
        <w:gridCol w:w="1274"/>
        <w:gridCol w:w="127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15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264"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737" w:type="dxa"/>
            <w:gridSpan w:val="8"/>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CONDENSED CONSOLIDATED STATEMENTS OF COMPREHENSIVE INCOME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w:t>
      </w:r>
    </w:p>
    <w:p>
      <w:pPr>
        <w:pStyle w:val="TextBody"/>
        <w:bidi w:val="0"/>
        <w:spacing w:lineRule="auto" w:line="288" w:before="0" w:after="0"/>
        <w:ind w:left="0" w:right="0" w:firstLine="1260"/>
        <w:jc w:val="center"/>
        <w:rPr>
          <w:color w:val="0563C1"/>
        </w:rPr>
      </w:pPr>
      <w:r>
        <w:rPr>
          <w:color w:val="0563C1"/>
        </w:rPr>
        <w:t> </w:t>
      </w:r>
    </w:p>
    <w:tbl>
      <w:tblPr>
        <w:tblW w:w="9804" w:type="dxa"/>
        <w:jc w:val="center"/>
        <w:tblInd w:w="0" w:type="dxa"/>
        <w:tblLayout w:type="fixed"/>
        <w:tblCellMar>
          <w:top w:w="28" w:type="dxa"/>
          <w:left w:w="28" w:type="dxa"/>
          <w:bottom w:w="28" w:type="dxa"/>
          <w:right w:w="28" w:type="dxa"/>
        </w:tblCellMar>
      </w:tblPr>
      <w:tblGrid>
        <w:gridCol w:w="1514"/>
        <w:gridCol w:w="1332"/>
        <w:gridCol w:w="1338"/>
        <w:gridCol w:w="109"/>
        <w:gridCol w:w="109"/>
        <w:gridCol w:w="109"/>
        <w:gridCol w:w="213"/>
        <w:gridCol w:w="727"/>
        <w:gridCol w:w="110"/>
        <w:gridCol w:w="110"/>
        <w:gridCol w:w="110"/>
        <w:gridCol w:w="110"/>
        <w:gridCol w:w="213"/>
        <w:gridCol w:w="621"/>
        <w:gridCol w:w="110"/>
        <w:gridCol w:w="109"/>
        <w:gridCol w:w="109"/>
        <w:gridCol w:w="109"/>
        <w:gridCol w:w="211"/>
        <w:gridCol w:w="721"/>
        <w:gridCol w:w="109"/>
        <w:gridCol w:w="109"/>
        <w:gridCol w:w="109"/>
        <w:gridCol w:w="109"/>
        <w:gridCol w:w="211"/>
        <w:gridCol w:w="691"/>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01" w:type="dxa"/>
            <w:gridSpan w:val="8"/>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27,249 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LIVERAMP HOLDINGS, INC. AND SUBSIDIARIES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CONDENSED CONSOLIDATED STATEMENTS OF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THREE AND SIX MONTHS ENDED SEPTEMBER 30, 2025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(Dollars in thousands)</w:t>
      </w:r>
    </w:p>
    <w:tbl>
      <w:tblPr>
        <w:tblW w:w="13386"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525"/>
        <w:gridCol w:w="526"/>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488"/>
        <w:gridCol w:w="488"/>
        <w:gridCol w:w="283"/>
        <w:gridCol w:w="109"/>
        <w:gridCol w:w="109"/>
        <w:gridCol w:w="109"/>
        <w:gridCol w:w="196"/>
        <w:gridCol w:w="886"/>
        <w:gridCol w:w="109"/>
        <w:gridCol w:w="109"/>
        <w:gridCol w:w="109"/>
        <w:gridCol w:w="109"/>
        <w:gridCol w:w="196"/>
        <w:gridCol w:w="736"/>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160,776,735 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(95,173,455)</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27,655 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(28,827)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(1,834,181)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161,167,204 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(97,036,463)</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For the six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159,176,452 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(93,760,959)</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(2,430,028)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327,675 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(370,696)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1,629,207 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(2,904,808)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161,167,204 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(97,036,463)</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(2,521,591)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8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LIVERAMP HOLDINGS, INC. AND SUBSIDIARIES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CONDENSED CONSOLIDATED STATEMENTS OF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THREE AND SIX MONTHS ENDED SEPTEMBER 30, 2024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(Dollars in thousands)</w:t>
      </w:r>
    </w:p>
    <w:tbl>
      <w:tblPr>
        <w:tblW w:w="13386"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525"/>
        <w:gridCol w:w="526"/>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488"/>
        <w:gridCol w:w="488"/>
        <w:gridCol w:w="283"/>
        <w:gridCol w:w="109"/>
        <w:gridCol w:w="109"/>
        <w:gridCol w:w="109"/>
        <w:gridCol w:w="196"/>
        <w:gridCol w:w="886"/>
        <w:gridCol w:w="109"/>
        <w:gridCol w:w="109"/>
        <w:gridCol w:w="109"/>
        <w:gridCol w:w="109"/>
        <w:gridCol w:w="196"/>
        <w:gridCol w:w="736"/>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For the 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157,256,866 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(90,377,447)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(2,341,003)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536,251 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(1,945,953)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157,822,130 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(92,358,018)</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the six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155,943,262 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(89,668,961)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(2,318,371)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289,344 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(244,530)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1,568,969 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(2,444,527)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157,822,130 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(92,358,018)</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(2,391,764)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8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31"/>
        <w:gridCol w:w="1781"/>
        <w:gridCol w:w="1785"/>
        <w:gridCol w:w="170"/>
        <w:gridCol w:w="170"/>
        <w:gridCol w:w="170"/>
        <w:gridCol w:w="332"/>
        <w:gridCol w:w="1138"/>
        <w:gridCol w:w="170"/>
        <w:gridCol w:w="170"/>
        <w:gridCol w:w="170"/>
        <w:gridCol w:w="170"/>
        <w:gridCol w:w="332"/>
        <w:gridCol w:w="1073"/>
        <w:gridCol w:w="170"/>
        <w:gridCol w:w="109"/>
        <w:gridCol w:w="164"/>
      </w:tblGrid>
      <w:tr>
        <w:trPr/>
        <w:tc>
          <w:tcPr>
            <w:tcW w:w="213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273" w:type="dxa"/>
            <w:gridSpan w:val="2"/>
            <w:tcBorders/>
          </w:tcPr>
          <w:p>
            <w:pPr>
              <w:pStyle w:val="TableContents"/>
              <w:bidi w:val="0"/>
              <w:spacing w:before="0" w:after="283"/>
              <w:jc w:val="left"/>
              <w:rPr>
                <w:sz w:val="4"/>
                <w:szCs w:val="4"/>
              </w:rPr>
            </w:pPr>
            <w:r>
              <w:rPr>
                <w:sz w:val="4"/>
                <w:szCs w:val="4"/>
              </w:rPr>
            </w:r>
          </w:p>
        </w:tc>
      </w:tr>
      <w:tr>
        <w:trPr/>
        <w:tc>
          <w:tcPr>
            <w:tcW w:w="9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CONDENSED CONSOLIDATED STATEMENTS OF CASH FLOWS</w:t>
            </w:r>
          </w:p>
        </w:tc>
        <w:tc>
          <w:tcPr>
            <w:tcW w:w="273" w:type="dxa"/>
            <w:gridSpan w:val="2"/>
            <w:tcBorders/>
          </w:tcPr>
          <w:p>
            <w:pPr>
              <w:pStyle w:val="TableContents"/>
              <w:bidi w:val="0"/>
              <w:spacing w:before="0" w:after="283"/>
              <w:jc w:val="left"/>
              <w:rPr>
                <w:sz w:val="4"/>
                <w:szCs w:val="4"/>
              </w:rPr>
            </w:pPr>
            <w:r>
              <w:rPr>
                <w:sz w:val="4"/>
                <w:szCs w:val="4"/>
              </w:rPr>
            </w:r>
          </w:p>
        </w:tc>
      </w:tr>
      <w:tr>
        <w:trPr/>
        <w:tc>
          <w:tcPr>
            <w:tcW w:w="9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273" w:type="dxa"/>
            <w:gridSpan w:val="2"/>
            <w:tcBorders/>
          </w:tcPr>
          <w:p>
            <w:pPr>
              <w:pStyle w:val="TableContents"/>
              <w:bidi w:val="0"/>
              <w:spacing w:before="0" w:after="283"/>
              <w:jc w:val="left"/>
              <w:rPr>
                <w:sz w:val="4"/>
                <w:szCs w:val="4"/>
              </w:rPr>
            </w:pPr>
            <w:r>
              <w:rPr>
                <w:sz w:val="4"/>
                <w:szCs w:val="4"/>
              </w:rPr>
            </w:r>
          </w:p>
        </w:tc>
      </w:tr>
      <w:tr>
        <w:trPr/>
        <w:tc>
          <w:tcPr>
            <w:tcW w:w="9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273" w:type="dxa"/>
            <w:gridSpan w:val="2"/>
            <w:tcBorders/>
          </w:tcPr>
          <w:p>
            <w:pPr>
              <w:pStyle w:val="TableContents"/>
              <w:bidi w:val="0"/>
              <w:spacing w:before="0" w:after="283"/>
              <w:jc w:val="left"/>
              <w:rPr>
                <w:sz w:val="4"/>
                <w:szCs w:val="4"/>
              </w:rPr>
            </w:pPr>
            <w:r>
              <w:rPr>
                <w:sz w:val="4"/>
                <w:szCs w:val="4"/>
              </w:rPr>
            </w:r>
          </w:p>
        </w:tc>
      </w:tr>
      <w:tr>
        <w:trPr/>
        <w:tc>
          <w:tcPr>
            <w:tcW w:w="5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5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activities: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or impairment of assets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Lease-related impairment and restructuring charges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strategic investments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marketable equity securities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doubtful accounts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expense</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liabilities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in acquisitions, net of cash received</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strategic investments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strategic investment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related to the issuance of common stock under stock and employee benefit plans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 for tax withholdings upon vesting of stock-based awards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treasury stock</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(79,762)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(65,653)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(85,146)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continuing operations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(45,576)</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62"/>
        <w:gridCol w:w="1731"/>
        <w:gridCol w:w="1744"/>
        <w:gridCol w:w="162"/>
        <w:gridCol w:w="162"/>
        <w:gridCol w:w="162"/>
        <w:gridCol w:w="315"/>
        <w:gridCol w:w="1237"/>
        <w:gridCol w:w="162"/>
        <w:gridCol w:w="162"/>
        <w:gridCol w:w="162"/>
        <w:gridCol w:w="162"/>
        <w:gridCol w:w="315"/>
        <w:gridCol w:w="1237"/>
        <w:gridCol w:w="162"/>
        <w:gridCol w:w="109"/>
        <w:gridCol w:w="159"/>
      </w:tblGrid>
      <w:tr>
        <w:trPr/>
        <w:tc>
          <w:tcPr>
            <w:tcW w:w="206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CONDENSED CONSOLIDATED STATEMENTS OF CASH FLOWS</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268" w:type="dxa"/>
            <w:gridSpan w:val="2"/>
            <w:tcBorders/>
          </w:tcPr>
          <w:p>
            <w:pPr>
              <w:pStyle w:val="TableContents"/>
              <w:bidi w:val="0"/>
              <w:spacing w:before="0" w:after="283"/>
              <w:jc w:val="left"/>
              <w:rPr>
                <w:sz w:val="4"/>
                <w:szCs w:val="4"/>
              </w:rPr>
            </w:pPr>
            <w:r>
              <w:rPr>
                <w:sz w:val="4"/>
                <w:szCs w:val="4"/>
              </w:rPr>
            </w:r>
          </w:p>
        </w:tc>
      </w:tr>
      <w:tr>
        <w:trPr/>
        <w:tc>
          <w:tcPr>
            <w:tcW w:w="9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268" w:type="dxa"/>
            <w:gridSpan w:val="2"/>
            <w:tcBorders/>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cash equivalents and restricted cash</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369,446 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341,577 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 net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for tenant improvement allowances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operating lease liabilities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lease assets obtained in exchange for operating lease liabilities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related lease liabilities, relinquished in lease terminations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 remaining unpaid at period end</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Excise tax payable on net stock repurchases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LIVERAMP HOLDINGS,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NOTES TO CONDENSED CONSOLIDATED FINANCIAL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ORGANIZATION AND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2025 (“2025 Annual Report”), as filed with the SEC on May 21, 2025.  This Quarterly Report on Form 10-Q and the accompanying condensed consolidated financial statements should be read in connection with the 2025 Annual Report.  The financial information contained in this Quarterly Report on Form 10-Q is not necessarily indicative of the results to be expected for any other period or for the full fiscal year ending March 31,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2025 Annual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6"/>
        <w:gridCol w:w="1160"/>
        <w:gridCol w:w="1042"/>
        <w:gridCol w:w="441"/>
        <w:gridCol w:w="441"/>
        <w:gridCol w:w="340"/>
        <w:gridCol w:w="479"/>
        <w:gridCol w:w="416"/>
        <w:gridCol w:w="341"/>
        <w:gridCol w:w="1028"/>
        <w:gridCol w:w="1028"/>
        <w:gridCol w:w="1323"/>
      </w:tblGrid>
      <w:tr>
        <w:trPr/>
        <w:tc>
          <w:tcPr>
            <w:tcW w:w="216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Accounting Pronouncements Adopted During the Current Year</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1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12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3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43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 were no material accounting pronouncements applicable to the Company.</w:t>
            </w:r>
          </w:p>
        </w:tc>
        <w:tc>
          <w:tcPr>
            <w:tcW w:w="122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7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3"/>
        <w:gridCol w:w="813"/>
        <w:gridCol w:w="449"/>
        <w:gridCol w:w="1405"/>
        <w:gridCol w:w="1405"/>
        <w:gridCol w:w="1194"/>
        <w:gridCol w:w="618"/>
        <w:gridCol w:w="536"/>
        <w:gridCol w:w="329"/>
        <w:gridCol w:w="659"/>
        <w:gridCol w:w="604"/>
        <w:gridCol w:w="710"/>
      </w:tblGrid>
      <w:tr>
        <w:trPr/>
        <w:tc>
          <w:tcPr>
            <w:tcW w:w="148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Recent Accounting Pronouncements Not Yet Adopted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14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1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Accounting Standard Update (“ASU”) 2023-09</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Taxes (Topic 740): Improvements to Income Tax Disclosures</w:t>
            </w:r>
          </w:p>
        </w:tc>
        <w:tc>
          <w:tcPr>
            <w:tcW w:w="40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2023-09 requires disaggregated information about a reporting entity's effective tax rate reconciliation as well as information on income tax paid.</w:t>
            </w:r>
          </w:p>
        </w:tc>
        <w:tc>
          <w:tcPr>
            <w:tcW w:w="14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our fiscal 2026 Form 10-K. Early adoption is permitted.</w:t>
            </w:r>
          </w:p>
        </w:tc>
        <w:tc>
          <w:tcPr>
            <w:tcW w:w="1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consolidated financial statement disclosures.</w:t>
            </w:r>
          </w:p>
        </w:tc>
      </w:tr>
      <w:tr>
        <w:trPr/>
        <w:tc>
          <w:tcPr>
            <w:tcW w:w="2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2024-03</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Income Statement-Reporting Comprehensive Income-Expense Disaggregation Disclosures (Subtopic 220-40): Disaggregation of Income Statement Expenses </w:t>
            </w:r>
          </w:p>
        </w:tc>
        <w:tc>
          <w:tcPr>
            <w:tcW w:w="400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2024-03 requires more detailed information about the types of expenses included in certain expense captions presented on the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w:t>
            </w:r>
          </w:p>
        </w:tc>
        <w:tc>
          <w:tcPr>
            <w:tcW w:w="14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2028. Early adoption is permitted.</w:t>
            </w:r>
          </w:p>
        </w:tc>
        <w:tc>
          <w:tcPr>
            <w:tcW w:w="19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consolidated financial statement disclosures.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EARNINGS (LOSS) PER SHARE AND STOCKHOLDERS’ EQUITY: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Earnings (Loss)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numerator and denominator of basic and diluted earnings (loss) per share is shown below (in thousands, except per share amounts):</w:t>
      </w:r>
    </w:p>
    <w:tbl>
      <w:tblPr>
        <w:tblW w:w="10205" w:type="dxa"/>
        <w:jc w:val="left"/>
        <w:tblInd w:w="0" w:type="dxa"/>
        <w:tblLayout w:type="fixed"/>
        <w:tblCellMar>
          <w:top w:w="28" w:type="dxa"/>
          <w:left w:w="28" w:type="dxa"/>
          <w:bottom w:w="28" w:type="dxa"/>
          <w:right w:w="28" w:type="dxa"/>
        </w:tblCellMar>
      </w:tblPr>
      <w:tblGrid>
        <w:gridCol w:w="1947"/>
        <w:gridCol w:w="1307"/>
        <w:gridCol w:w="1285"/>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665"/>
        <w:gridCol w:w="109"/>
        <w:gridCol w:w="109"/>
        <w:gridCol w:w="156"/>
      </w:tblGrid>
      <w:tr>
        <w:trPr/>
        <w:tc>
          <w:tcPr>
            <w:tcW w:w="194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common stock options and restricted stock units as computed under the treasury stock method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equity awards under stock-based award plans excluded from the determination of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Earnings per share totals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number of common stock options and restricted stock units as computed under the treasury stock method that would have otherwise been dilutive but are excluded from the table above because their effect would have been anti-dilutive due to the net loss position of the Company was 1.4 million for the six months ended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six months ended September 30, 2025, the Company repurchased 2.9 million shares of its common stock for $79.6 million under the common stock repurchase program. Through September 30, 2025, the Company had repurchased a total of 44.4 million shares of its common stock for $1.1 billion under the program, leaving remaining capacity of $176.6 million. The repurchase amounts included in the condensed consolidated financial statements related to the 1% excise tax on share repurchases, net of share issuances, as a result of the Inflation Reduction Act of 2022 (in thousands) is shown below.</w:t>
      </w:r>
    </w:p>
    <w:tbl>
      <w:tblPr>
        <w:tblW w:w="10205" w:type="dxa"/>
        <w:jc w:val="left"/>
        <w:tblInd w:w="0" w:type="dxa"/>
        <w:tblLayout w:type="fixed"/>
        <w:tblCellMar>
          <w:top w:w="28" w:type="dxa"/>
          <w:left w:w="28" w:type="dxa"/>
          <w:bottom w:w="28" w:type="dxa"/>
          <w:right w:w="28" w:type="dxa"/>
        </w:tblCellMar>
      </w:tblPr>
      <w:tblGrid>
        <w:gridCol w:w="2784"/>
        <w:gridCol w:w="2449"/>
        <w:gridCol w:w="2462"/>
        <w:gridCol w:w="109"/>
        <w:gridCol w:w="109"/>
        <w:gridCol w:w="109"/>
        <w:gridCol w:w="233"/>
        <w:gridCol w:w="532"/>
        <w:gridCol w:w="119"/>
        <w:gridCol w:w="119"/>
        <w:gridCol w:w="119"/>
        <w:gridCol w:w="119"/>
        <w:gridCol w:w="233"/>
        <w:gridCol w:w="532"/>
        <w:gridCol w:w="177"/>
      </w:tblGrid>
      <w:tr>
        <w:trPr/>
        <w:tc>
          <w:tcPr>
            <w:tcW w:w="278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accruals included in the condensed consolidated statements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 including transaction costs and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payments included in the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Accumulated other comprehensive income balances of $5.9 million and $4.3 million at September 30, 2025 and March 31, 2025, respectively, reflect accumulated foreign currency translation adjustments.</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REVENUE FROM CONTRACTS WITH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Disaggregation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following table, revenue is disaggregated by primary geographical market and major service offerings (dollars in thousands):</w:t>
      </w:r>
    </w:p>
    <w:tbl>
      <w:tblPr>
        <w:tblW w:w="6660"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61"/>
        <w:gridCol w:w="1059"/>
        <w:gridCol w:w="134"/>
        <w:gridCol w:w="134"/>
        <w:gridCol w:w="134"/>
        <w:gridCol w:w="134"/>
        <w:gridCol w:w="261"/>
        <w:gridCol w:w="1059"/>
        <w:gridCol w:w="134"/>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Primary Geographical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361,444 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 Offerings/Services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394,651 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361,444 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performance obligations associated with fixed commitments in customer contracts for future services that have not yet been recognized in our consolidated financial statements. The amount of fixed revenue not yet recognized was $651.7 million as of September 30, 2025, of which $429.9 million will be recognized over the next twelve months. The Company expects to recognize revenue on substantially all of these remaining performance obligations by December 31, 2032.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4.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Right-of-use assets and lease liabilities balances consist of the following (dollars in thousands):</w:t>
      </w:r>
    </w:p>
    <w:tbl>
      <w:tblPr>
        <w:tblW w:w="9098" w:type="dxa"/>
        <w:jc w:val="left"/>
        <w:tblInd w:w="0" w:type="dxa"/>
        <w:tblLayout w:type="fixed"/>
        <w:tblCellMar>
          <w:top w:w="28" w:type="dxa"/>
          <w:left w:w="28" w:type="dxa"/>
          <w:bottom w:w="28" w:type="dxa"/>
          <w:right w:w="28" w:type="dxa"/>
        </w:tblCellMar>
      </w:tblPr>
      <w:tblGrid>
        <w:gridCol w:w="1993"/>
        <w:gridCol w:w="1754"/>
        <w:gridCol w:w="1758"/>
        <w:gridCol w:w="109"/>
        <w:gridCol w:w="109"/>
        <w:gridCol w:w="109"/>
        <w:gridCol w:w="276"/>
        <w:gridCol w:w="984"/>
        <w:gridCol w:w="374"/>
        <w:gridCol w:w="109"/>
        <w:gridCol w:w="109"/>
        <w:gridCol w:w="109"/>
        <w:gridCol w:w="213"/>
        <w:gridCol w:w="758"/>
        <w:gridCol w:w="334"/>
      </w:tblGrid>
      <w:tr>
        <w:trPr/>
        <w:tc>
          <w:tcPr>
            <w:tcW w:w="199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included in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18,100 </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19,341 </w:t>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included in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balance sheet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years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cost, net for the six months ended September 30, 2025 and 2024, respectively, were as follows (dollars in thousands):</w:t>
      </w:r>
    </w:p>
    <w:tbl>
      <w:tblPr>
        <w:tblW w:w="6174" w:type="dxa"/>
        <w:jc w:val="left"/>
        <w:tblInd w:w="0" w:type="dxa"/>
        <w:tblLayout w:type="fixed"/>
        <w:tblCellMar>
          <w:top w:w="28" w:type="dxa"/>
          <w:left w:w="28" w:type="dxa"/>
          <w:bottom w:w="28" w:type="dxa"/>
          <w:right w:w="28" w:type="dxa"/>
        </w:tblCellMar>
      </w:tblPr>
      <w:tblGrid>
        <w:gridCol w:w="901"/>
        <w:gridCol w:w="793"/>
        <w:gridCol w:w="795"/>
        <w:gridCol w:w="109"/>
        <w:gridCol w:w="109"/>
        <w:gridCol w:w="109"/>
        <w:gridCol w:w="307"/>
        <w:gridCol w:w="942"/>
        <w:gridCol w:w="159"/>
        <w:gridCol w:w="159"/>
        <w:gridCol w:w="159"/>
        <w:gridCol w:w="159"/>
        <w:gridCol w:w="307"/>
        <w:gridCol w:w="942"/>
        <w:gridCol w:w="22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September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left w:val="single" w:sz="8" w:space="0" w:color="D9D9D9"/>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left w:val="single" w:sz="8" w:space="0" w:color="D9D9D9"/>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leases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presents future minimum payments under all operating leases and subleases (including operating leases with a duration of one year or less and excluding ASC 840 leases related to restructuring plans) as of September 30, 2025. The amount for fiscal 2026 represents the remaining six months ending March 31, 2026. All other periods represent fiscal years ending March 31 (dollars in thousands):</w:t>
      </w:r>
      <w:r>
        <w:rPr>
          <w:color w:val="0563C1"/>
        </w:rPr>
        <w:t> </w:t>
      </w:r>
    </w:p>
    <w:tbl>
      <w:tblPr>
        <w:tblW w:w="10205" w:type="dxa"/>
        <w:jc w:val="left"/>
        <w:tblInd w:w="0" w:type="dxa"/>
        <w:tblLayout w:type="fixed"/>
        <w:tblCellMar>
          <w:top w:w="28" w:type="dxa"/>
          <w:left w:w="28" w:type="dxa"/>
          <w:bottom w:w="28" w:type="dxa"/>
          <w:right w:w="28" w:type="dxa"/>
        </w:tblCellMar>
      </w:tblPr>
      <w:tblGrid>
        <w:gridCol w:w="979"/>
        <w:gridCol w:w="857"/>
        <w:gridCol w:w="833"/>
        <w:gridCol w:w="109"/>
        <w:gridCol w:w="109"/>
        <w:gridCol w:w="109"/>
        <w:gridCol w:w="333"/>
        <w:gridCol w:w="1187"/>
        <w:gridCol w:w="172"/>
        <w:gridCol w:w="109"/>
        <w:gridCol w:w="109"/>
        <w:gridCol w:w="109"/>
        <w:gridCol w:w="646"/>
        <w:gridCol w:w="1980"/>
        <w:gridCol w:w="335"/>
        <w:gridCol w:w="109"/>
        <w:gridCol w:w="109"/>
        <w:gridCol w:w="109"/>
        <w:gridCol w:w="358"/>
        <w:gridCol w:w="1278"/>
        <w:gridCol w:w="266"/>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expected under noncancellable subleases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lease payments</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(7,567)</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 and short-term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26,728 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Future minimum payments as of September 30, 2025 related to ASC 840 lease liabilities under restructuring plans as a result of the Company's exit from certain leased office facilities (see Note 13) are as follows (dollars in thousands): Fiscal 2026: $450.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stock option and equity compensation plans for which a total of 54.0 million shares of the Company’s common stock have been reserved for issuance since the inception of the plans. At September 30, 2025, there were a total of 7.3 million shares available for future grants under the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ended June 30, 2025, the board of directors voted to amend the Amended and Restated 2005 Equity Compensation Plan (the "2005 Plan") to increase the number of shares available under the 2005 Plan by 2.5 million shares. The amendment was approved by shareholders at the August 2025 annual shareholders' meeting. The amendment increased the 2005 Plan shares from 48.9 million shares at March 31, 2025 to 51.4 million shares beginning in the quarter ending September 30, 2025 and increased the total number of shares reserved for issuance since inception of all plans from 51.5 million shares at March 31, 2025 to 54.0 million shares beginning in the quarter ending September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stock-based compensation activity for the six months ended September 30, 2025 and 2024, by award type, was (dollars in thousands):</w:t>
      </w:r>
    </w:p>
    <w:tbl>
      <w:tblPr>
        <w:tblW w:w="10205" w:type="dxa"/>
        <w:jc w:val="left"/>
        <w:tblInd w:w="0" w:type="dxa"/>
        <w:tblLayout w:type="fixed"/>
        <w:tblCellMar>
          <w:top w:w="28" w:type="dxa"/>
          <w:left w:w="28" w:type="dxa"/>
          <w:bottom w:w="28" w:type="dxa"/>
          <w:right w:w="28" w:type="dxa"/>
        </w:tblCellMar>
      </w:tblPr>
      <w:tblGrid>
        <w:gridCol w:w="2751"/>
        <w:gridCol w:w="2307"/>
        <w:gridCol w:w="2305"/>
        <w:gridCol w:w="109"/>
        <w:gridCol w:w="109"/>
        <w:gridCol w:w="109"/>
        <w:gridCol w:w="211"/>
        <w:gridCol w:w="751"/>
        <w:gridCol w:w="109"/>
        <w:gridCol w:w="109"/>
        <w:gridCol w:w="109"/>
        <w:gridCol w:w="109"/>
        <w:gridCol w:w="211"/>
        <w:gridCol w:w="751"/>
        <w:gridCol w:w="155"/>
      </w:tblGrid>
      <w:tr>
        <w:trPr/>
        <w:tc>
          <w:tcPr>
            <w:tcW w:w="275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time-vesting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expense related to liability-based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 of stock-based compensation expense on operations, by financial statement line item, was (dollars in thousands):</w:t>
      </w:r>
    </w:p>
    <w:tbl>
      <w:tblPr>
        <w:tblW w:w="10205" w:type="dxa"/>
        <w:jc w:val="left"/>
        <w:tblInd w:w="0" w:type="dxa"/>
        <w:tblLayout w:type="fixed"/>
        <w:tblCellMar>
          <w:top w:w="28" w:type="dxa"/>
          <w:left w:w="28" w:type="dxa"/>
          <w:bottom w:w="28" w:type="dxa"/>
          <w:right w:w="28" w:type="dxa"/>
        </w:tblCellMar>
      </w:tblPr>
      <w:tblGrid>
        <w:gridCol w:w="2713"/>
        <w:gridCol w:w="2343"/>
        <w:gridCol w:w="2306"/>
        <w:gridCol w:w="109"/>
        <w:gridCol w:w="109"/>
        <w:gridCol w:w="109"/>
        <w:gridCol w:w="211"/>
        <w:gridCol w:w="751"/>
        <w:gridCol w:w="109"/>
        <w:gridCol w:w="109"/>
        <w:gridCol w:w="109"/>
        <w:gridCol w:w="109"/>
        <w:gridCol w:w="211"/>
        <w:gridCol w:w="751"/>
        <w:gridCol w:w="156"/>
      </w:tblGrid>
      <w:tr>
        <w:trPr/>
        <w:tc>
          <w:tcPr>
            <w:tcW w:w="271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condensed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the expected future expense for all of the Company's outstanding equity awards at September 30, 2025, by award type. The amount for fiscal 2026 represents the remaining six months ending March 31, 2026. All other periods represent fiscal years ending March 31 (dollars in thousands):</w:t>
      </w:r>
    </w:p>
    <w:tbl>
      <w:tblPr>
        <w:tblW w:w="10205" w:type="dxa"/>
        <w:jc w:val="left"/>
        <w:tblInd w:w="0" w:type="dxa"/>
        <w:tblLayout w:type="fixed"/>
        <w:tblCellMar>
          <w:top w:w="28" w:type="dxa"/>
          <w:left w:w="28" w:type="dxa"/>
          <w:bottom w:w="28" w:type="dxa"/>
          <w:right w:w="28" w:type="dxa"/>
        </w:tblCellMar>
      </w:tblPr>
      <w:tblGrid>
        <w:gridCol w:w="1149"/>
        <w:gridCol w:w="905"/>
        <w:gridCol w:w="89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211"/>
        <w:gridCol w:w="856"/>
        <w:gridCol w:w="156"/>
      </w:tblGrid>
      <w:tr>
        <w:trPr/>
        <w:tc>
          <w:tcPr>
            <w:tcW w:w="114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 the years ending March 31, </w:t>
            </w:r>
          </w:p>
        </w:tc>
        <w:tc>
          <w:tcPr>
            <w:tcW w:w="1332" w:type="dxa"/>
            <w:gridSpan w:val="4"/>
            <w:tcBorders/>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future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 Options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options activity for the six months ended September 30, 2025 was:</w:t>
      </w:r>
    </w:p>
    <w:tbl>
      <w:tblPr>
        <w:tblW w:w="10132" w:type="dxa"/>
        <w:jc w:val="left"/>
        <w:tblInd w:w="0" w:type="dxa"/>
        <w:tblLayout w:type="fixed"/>
        <w:tblCellMar>
          <w:top w:w="28" w:type="dxa"/>
          <w:left w:w="28" w:type="dxa"/>
          <w:bottom w:w="28" w:type="dxa"/>
          <w:right w:w="28" w:type="dxa"/>
        </w:tblCellMar>
      </w:tblPr>
      <w:tblGrid>
        <w:gridCol w:w="1163"/>
        <w:gridCol w:w="1022"/>
        <w:gridCol w:w="1025"/>
        <w:gridCol w:w="109"/>
        <w:gridCol w:w="109"/>
        <w:gridCol w:w="109"/>
        <w:gridCol w:w="458"/>
        <w:gridCol w:w="458"/>
        <w:gridCol w:w="316"/>
        <w:gridCol w:w="109"/>
        <w:gridCol w:w="109"/>
        <w:gridCol w:w="109"/>
        <w:gridCol w:w="334"/>
        <w:gridCol w:w="1023"/>
        <w:gridCol w:w="174"/>
        <w:gridCol w:w="109"/>
        <w:gridCol w:w="109"/>
        <w:gridCol w:w="109"/>
        <w:gridCol w:w="510"/>
        <w:gridCol w:w="510"/>
        <w:gridCol w:w="511"/>
        <w:gridCol w:w="109"/>
        <w:gridCol w:w="109"/>
        <w:gridCol w:w="109"/>
        <w:gridCol w:w="275"/>
        <w:gridCol w:w="843"/>
        <w:gridCol w:w="202"/>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370,596 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130,523 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58,399 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September 30, 2025. This amount changes based upon changes in the fair market value of the Company's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stock options outstanding and exercisable as of September 30, 2025 was:</w:t>
      </w:r>
    </w:p>
    <w:tbl>
      <w:tblPr>
        <w:tblW w:w="11532" w:type="dxa"/>
        <w:jc w:val="left"/>
        <w:tblInd w:w="0" w:type="dxa"/>
        <w:tblLayout w:type="fixed"/>
        <w:tblCellMar>
          <w:top w:w="28" w:type="dxa"/>
          <w:left w:w="28" w:type="dxa"/>
          <w:bottom w:w="28" w:type="dxa"/>
          <w:right w:w="28" w:type="dxa"/>
        </w:tblCellMar>
      </w:tblPr>
      <w:tblGrid>
        <w:gridCol w:w="226"/>
        <w:gridCol w:w="646"/>
        <w:gridCol w:w="109"/>
        <w:gridCol w:w="109"/>
        <w:gridCol w:w="109"/>
        <w:gridCol w:w="109"/>
        <w:gridCol w:w="115"/>
        <w:gridCol w:w="115"/>
        <w:gridCol w:w="116"/>
        <w:gridCol w:w="109"/>
        <w:gridCol w:w="109"/>
        <w:gridCol w:w="109"/>
        <w:gridCol w:w="211"/>
        <w:gridCol w:w="646"/>
        <w:gridCol w:w="109"/>
        <w:gridCol w:w="109"/>
        <w:gridCol w:w="109"/>
        <w:gridCol w:w="109"/>
        <w:gridCol w:w="428"/>
        <w:gridCol w:w="428"/>
        <w:gridCol w:w="363"/>
        <w:gridCol w:w="109"/>
        <w:gridCol w:w="109"/>
        <w:gridCol w:w="109"/>
        <w:gridCol w:w="510"/>
        <w:gridCol w:w="510"/>
        <w:gridCol w:w="511"/>
        <w:gridCol w:w="109"/>
        <w:gridCol w:w="109"/>
        <w:gridCol w:w="109"/>
        <w:gridCol w:w="334"/>
        <w:gridCol w:w="1023"/>
        <w:gridCol w:w="174"/>
        <w:gridCol w:w="109"/>
        <w:gridCol w:w="109"/>
        <w:gridCol w:w="109"/>
        <w:gridCol w:w="375"/>
        <w:gridCol w:w="376"/>
        <w:gridCol w:w="333"/>
        <w:gridCol w:w="112"/>
        <w:gridCol w:w="112"/>
        <w:gridCol w:w="112"/>
        <w:gridCol w:w="325"/>
        <w:gridCol w:w="1000"/>
        <w:gridCol w:w="251"/>
      </w:tblGrid>
      <w:tr>
        <w:trPr/>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exercisable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exercisable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128,813 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56,689 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130,523 </w:t>
            </w:r>
          </w:p>
        </w:tc>
        <w:tc>
          <w:tcPr>
            <w:tcW w:w="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58,399 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Habu Restricted Stock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Habu restricted stock share activity for the six months ended September 30, 2025 was: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2"/>
        <w:gridCol w:w="1563"/>
        <w:gridCol w:w="109"/>
        <w:gridCol w:w="109"/>
        <w:gridCol w:w="109"/>
        <w:gridCol w:w="351"/>
        <w:gridCol w:w="351"/>
        <w:gridCol w:w="283"/>
        <w:gridCol w:w="109"/>
        <w:gridCol w:w="109"/>
        <w:gridCol w:w="109"/>
        <w:gridCol w:w="331"/>
        <w:gridCol w:w="1001"/>
        <w:gridCol w:w="168"/>
        <w:gridCol w:w="109"/>
        <w:gridCol w:w="109"/>
        <w:gridCol w:w="109"/>
        <w:gridCol w:w="546"/>
        <w:gridCol w:w="539"/>
        <w:gridCol w:w="769"/>
      </w:tblGrid>
      <w:tr>
        <w:trPr/>
        <w:tc>
          <w:tcPr>
            <w:tcW w:w="177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Restricted Stock Unit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Time-vesting restricted stock units ("RSUs")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six months ended September 30, 2025, the Company granted time-vesting RSUs covering 1,971,321 shares of common stock and having a fair value at the date of grant of $58.2 million. The RSUs granted in the current year will vest over three years. Grant date fair value of these units is equal to the quoted market price for the shares on the date of grant. RSU activity for the six months ended September 30, 2025 was:</w:t>
      </w:r>
    </w:p>
    <w:tbl>
      <w:tblPr>
        <w:tblW w:w="8975" w:type="dxa"/>
        <w:jc w:val="left"/>
        <w:tblInd w:w="0" w:type="dxa"/>
        <w:tblLayout w:type="fixed"/>
        <w:tblCellMar>
          <w:top w:w="28" w:type="dxa"/>
          <w:left w:w="28" w:type="dxa"/>
          <w:bottom w:w="28" w:type="dxa"/>
          <w:right w:w="28" w:type="dxa"/>
        </w:tblCellMar>
      </w:tblPr>
      <w:tblGrid>
        <w:gridCol w:w="1163"/>
        <w:gridCol w:w="1022"/>
        <w:gridCol w:w="1025"/>
        <w:gridCol w:w="109"/>
        <w:gridCol w:w="109"/>
        <w:gridCol w:w="109"/>
        <w:gridCol w:w="539"/>
        <w:gridCol w:w="541"/>
        <w:gridCol w:w="283"/>
        <w:gridCol w:w="109"/>
        <w:gridCol w:w="109"/>
        <w:gridCol w:w="109"/>
        <w:gridCol w:w="334"/>
        <w:gridCol w:w="1023"/>
        <w:gridCol w:w="174"/>
        <w:gridCol w:w="109"/>
        <w:gridCol w:w="109"/>
        <w:gridCol w:w="109"/>
        <w:gridCol w:w="553"/>
        <w:gridCol w:w="553"/>
        <w:gridCol w:w="78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2,985,522 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1,971,321 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(1,296,462)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(171,109)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3,489,272 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total fair value of RSUs vested during the six months ended September 30, 2025 was $41.4 million and is measured as the quoted market price of the Company's common stock on the vesting date times the number of shares vested.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Performance-based restricted stock units ("PSUs")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2026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six months ended September 30, 2025, the Company granted PSUs covering 485,579 shares of common stock having a fair value at the date of grant of $16.1 million. The grants were made under three separate performance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total shareholder return ("TSR") performance plan, units covering 143,725 shares of common stock were granted having a fair value at the date of grant of $6.0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2025 to March 31,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operating metrics performance plan, units covering 335,363 shares of common stock were granted having a fair value at the date of grant of $9.9 million, which was equal to the quoted market price for the shares on the date of grant. The units vest subject to attainment of performance criteria established by the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2026, 2027, and 2028.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international operating metrics performance plan, units covering 6,491 shares of common stock were granted having a fair value at the date of grant of $0.2 million, which was equal to the quoted market price for the shares on the date of grant. The units vest subject to attainment of performance criteria established by the compensation committee and continuous employment through the vesting date. The units are subject to vesting or forfeiture, 100% or 0%, respectively, based on the attainment of a performance target at the end of the performance period that is based on international operating income metrics for the fiscal year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2025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2025 TSR performance plan, net of forfeitures, covering 111,652 shares of common stock will reach maturity of their relevant performance period at March 31, 2027. The units may vest in a number of shares from 0% to 200% of the award, based on the TSR of LiveRamp common stock compared to the TSR of the Russell 2000 market index for the period from April 1, 2024 to March 31,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2025 operating metrics performance plan, net of forfeitures, covering 260,532 shares of common stock will reach maturity of their relevant performance period at March 31, 2027. The units may vest in a number of shares from 0% to 200% of the award, at the end of the performance period, based on the average attainment of annual revenue growth and EBITDA margin targets for fiscal years 2025, 2026, and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Units under the Company's fiscal 2025 international operating metrics performance plan, net of forfeitures, covering 35,658 shares of common stock will reach maturity of their relevant performance period at March 31, 2027. The units are subject to vesting or forfeiture, 100% or 0%, respectively, based on the attainment of a performance target at the end of the performance period that is based on international operating income metrics for the fiscal year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2024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2024 TSR performance plan, net of forfeitures, covering 158,486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Units under the Company's fiscal 2024 operating metrics performance plan, net of forfeitures, covering 369,807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PSU activity for the six months ended September 30, 2025 was:</w:t>
      </w:r>
    </w:p>
    <w:tbl>
      <w:tblPr>
        <w:tblW w:w="8916" w:type="dxa"/>
        <w:jc w:val="left"/>
        <w:tblInd w:w="0" w:type="dxa"/>
        <w:tblLayout w:type="fixed"/>
        <w:tblCellMar>
          <w:top w:w="28" w:type="dxa"/>
          <w:left w:w="28" w:type="dxa"/>
          <w:bottom w:w="28" w:type="dxa"/>
          <w:right w:w="28" w:type="dxa"/>
        </w:tblCellMar>
      </w:tblPr>
      <w:tblGrid>
        <w:gridCol w:w="1163"/>
        <w:gridCol w:w="1022"/>
        <w:gridCol w:w="1025"/>
        <w:gridCol w:w="109"/>
        <w:gridCol w:w="109"/>
        <w:gridCol w:w="109"/>
        <w:gridCol w:w="510"/>
        <w:gridCol w:w="511"/>
        <w:gridCol w:w="283"/>
        <w:gridCol w:w="109"/>
        <w:gridCol w:w="109"/>
        <w:gridCol w:w="109"/>
        <w:gridCol w:w="334"/>
        <w:gridCol w:w="1023"/>
        <w:gridCol w:w="174"/>
        <w:gridCol w:w="109"/>
        <w:gridCol w:w="109"/>
        <w:gridCol w:w="109"/>
        <w:gridCol w:w="553"/>
        <w:gridCol w:w="553"/>
        <w:gridCol w:w="78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1,395,426 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31.36 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485,579 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(332,745)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(126,546)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1,421,714 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fair value of PSUs vested in the six months ended September 30, 2025 was $11.1 million and is measured as the quoted market price of the Company’s common stock on the vesting date times the number of shares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Other Stock Compensation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Board of Directors stock compensation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Under the Company's equity compensation plans, non-employee directors may receive a portion of their fees for director services provided in the form of Company stock grants. During the six months ended September 30, 2025, the Company issued stock grants to non-employee directors covering 20,938 shares of Company stock for the portion of director compensation paid in shares.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Acquisition-related Consideration Holdback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 September 30, 2025 and since consummation of the acquisition, the Company has recognized a total of $8.1 million as stock-based compensation expense related to the Habu consideration holdback. At September 30, 2025, the recognized, but unpaid, balance related to the Habu consideration holdback in other accrued expenses in the condensed consolidated balance sheet was $3.3 million. The second annual settlement of $4.9 million is expected to occur in the fourth quarter of fiscal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Qualified Employee Stock Purchase Plan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six months ended September 30, 2025, 98,684 shares of common stock were purchased under the ESPP at a weighted-average price of $26.86 per share, resulting in cash proceeds of $2.7 million over the relevant offering periods.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Stock-based compensation expense associated with the ESPP was $0.7 million for the six months ended September 30, 2025. At September 30, 2025, there was approximately $0.2 million of total unrecognized stock-based compensation expense related to the ESPP, which is expected to be recognized on a straight-line basis over the remaining term of the current offering period.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6. OTHER CURRENT AND NONCURRENT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current assets consist of the following (dollars in thousands):  </w:t>
      </w:r>
    </w:p>
    <w:tbl>
      <w:tblPr>
        <w:tblW w:w="7058" w:type="dxa"/>
        <w:jc w:val="left"/>
        <w:tblInd w:w="0" w:type="dxa"/>
        <w:tblLayout w:type="fixed"/>
        <w:tblCellMar>
          <w:top w:w="28" w:type="dxa"/>
          <w:left w:w="28" w:type="dxa"/>
          <w:bottom w:w="28" w:type="dxa"/>
          <w:right w:w="28" w:type="dxa"/>
        </w:tblCellMar>
      </w:tblPr>
      <w:tblGrid>
        <w:gridCol w:w="1255"/>
        <w:gridCol w:w="1104"/>
        <w:gridCol w:w="1106"/>
        <w:gridCol w:w="109"/>
        <w:gridCol w:w="109"/>
        <w:gridCol w:w="109"/>
        <w:gridCol w:w="322"/>
        <w:gridCol w:w="1147"/>
        <w:gridCol w:w="166"/>
        <w:gridCol w:w="109"/>
        <w:gridCol w:w="109"/>
        <w:gridCol w:w="109"/>
        <w:gridCol w:w="246"/>
        <w:gridCol w:w="878"/>
        <w:gridCol w:w="180"/>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41,147 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noncurrent assets consist of the following (dollars in thousands): </w:t>
      </w:r>
    </w:p>
    <w:tbl>
      <w:tblPr>
        <w:tblW w:w="7117" w:type="dxa"/>
        <w:jc w:val="left"/>
        <w:tblInd w:w="0" w:type="dxa"/>
        <w:tblLayout w:type="fixed"/>
        <w:tblCellMar>
          <w:top w:w="28" w:type="dxa"/>
          <w:left w:w="28" w:type="dxa"/>
          <w:bottom w:w="28" w:type="dxa"/>
          <w:right w:w="28" w:type="dxa"/>
        </w:tblCellMar>
      </w:tblPr>
      <w:tblGrid>
        <w:gridCol w:w="1277"/>
        <w:gridCol w:w="1120"/>
        <w:gridCol w:w="1127"/>
        <w:gridCol w:w="109"/>
        <w:gridCol w:w="109"/>
        <w:gridCol w:w="109"/>
        <w:gridCol w:w="322"/>
        <w:gridCol w:w="1147"/>
        <w:gridCol w:w="166"/>
        <w:gridCol w:w="109"/>
        <w:gridCol w:w="109"/>
        <w:gridCol w:w="109"/>
        <w:gridCol w:w="246"/>
        <w:gridCol w:w="878"/>
        <w:gridCol w:w="180"/>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prepaid 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is summarized as follows (dollars in thousands):</w:t>
      </w:r>
    </w:p>
    <w:tbl>
      <w:tblPr>
        <w:tblW w:w="10177" w:type="dxa"/>
        <w:jc w:val="left"/>
        <w:tblInd w:w="0" w:type="dxa"/>
        <w:tblLayout w:type="fixed"/>
        <w:tblCellMar>
          <w:top w:w="28" w:type="dxa"/>
          <w:left w:w="28" w:type="dxa"/>
          <w:bottom w:w="28" w:type="dxa"/>
          <w:right w:w="28" w:type="dxa"/>
        </w:tblCellMar>
      </w:tblPr>
      <w:tblGrid>
        <w:gridCol w:w="2384"/>
        <w:gridCol w:w="2095"/>
        <w:gridCol w:w="2105"/>
        <w:gridCol w:w="109"/>
        <w:gridCol w:w="109"/>
        <w:gridCol w:w="109"/>
        <w:gridCol w:w="322"/>
        <w:gridCol w:w="1147"/>
        <w:gridCol w:w="166"/>
        <w:gridCol w:w="109"/>
        <w:gridCol w:w="109"/>
        <w:gridCol w:w="109"/>
        <w:gridCol w:w="246"/>
        <w:gridCol w:w="878"/>
        <w:gridCol w:w="180"/>
      </w:tblGrid>
      <w:tr>
        <w:trPr/>
        <w:tc>
          <w:tcPr>
            <w:tcW w:w="23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14,582 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14,508 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 processing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and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 of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Depreciation expense on property and equipment was $1.3 million and $1.4 million for the six months ended September 30, 2025 and 2024,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GOODWILL: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goodwill for the six months ended September 30, 2025 were as follows (dollars in thousands):</w:t>
      </w:r>
    </w:p>
    <w:tbl>
      <w:tblPr>
        <w:tblW w:w="5972" w:type="dxa"/>
        <w:jc w:val="left"/>
        <w:tblInd w:w="0" w:type="dxa"/>
        <w:tblLayout w:type="fixed"/>
        <w:tblCellMar>
          <w:top w:w="28" w:type="dxa"/>
          <w:left w:w="28" w:type="dxa"/>
          <w:bottom w:w="28" w:type="dxa"/>
          <w:right w:w="28" w:type="dxa"/>
        </w:tblCellMar>
      </w:tblPr>
      <w:tblGrid>
        <w:gridCol w:w="1601"/>
        <w:gridCol w:w="1409"/>
        <w:gridCol w:w="1414"/>
        <w:gridCol w:w="109"/>
        <w:gridCol w:w="109"/>
        <w:gridCol w:w="109"/>
        <w:gridCol w:w="211"/>
        <w:gridCol w:w="85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501,756 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Goodwill by geography as of September 30, 2025 was:  </w:t>
      </w:r>
    </w:p>
    <w:tbl>
      <w:tblPr>
        <w:tblW w:w="2059"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11"/>
        <w:gridCol w:w="85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amounts allocated to intangible assets from acquisitions include developed technology, customer relationships, and trade names. Intangible assets are summarized as follows (dollars in thousands):</w:t>
      </w:r>
    </w:p>
    <w:tbl>
      <w:tblPr>
        <w:tblW w:w="7237" w:type="dxa"/>
        <w:jc w:val="left"/>
        <w:tblInd w:w="0" w:type="dxa"/>
        <w:tblLayout w:type="fixed"/>
        <w:tblCellMar>
          <w:top w:w="28" w:type="dxa"/>
          <w:left w:w="28" w:type="dxa"/>
          <w:bottom w:w="28" w:type="dxa"/>
          <w:right w:w="28" w:type="dxa"/>
        </w:tblCellMar>
      </w:tblPr>
      <w:tblGrid>
        <w:gridCol w:w="1320"/>
        <w:gridCol w:w="1159"/>
        <w:gridCol w:w="1166"/>
        <w:gridCol w:w="109"/>
        <w:gridCol w:w="109"/>
        <w:gridCol w:w="109"/>
        <w:gridCol w:w="293"/>
        <w:gridCol w:w="1190"/>
        <w:gridCol w:w="151"/>
        <w:gridCol w:w="109"/>
        <w:gridCol w:w="109"/>
        <w:gridCol w:w="109"/>
        <w:gridCol w:w="225"/>
        <w:gridCol w:w="915"/>
        <w:gridCol w:w="164"/>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94,000 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94,000 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18,334 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relationship/trade name,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customer relationship/trade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14,667 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20,167 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amortization expense related to intangible assets was $5.5 million and $7.6 million for the six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estimated future amortization expenses related to intangible assets. The amount for fiscal 2026 represents the remaining six months ending March 31, 2026. All other periods represent fiscal years ending March 31 (dollars in thousands). </w:t>
      </w:r>
    </w:p>
    <w:p>
      <w:pPr>
        <w:pStyle w:val="TextBody"/>
        <w:bidi w:val="0"/>
        <w:spacing w:before="0" w:after="0"/>
        <w:jc w:val="left"/>
        <w:rPr/>
      </w:pPr>
      <w:r>
        <w:rPr/>
      </w:r>
    </w:p>
    <w:tbl>
      <w:tblPr>
        <w:tblW w:w="2477" w:type="dxa"/>
        <w:jc w:val="left"/>
        <w:tblInd w:w="0" w:type="dxa"/>
        <w:tblLayout w:type="fixed"/>
        <w:tblCellMar>
          <w:top w:w="28" w:type="dxa"/>
          <w:left w:w="28" w:type="dxa"/>
          <w:bottom w:w="28" w:type="dxa"/>
          <w:right w:w="28" w:type="dxa"/>
        </w:tblCellMar>
      </w:tblPr>
      <w:tblGrid>
        <w:gridCol w:w="374"/>
        <w:gridCol w:w="328"/>
        <w:gridCol w:w="332"/>
        <w:gridCol w:w="109"/>
        <w:gridCol w:w="109"/>
        <w:gridCol w:w="109"/>
        <w:gridCol w:w="211"/>
        <w:gridCol w:w="751"/>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OTHER ACCRUED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accrued expenses consist of the following (dollars in thousands):</w:t>
      </w:r>
    </w:p>
    <w:tbl>
      <w:tblPr>
        <w:tblW w:w="7342" w:type="dxa"/>
        <w:jc w:val="left"/>
        <w:tblInd w:w="0" w:type="dxa"/>
        <w:tblLayout w:type="fixed"/>
        <w:tblCellMar>
          <w:top w:w="28" w:type="dxa"/>
          <w:left w:w="28" w:type="dxa"/>
          <w:bottom w:w="28" w:type="dxa"/>
          <w:right w:w="28" w:type="dxa"/>
        </w:tblCellMar>
      </w:tblPr>
      <w:tblGrid>
        <w:gridCol w:w="1356"/>
        <w:gridCol w:w="1193"/>
        <w:gridCol w:w="1200"/>
        <w:gridCol w:w="109"/>
        <w:gridCol w:w="109"/>
        <w:gridCol w:w="109"/>
        <w:gridCol w:w="322"/>
        <w:gridCol w:w="1147"/>
        <w:gridCol w:w="166"/>
        <w:gridCol w:w="109"/>
        <w:gridCol w:w="109"/>
        <w:gridCol w:w="109"/>
        <w:gridCol w:w="246"/>
        <w:gridCol w:w="878"/>
        <w:gridCol w:w="180"/>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of non-qualified retirement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consideration holdback (see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11. OTHER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liabilities consist of the following (dollars in thousands):</w:t>
      </w:r>
    </w:p>
    <w:tbl>
      <w:tblPr>
        <w:tblW w:w="8828" w:type="dxa"/>
        <w:jc w:val="left"/>
        <w:tblInd w:w="0" w:type="dxa"/>
        <w:tblLayout w:type="fixed"/>
        <w:tblCellMar>
          <w:top w:w="28" w:type="dxa"/>
          <w:left w:w="28" w:type="dxa"/>
          <w:bottom w:w="28" w:type="dxa"/>
          <w:right w:w="28" w:type="dxa"/>
        </w:tblCellMar>
      </w:tblPr>
      <w:tblGrid>
        <w:gridCol w:w="1892"/>
        <w:gridCol w:w="1666"/>
        <w:gridCol w:w="1677"/>
        <w:gridCol w:w="109"/>
        <w:gridCol w:w="109"/>
        <w:gridCol w:w="109"/>
        <w:gridCol w:w="322"/>
        <w:gridCol w:w="1147"/>
        <w:gridCol w:w="166"/>
        <w:gridCol w:w="109"/>
        <w:gridCol w:w="109"/>
        <w:gridCol w:w="109"/>
        <w:gridCol w:w="246"/>
        <w:gridCol w:w="878"/>
        <w:gridCol w:w="180"/>
      </w:tblGrid>
      <w:tr>
        <w:trPr/>
        <w:tc>
          <w:tcPr>
            <w:tcW w:w="189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restructuring accruals and related sublease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180" w:type="dxa"/>
            <w:tcBorders>
              <w:right w:val="single" w:sz="8" w:space="0" w:color="D9D9D9"/>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59,582 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D9D9D9"/>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62,994 </w:t>
            </w:r>
          </w:p>
        </w:tc>
        <w:tc>
          <w:tcPr>
            <w:tcW w:w="180" w:type="dxa"/>
            <w:tcBorders>
              <w:top w:val="single" w:sz="8" w:space="0" w:color="000000"/>
              <w:bottom w:val="double" w:sz="8" w:space="0" w:color="000000"/>
              <w:right w:val="single" w:sz="8" w:space="0" w:color="D9D9D9"/>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ALLOWANCE FOR CREDIT LOSSES: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activity of allowance for credit losses, returns and credits (dollars in thousands):</w:t>
      </w:r>
    </w:p>
    <w:tbl>
      <w:tblPr>
        <w:tblW w:w="10205" w:type="dxa"/>
        <w:jc w:val="left"/>
        <w:tblInd w:w="0" w:type="dxa"/>
        <w:tblLayout w:type="fixed"/>
        <w:tblCellMar>
          <w:top w:w="28" w:type="dxa"/>
          <w:left w:w="28" w:type="dxa"/>
          <w:bottom w:w="28" w:type="dxa"/>
          <w:right w:w="28" w:type="dxa"/>
        </w:tblCellMar>
      </w:tblPr>
      <w:tblGrid>
        <w:gridCol w:w="671"/>
        <w:gridCol w:w="589"/>
        <w:gridCol w:w="591"/>
        <w:gridCol w:w="109"/>
        <w:gridCol w:w="109"/>
        <w:gridCol w:w="109"/>
        <w:gridCol w:w="294"/>
        <w:gridCol w:w="901"/>
        <w:gridCol w:w="151"/>
        <w:gridCol w:w="109"/>
        <w:gridCol w:w="109"/>
        <w:gridCol w:w="109"/>
        <w:gridCol w:w="347"/>
        <w:gridCol w:w="1064"/>
        <w:gridCol w:w="179"/>
        <w:gridCol w:w="109"/>
        <w:gridCol w:w="109"/>
        <w:gridCol w:w="109"/>
        <w:gridCol w:w="263"/>
        <w:gridCol w:w="469"/>
        <w:gridCol w:w="137"/>
        <w:gridCol w:w="109"/>
        <w:gridCol w:w="109"/>
        <w:gridCol w:w="109"/>
        <w:gridCol w:w="402"/>
        <w:gridCol w:w="1028"/>
        <w:gridCol w:w="207"/>
        <w:gridCol w:w="109"/>
        <w:gridCol w:w="109"/>
        <w:gridCol w:w="109"/>
        <w:gridCol w:w="264"/>
        <w:gridCol w:w="811"/>
        <w:gridCol w:w="202"/>
      </w:tblGrid>
      <w:tr>
        <w:trPr/>
        <w:tc>
          <w:tcPr>
            <w:tcW w:w="6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Bad debts written off, net of amounts recovered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end of period</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six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7,698 </w:t>
            </w:r>
          </w:p>
        </w:tc>
        <w:tc>
          <w:tcPr>
            <w:tcW w:w="1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w:t>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9,244 </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RESTRUCTURING, IMPAIRMENT AND OTHER CHARGES: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Restructuring activities result in various costs, including asset write-offs, ROU asset group impairments, exit charges including severance, contract termination fees, and decommissioning and other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beginning and ending restructuring liabilities is shown below for the six months ended September 30, 2025. The restructuring charges and adjustments are included in gains, losses and other items, net in the consolidated statements of operations. The reserve balances are included in accrued payroll and related expenses and other liabilities in the consolidated balance sheets (dollars in thousands).</w:t>
      </w:r>
    </w:p>
    <w:tbl>
      <w:tblPr>
        <w:tblW w:w="7969" w:type="dxa"/>
        <w:jc w:val="left"/>
        <w:tblInd w:w="0" w:type="dxa"/>
        <w:tblLayout w:type="fixed"/>
        <w:tblCellMar>
          <w:top w:w="28" w:type="dxa"/>
          <w:left w:w="28" w:type="dxa"/>
          <w:bottom w:w="28" w:type="dxa"/>
          <w:right w:w="28" w:type="dxa"/>
        </w:tblCellMar>
      </w:tblPr>
      <w:tblGrid>
        <w:gridCol w:w="1276"/>
        <w:gridCol w:w="1120"/>
        <w:gridCol w:w="1129"/>
        <w:gridCol w:w="109"/>
        <w:gridCol w:w="109"/>
        <w:gridCol w:w="109"/>
        <w:gridCol w:w="324"/>
        <w:gridCol w:w="993"/>
        <w:gridCol w:w="169"/>
        <w:gridCol w:w="109"/>
        <w:gridCol w:w="109"/>
        <w:gridCol w:w="109"/>
        <w:gridCol w:w="211"/>
        <w:gridCol w:w="646"/>
        <w:gridCol w:w="109"/>
        <w:gridCol w:w="109"/>
        <w:gridCol w:w="109"/>
        <w:gridCol w:w="109"/>
        <w:gridCol w:w="211"/>
        <w:gridCol w:w="64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Employee-related</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w:t>
              <w:br/>
              <w:t>accruals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Employee-related Restructuring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six months ended September 30, 2025, the Company recorded a total of $0.1 million in employee-related restructuring charges and adjustments. The expense reflects adjustments to the fiscal 2025 employee-related restructuring plans in the United States and Europe.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2025, the Company recorded a total of $7.9 million in employee-related restructuring charges and adjustments. The expense included $7.7 million of severance and other employee-related charges in the United States, Europe, and APAC, and $0.2 million in adjustments to the fiscal 2021 and fiscal 2024 employee-related restructuring plans for employees in the United States and APAC. Of the fiscal 2025 employee-related restructuring plans, $0.1 million remained accrued as of September 30, 2025 and is expected to be paid during fiscal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No amounts remain unpaid as of September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Lease-related Impairments and Restructuring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$2.5 million in combined lease-related restructuring charges and adjustments during fiscal years 2023 through 2026 that covered other obligations related to the leased office spaces in San Francisco and Phoenix, of which a negative $0.2 million was recognized during the six months ended September 30, 2025. As of September 30, 2025, $1.2 million remains accrued and will be satisfied over the remainder of the San Francisco lease terms, which continue through April 2029.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September 30, 2025, the Company has recorded a total of $7.9 million of restructuring charges and adjustments related to this lease, of which $0.5 million was recognized during the six months ended September 30, 2025. Of the amount accrued for this facility lease, $0.6 million remained accrued at September 30, 2025 and will be satisfied during fiscal year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Gains, Losses and Other Items,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activity included in gains, losses and other items, net in the consolidated statements of operations for each of the periods presented (dollars in thousands): </w:t>
      </w:r>
    </w:p>
    <w:tbl>
      <w:tblPr>
        <w:tblW w:w="10205" w:type="dxa"/>
        <w:jc w:val="left"/>
        <w:tblInd w:w="0" w:type="dxa"/>
        <w:tblLayout w:type="fixed"/>
        <w:tblCellMar>
          <w:top w:w="28" w:type="dxa"/>
          <w:left w:w="28" w:type="dxa"/>
          <w:bottom w:w="28" w:type="dxa"/>
          <w:right w:w="28" w:type="dxa"/>
        </w:tblCellMar>
      </w:tblPr>
      <w:tblGrid>
        <w:gridCol w:w="1558"/>
        <w:gridCol w:w="1368"/>
        <w:gridCol w:w="1371"/>
        <w:gridCol w:w="109"/>
        <w:gridCol w:w="109"/>
        <w:gridCol w:w="109"/>
        <w:gridCol w:w="304"/>
        <w:gridCol w:w="585"/>
        <w:gridCol w:w="157"/>
        <w:gridCol w:w="157"/>
        <w:gridCol w:w="157"/>
        <w:gridCol w:w="157"/>
        <w:gridCol w:w="304"/>
        <w:gridCol w:w="694"/>
        <w:gridCol w:w="157"/>
        <w:gridCol w:w="109"/>
        <w:gridCol w:w="109"/>
        <w:gridCol w:w="109"/>
        <w:gridCol w:w="275"/>
        <w:gridCol w:w="627"/>
        <w:gridCol w:w="142"/>
        <w:gridCol w:w="142"/>
        <w:gridCol w:w="142"/>
        <w:gridCol w:w="142"/>
        <w:gridCol w:w="275"/>
        <w:gridCol w:w="627"/>
        <w:gridCol w:w="210"/>
      </w:tblGrid>
      <w:tr>
        <w:trPr/>
        <w:tc>
          <w:tcPr>
            <w:tcW w:w="15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September 30,</w:t>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restructuring plan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Lease-related restructuring plan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24, 2025, a purported class action styled Riganian et al v. LiveRamp Holdings, Inc. and LiveRamp, Inc.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Discovery has begun, and it is anticipated that class certification issues will be determined in mid-2026. The Company intends to defend this matter vigorously, and, because it is still in its preliminary stages, we have not yet determined what effect this lawsuit will have, if any, on our financial position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Company’s purchase commitments at September 30, 2025.  Purchase commitments primarily include contractual commitments for the purchase of data, hosting services, software-as-a-service arrangements and leasehold improvements. The table does not include the future payment of liabilities related to uncertain tax positions of $31.5 million as the Company is not able to predict the periods in which the payments will be made. The amount for fiscal 2026 represents the remaining six months ending March 31, 2026. All other periods represent fiscal years ending March 31 (dollars in thousands):</w:t>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15. INCOME TAX:</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4, 2025, H.R. 1, also known as “The One Big Beautiful Bill” Act (the "2025 Tax Act"), was signed into law in the U.S. The 2025 Tax Act includes provisions that allow for the immediate expensing of domestic research and development expenditures, immediate expensing of certain capital expenditures, and other changes to the U.S. taxation of profits derived from foreign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determining the quarterly provision for income taxes, the Company applies its estimated annual effective tax rate ("AETR") to its year-to-date ordinary income or loss and adjusts for discrete tax items in the period. The provision for income taxes was primarily driven by nondeductible stock-based compensation, capitalization of foreign research and development expenditures in accordance with Internal Revenue Code ("IRC") Section 174, the 2025 Tax Act's transition rules regarding the deduction of unamortized domestic research and development expenditures under IRC Section 174A, and the valuation allowance.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September 30, 2025, the Company continues to maintain a full valuation allowance on its net deferred tax assets except in certain foreign jurisdictions. Given the Company's recent history of profitability,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the recognition of certain deferred tax assets and a decrease to income tax expense for the period the release is recorded.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newly enacted 2025 Tax Act has multiple effective dates, with certain changes taking effect during our fiscal year ending March 31, 2026. The estimated impact of provisions taking effect during fiscal 2026 has been reflected in the provision for income taxes for the quarter ended September 30, 2025. The 2025 Tax Act caused a material decrease in the Company’s estimated AETR and expected cash tax payments for fiscal 2026. Due to the complexity and various upcoming effective dates of the 2025 Tax Act, we are still in the process of assessing its impact on our consolidated financial statements. The final impact may differ from our current estimates based on further analysis, regulatory guidance, and any legislative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16. SEGMENT AND 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one primary business activity, its data collaboration platform.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manages the Company’s business activities as a single operating and reportable segment at the consolidated level. Our CODM uses net income (loss), among other measures, for budgeting and resource allocation purposes on a consolidated basis. There are no differences in segmentation, the nature of significant expenses, the measure of segment assets or the basis of measurement of segment profit and loss, which is consolidated net income, as compared to the disclosures in the 2025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LiveRamp’s CODM regularly reviews significant segment expenses by the nature of the cost: cost of revenue, research and development, sales and marketing, general and administrative, and gains, losses and other items, net. This is consistent with the Company’s presentation on its condensed consolidated statements of operations. Other significant segment expenses within income from operations include depreciation and amortization expenses and stock compensation expenses that are presented in more detail in the condensed consolidated statements of cash flows and in Note 5, "Stock-Based Compensation", as well as employee related expenses, excluding stock compensation expenses, which is detailed below (dollars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3"/>
        <w:gridCol w:w="1320"/>
        <w:gridCol w:w="1324"/>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50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 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 net of stock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significant segment expenses within net earnings (loss) from continuing operations include other income (expense) (primarily interest income and expense), and income tax expense (benefit) that is presented in more detail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the Company operates as one operating segment, financial segment information, including significant segment expenses, profit or loss and asset information, can be found in the condensed consolidated financial statements except for interest expense and interest income. Interest expense and interest income are included in total other income, net on the condensed consolidated statements of operations, which is detailed below (dollars in thousands).</w:t>
      </w:r>
    </w:p>
    <w:tbl>
      <w:tblPr>
        <w:tblW w:w="7960" w:type="dxa"/>
        <w:jc w:val="left"/>
        <w:tblInd w:w="0" w:type="dxa"/>
        <w:tblLayout w:type="fixed"/>
        <w:tblCellMar>
          <w:top w:w="28" w:type="dxa"/>
          <w:left w:w="28" w:type="dxa"/>
          <w:bottom w:w="28" w:type="dxa"/>
          <w:right w:w="28" w:type="dxa"/>
        </w:tblCellMar>
      </w:tblPr>
      <w:tblGrid>
        <w:gridCol w:w="891"/>
        <w:gridCol w:w="781"/>
        <w:gridCol w:w="788"/>
        <w:gridCol w:w="109"/>
        <w:gridCol w:w="109"/>
        <w:gridCol w:w="109"/>
        <w:gridCol w:w="217"/>
        <w:gridCol w:w="665"/>
        <w:gridCol w:w="112"/>
        <w:gridCol w:w="112"/>
        <w:gridCol w:w="112"/>
        <w:gridCol w:w="112"/>
        <w:gridCol w:w="217"/>
        <w:gridCol w:w="665"/>
        <w:gridCol w:w="112"/>
        <w:gridCol w:w="109"/>
        <w:gridCol w:w="109"/>
        <w:gridCol w:w="109"/>
        <w:gridCol w:w="211"/>
        <w:gridCol w:w="646"/>
        <w:gridCol w:w="109"/>
        <w:gridCol w:w="109"/>
        <w:gridCol w:w="109"/>
        <w:gridCol w:w="109"/>
        <w:gridCol w:w="211"/>
        <w:gridCol w:w="646"/>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attributes revenue to each geographic region based on the location of the Company’s operations. The following table shows financial information by geographic area (dollars in thousands): </w:t>
      </w:r>
    </w:p>
    <w:p>
      <w:pPr>
        <w:pStyle w:val="TextBody"/>
        <w:bidi w:val="0"/>
        <w:spacing w:before="0" w:after="0"/>
        <w:jc w:val="left"/>
        <w:rPr/>
      </w:pPr>
      <w:r>
        <w:rPr/>
      </w:r>
    </w:p>
    <w:tbl>
      <w:tblPr>
        <w:tblW w:w="8097"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Long-lived assets excluding financial instruments (dollars in thousands):</w:t>
      </w:r>
    </w:p>
    <w:tbl>
      <w:tblPr>
        <w:tblW w:w="4896"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93"/>
        <w:gridCol w:w="1190"/>
        <w:gridCol w:w="151"/>
        <w:gridCol w:w="109"/>
        <w:gridCol w:w="109"/>
        <w:gridCol w:w="109"/>
        <w:gridCol w:w="225"/>
        <w:gridCol w:w="915"/>
        <w:gridCol w:w="16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587,962 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593,728 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603,182 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17. FAIR VALUE OF FINANCIAL INSTRUMENTS AND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 Unobservable inputs to the valuation methodology that are significant to the measurement of fair value of assets or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fair value measurements within the fair value hierarchy of the Company's financial assets and liabilities at September 30, 2025 and March 31, 2025 that are measured at fair value on a recurring basis (dollars in thousands):</w:t>
      </w:r>
    </w:p>
    <w:tbl>
      <w:tblPr>
        <w:tblW w:w="10205" w:type="dxa"/>
        <w:jc w:val="left"/>
        <w:tblInd w:w="0" w:type="dxa"/>
        <w:tblLayout w:type="fixed"/>
        <w:tblCellMar>
          <w:top w:w="28" w:type="dxa"/>
          <w:left w:w="28" w:type="dxa"/>
          <w:bottom w:w="28" w:type="dxa"/>
          <w:right w:w="28" w:type="dxa"/>
        </w:tblCellMar>
      </w:tblPr>
      <w:tblGrid>
        <w:gridCol w:w="1041"/>
        <w:gridCol w:w="811"/>
        <w:gridCol w:w="769"/>
        <w:gridCol w:w="109"/>
        <w:gridCol w:w="109"/>
        <w:gridCol w:w="109"/>
        <w:gridCol w:w="334"/>
        <w:gridCol w:w="1358"/>
        <w:gridCol w:w="172"/>
        <w:gridCol w:w="109"/>
        <w:gridCol w:w="109"/>
        <w:gridCol w:w="109"/>
        <w:gridCol w:w="364"/>
        <w:gridCol w:w="1116"/>
        <w:gridCol w:w="189"/>
        <w:gridCol w:w="109"/>
        <w:gridCol w:w="109"/>
        <w:gridCol w:w="109"/>
        <w:gridCol w:w="298"/>
        <w:gridCol w:w="1064"/>
        <w:gridCol w:w="154"/>
        <w:gridCol w:w="109"/>
        <w:gridCol w:w="109"/>
        <w:gridCol w:w="109"/>
        <w:gridCol w:w="211"/>
        <w:gridCol w:w="856"/>
        <w:gridCol w:w="160"/>
      </w:tblGrid>
      <w:tr>
        <w:trPr/>
        <w:tc>
          <w:tcPr>
            <w:tcW w:w="10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left w:val="single" w:sz="8" w:space="0" w:color="D9D9D9"/>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D9D9D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60" w:type="dxa"/>
            <w:tcBorders>
              <w:right w:val="single" w:sz="8" w:space="0" w:color="D9D9D9"/>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413,331 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437,190 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certain financial instruments, including accounts receivable and accounts payable, the carrying amounts approximate their fair value due to the relatively short maturity of these balances.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held $3.6 million and $3.2 million of strategic investments without readily determinable fair values at September 30, 2025 and March 31, 2025, respectively (see Note 6). Strategic investments consist of non-controlling equity investments in privately held companies. These investments are accounted for under the cost method of accounting and are included in other assets on the condensed consolidated balance sheets. During the six months ended September 30, 2025, the Company recorded $0.1 million in strategic investment impairment charges that is recorded in other expense in the condensed consolidated statement of operations. There were no impairment charges during the six months ended September 30, 2024.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Introduction and 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service,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Operating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provides a data collaboration platform, essentially acting as a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revenue-sharing fees generated from data transactions through our LiveRamp Data Marketplace,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GAAP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condensed consolidated balance sheets as total consolidated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Sources of Revenues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LiveRamp recognizes revenue from the following sources: (i) Subscription revenue,</w:t>
      </w:r>
      <w:r>
        <w:rPr>
          <w:color w:val="000000"/>
        </w:rPr>
        <w:t xml:space="preserve"> </w:t>
      </w:r>
      <w:r>
        <w:rPr>
          <w:rFonts w:ascii="Arial;sans-serif" w:hAnsi="Arial;sans-serif"/>
          <w:b w:val="false"/>
          <w:color w:val="000000"/>
          <w:sz w:val="20"/>
        </w:rPr>
        <w:t xml:space="preserve">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/LiveRamp Data Collaboration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/LiveRamp Data Collaboration Platform provides customers with four core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Live/Identity</w:t>
      </w:r>
      <w:r>
        <w:rPr>
          <w:rFonts w:ascii="Arial;sans-serif" w:hAnsi="Arial;sans-serif"/>
          <w:b w:val="false"/>
          <w:color w:val="000000"/>
          <w:sz w:val="20"/>
        </w:rPr>
        <w:t>. We provide enterprise identity infrastructure that resolves disparate consumer identities across different internal and external systems to create an accurate, connected view of the customer. Our approach to identity is built from two complementary graphs, combining offline data and online data and providing accuracy with a focus on privacy. LiveRamp's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sans-serif" w:hAnsi="Arial;sans-serif"/>
          <w:b w:val="false"/>
          <w:color w:val="000000"/>
          <w:sz w:val="13"/>
        </w:rPr>
        <w:t>TM</w:t>
      </w:r>
      <w:r>
        <w:rPr>
          <w:rFonts w:ascii="Arial;sans-serif" w:hAnsi="Arial;sans-serif"/>
          <w:b w:val="false"/>
          <w:color w:val="000000"/>
          <w:sz w:val="20"/>
        </w:rPr>
        <w:t xml:space="preserve">, a durable and privacy-centric connector to the digital ecosystem. This provides marketers with a consistent view of the consumer that is necessary for audience segmentation, targeting, and measurement.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Live/Access. </w:t>
      </w:r>
      <w:r>
        <w:rPr>
          <w:rFonts w:ascii="Arial;sans-serif" w:hAnsi="Arial;sans-serif"/>
          <w:b w:val="false"/>
          <w:color w:val="000000"/>
          <w:sz w:val="20"/>
        </w:rPr>
        <w:t>Our Data Marketplace provides customers with simplified access to industry-leading third-party data providers globally. The /LiveRamp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Live/Connectivity. </w:t>
      </w:r>
      <w:r>
        <w:rPr>
          <w:rFonts w:ascii="Arial;sans-serif" w:hAnsi="Arial;sans-serif"/>
          <w:b w:val="false"/>
          <w:color w:val="000000"/>
          <w:sz w:val="20"/>
        </w:rPr>
        <w:t xml:space="preserve">We enable organizations to leverage their customer and prospect data in the digital and TV ecosystems and across 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Live/Insights. </w:t>
      </w:r>
      <w:r>
        <w:rPr>
          <w:rFonts w:ascii="Arial;sans-serif" w:hAnsi="Arial;sans-serif"/>
          <w:b w:val="false"/>
          <w:color w:val="000000"/>
          <w:sz w:val="20"/>
        </w:rPr>
        <w:t>Data Collaboration using clean room technology enables advanced measurement and analytics that helps produce insight-driven innovation. We enable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581775" cy="2962275"/>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6581775" cy="296227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Subscription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primarily charge for our platform services on an annual basis. Our subscription pricing is based primarily on data volume, which is a function of data input records and connection points.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solutions are sold to enterprise marketers and the companies they partner with to execute their marketing, including agencies, marketing technology providers, publishers and data providers. Today, we work with 834 direct customers worldwide and serve thousands of additional customers indirectly through our reseller partnership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Brands and Agencies.</w:t>
      </w:r>
      <w:r>
        <w:rPr>
          <w:color w:val="000000"/>
        </w:rPr>
        <w:t xml:space="preserve"> </w:t>
      </w:r>
      <w:r>
        <w:rPr>
          <w:rFonts w:ascii="Arial;sans-serif" w:hAnsi="Arial;sans-serif"/>
          <w:b w:val="false"/>
          <w:color w:val="000000"/>
          <w:sz w:val="20"/>
        </w:rPr>
        <w:t xml:space="preserve">We work with over 500 of the largest brands and agencies in the world, helping them execute people-based marketing by creating an omni-channel understanding of the consumer, activating that understanding across their choice of digital marketing platforms and measuring the results to help optimize future marketing campaigns.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Advertising and Marketing Technology Providers.</w:t>
      </w:r>
      <w:r>
        <w:rPr>
          <w:color w:val="000000"/>
        </w:rPr>
        <w:t xml:space="preserve"> </w:t>
      </w:r>
      <w:r>
        <w:rPr>
          <w:rFonts w:ascii="Arial;sans-serif" w:hAnsi="Arial;sans-serif"/>
          <w:b w:val="false"/>
          <w:color w:val="000000"/>
          <w:sz w:val="20"/>
        </w:rPr>
        <w:t>We provide advertising and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Publishers.</w:t>
      </w:r>
      <w:r>
        <w:rPr>
          <w:color w:val="000000"/>
        </w:rPr>
        <w:t xml:space="preserve"> </w:t>
      </w:r>
      <w:r>
        <w:rPr>
          <w:rFonts w:ascii="Arial;sans-serif" w:hAnsi="Arial;sans-serif"/>
          <w:b w:val="false"/>
          <w:color w:val="000000"/>
          <w:sz w:val="20"/>
        </w:rPr>
        <w:t xml:space="preserve">We enable publishers of any size to offer people-based marketing on their properties. This adds value for brands by providing direct access to their customers and prospects in the publisher's premium inventory.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Sellers.</w:t>
      </w:r>
      <w:r>
        <w:rPr>
          <w:color w:val="000000"/>
        </w:rPr>
        <w:t xml:space="preserve"> </w:t>
      </w:r>
      <w:r>
        <w:rPr>
          <w:rFonts w:ascii="Arial;sans-serif" w:hAnsi="Arial;sans-serif"/>
          <w:b w:val="false"/>
          <w:color w:val="000000"/>
          <w:sz w:val="20"/>
        </w:rPr>
        <w:t>Leveraging our vast network of integrations, we allow data sellers to easily connect to the digital ecosystem and monetize their own data. Data can be distributed to customers or made available through the LiveRamp Data Marketplace. This adds value for brands as it allows them to augment their understanding of consumers and increase their understanding of customers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Marketplace and Other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 we have scaled the LiveRamp network and technology, we have found additional ways to leverage our platform, deliver more value to customers and create incremental revenue streams. 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 industries and encompassing all types of data. Data providers include sources and</w:t>
      </w:r>
      <w:r>
        <w:rPr>
          <w:color w:val="000000"/>
        </w:rPr>
        <w:t xml:space="preserve"> </w:t>
      </w:r>
      <w:r>
        <w:rPr>
          <w:rFonts w:ascii="Arial;sans-serif" w:hAnsi="Arial;sans-serif"/>
          <w:b w:val="false"/>
          <w:color w:val="000000"/>
          <w:sz w:val="20"/>
        </w:rPr>
        <w:t xml:space="preserve">brands exclusive to LiveRamp, emerging platforms with access to previously unavailable deterministic data, and data partnerships enabled by our platform.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To complement our product offering, we provide professional services and enhanced support entitlements to help customers leverage our platform and drive business outcomes. Our services offering includes product implementation, data science analytics, audience measurement and general advisory.</w:t>
      </w:r>
      <w:r>
        <w:rPr>
          <w:color w:val="000000"/>
        </w:rPr>
        <w:t xml:space="preserve"> </w:t>
      </w:r>
      <w:r>
        <w:rPr>
          <w:rFonts w:ascii="Arial;sans-serif" w:hAnsi="Arial;sans-serif"/>
          <w:b w:val="false"/>
          <w:color w:val="000000"/>
          <w:sz w:val="20"/>
        </w:rPr>
        <w:t>We generate revenue from services primarily from project fees paid by subscribers to our platform. Service projects are sold on an ad hoc basis as well as bundled with platform subscriptions. Professional services revenue is less than 5% of total Company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Summary Results and Notable Events</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financial summary of the three months ended September 30, 2025 compared to the three months ended September 30, 2024 is presented below:</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Revenues were $199.8 million, a 7.7% increase from $185.5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was $59.6 million, a 16.3% increase from $51.2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Gross margin decreased to 70.2% from 72.4%.</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Total operating expenses were $118.8 million, a 6.3% decrease from $126.8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and operating expenses for three months ended September 30, 2025 and 2024 included the following items: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Non-cash stock compensation of $20.5 million and $29.1 million, respectively (cost of revenue of $1.5 million and $1.5 million, respectively, and operating expenses of $19.1 million and $27.6 million, respectively)</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Purchased intangible asset amortization of $2.8 million and $3.7 million, respectively (cost of revenue)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Restructuring and other charges of $0.0 million and $0.4 million, respectively (operating expenses)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Total other income, net was $3.5 million, a decrease of $0.7 million from $4.2 million.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earnings were $27.4 million, or $0.42 per diluted share, compared to net earnings of $1.7 million, or $0.03 per diluted share.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cash provided by operating activities was $57.4 million compared to $55.6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The Company repurchased 1.8 million shares of its common stock for $49.8 million compared to 1.9 million shares for $49.9 million under the Company's common stock repurchase program.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This summary and the following discussion and analysis highlight financial results as well as other significant events and transactions of the Company during the three months ended September 30, 2025 compared to the three months ended September 30,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Key Performance Metrics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below data is presented in millions, except for percentages.</w:t>
      </w:r>
    </w:p>
    <w:tbl>
      <w:tblPr>
        <w:tblW w:w="10205" w:type="dxa"/>
        <w:jc w:val="left"/>
        <w:tblInd w:w="0" w:type="dxa"/>
        <w:tblLayout w:type="fixed"/>
        <w:tblCellMar>
          <w:top w:w="28" w:type="dxa"/>
          <w:left w:w="28" w:type="dxa"/>
          <w:bottom w:w="28" w:type="dxa"/>
          <w:right w:w="28" w:type="dxa"/>
        </w:tblCellMar>
      </w:tblPr>
      <w:tblGrid>
        <w:gridCol w:w="712"/>
        <w:gridCol w:w="610"/>
        <w:gridCol w:w="611"/>
        <w:gridCol w:w="109"/>
        <w:gridCol w:w="109"/>
        <w:gridCol w:w="109"/>
        <w:gridCol w:w="279"/>
        <w:gridCol w:w="601"/>
        <w:gridCol w:w="367"/>
        <w:gridCol w:w="109"/>
        <w:gridCol w:w="109"/>
        <w:gridCol w:w="109"/>
        <w:gridCol w:w="109"/>
        <w:gridCol w:w="109"/>
        <w:gridCol w:w="279"/>
        <w:gridCol w:w="601"/>
        <w:gridCol w:w="367"/>
        <w:gridCol w:w="109"/>
        <w:gridCol w:w="109"/>
        <w:gridCol w:w="109"/>
        <w:gridCol w:w="480"/>
        <w:gridCol w:w="480"/>
        <w:gridCol w:w="1139"/>
        <w:gridCol w:w="109"/>
        <w:gridCol w:w="109"/>
        <w:gridCol w:w="109"/>
        <w:gridCol w:w="364"/>
        <w:gridCol w:w="364"/>
        <w:gridCol w:w="1425"/>
      </w:tblGrid>
      <w:tr>
        <w:trPr/>
        <w:tc>
          <w:tcPr>
            <w:tcW w:w="7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 Change</w:t>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September 30, 2025 from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September 30, 2024 from September 30, 2023</w:t>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Subscription net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25"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16"/>
              </w:rPr>
            </w:pPr>
            <w:r>
              <w:rPr>
                <w:rFonts w:ascii="Arial;sans-serif" w:hAnsi="Arial;sans-serif"/>
                <w:b w:val="false"/>
                <w:color w:val="000000"/>
                <w:sz w:val="16"/>
              </w:rPr>
              <w:t>%</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Annualized recurring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25"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16"/>
              </w:rPr>
            </w:pPr>
            <w:r>
              <w:rPr>
                <w:rFonts w:ascii="Arial;sans-serif" w:hAnsi="Arial;sans-serif"/>
                <w:b w:val="false"/>
                <w:color w:val="000000"/>
                <w:sz w:val="16"/>
              </w:rPr>
              <w:t>%</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Remaining performance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3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25"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16"/>
              </w:rPr>
            </w:pPr>
            <w:r>
              <w:rPr>
                <w:rFonts w:ascii="Arial;sans-serif" w:hAnsi="Arial;sans-serif"/>
                <w:b w:val="false"/>
                <w:color w:val="000000"/>
                <w:sz w:val="16"/>
              </w:rPr>
              <w:t>%</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Current remaining performance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3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Subscription Net Retention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SNR was 102% primarily reflecting both modest fixed and variable revenue increases. The acquisition of Habu contributed approximately two percentage points to the prior period growth. Additionally, growth compared to the prior year decreased as a result of lower net upsell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Annualized Recurring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ARR growth of 7% was primarily attributable to new customer revenue. The deceleration in ARR growth was primarily attributable to lower contribution from net growth (upsell revenue less downsell and churn) in existing customer revenue. In addition, the acquisition of Habu contributed approximately three percentage points to the prior period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Remaining Performance Obligations and Current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and CRPO increased due to several large, multi-year renewals. The relative change in RPO growth (in terms of % change) is primarily due to the size and timing of multi-year renewals.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summary of selected financial information for each of the periods reported is presented below (dollars in thousands, except per share amounts): </w:t>
      </w:r>
    </w:p>
    <w:tbl>
      <w:tblPr>
        <w:tblW w:w="10205" w:type="dxa"/>
        <w:jc w:val="left"/>
        <w:tblInd w:w="0" w:type="dxa"/>
        <w:tblLayout w:type="fixed"/>
        <w:tblCellMar>
          <w:top w:w="28" w:type="dxa"/>
          <w:left w:w="28" w:type="dxa"/>
          <w:bottom w:w="28" w:type="dxa"/>
          <w:right w:w="28" w:type="dxa"/>
        </w:tblCellMar>
      </w:tblPr>
      <w:tblGrid>
        <w:gridCol w:w="663"/>
        <w:gridCol w:w="560"/>
        <w:gridCol w:w="564"/>
        <w:gridCol w:w="109"/>
        <w:gridCol w:w="109"/>
        <w:gridCol w:w="109"/>
        <w:gridCol w:w="211"/>
        <w:gridCol w:w="856"/>
        <w:gridCol w:w="109"/>
        <w:gridCol w:w="109"/>
        <w:gridCol w:w="109"/>
        <w:gridCol w:w="109"/>
        <w:gridCol w:w="211"/>
        <w:gridCol w:w="856"/>
        <w:gridCol w:w="109"/>
        <w:gridCol w:w="109"/>
        <w:gridCol w:w="109"/>
        <w:gridCol w:w="109"/>
        <w:gridCol w:w="293"/>
        <w:gridCol w:w="293"/>
        <w:gridCol w:w="261"/>
        <w:gridCol w:w="109"/>
        <w:gridCol w:w="109"/>
        <w:gridCol w:w="109"/>
        <w:gridCol w:w="211"/>
        <w:gridCol w:w="856"/>
        <w:gridCol w:w="109"/>
        <w:gridCol w:w="109"/>
        <w:gridCol w:w="109"/>
        <w:gridCol w:w="109"/>
        <w:gridCol w:w="211"/>
        <w:gridCol w:w="856"/>
        <w:gridCol w:w="109"/>
        <w:gridCol w:w="109"/>
        <w:gridCol w:w="109"/>
        <w:gridCol w:w="109"/>
        <w:gridCol w:w="293"/>
        <w:gridCol w:w="293"/>
        <w:gridCol w:w="319"/>
      </w:tblGrid>
      <w:tr>
        <w:trPr/>
        <w:tc>
          <w:tcPr>
            <w:tcW w:w="66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revenues for each of the periods reported is presented below (dollars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1"/>
        <w:gridCol w:w="632"/>
        <w:gridCol w:w="638"/>
        <w:gridCol w:w="109"/>
        <w:gridCol w:w="109"/>
        <w:gridCol w:w="109"/>
        <w:gridCol w:w="211"/>
        <w:gridCol w:w="856"/>
        <w:gridCol w:w="109"/>
        <w:gridCol w:w="109"/>
        <w:gridCol w:w="109"/>
        <w:gridCol w:w="109"/>
        <w:gridCol w:w="211"/>
        <w:gridCol w:w="856"/>
        <w:gridCol w:w="109"/>
        <w:gridCol w:w="109"/>
        <w:gridCol w:w="109"/>
        <w:gridCol w:w="109"/>
        <w:gridCol w:w="260"/>
        <w:gridCol w:w="260"/>
        <w:gridCol w:w="261"/>
        <w:gridCol w:w="109"/>
        <w:gridCol w:w="109"/>
        <w:gridCol w:w="109"/>
        <w:gridCol w:w="211"/>
        <w:gridCol w:w="856"/>
        <w:gridCol w:w="109"/>
        <w:gridCol w:w="109"/>
        <w:gridCol w:w="109"/>
        <w:gridCol w:w="109"/>
        <w:gridCol w:w="211"/>
        <w:gridCol w:w="856"/>
        <w:gridCol w:w="109"/>
        <w:gridCol w:w="109"/>
        <w:gridCol w:w="109"/>
        <w:gridCol w:w="109"/>
        <w:gridCol w:w="224"/>
        <w:gridCol w:w="224"/>
        <w:gridCol w:w="319"/>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revenues were $199.8 million for the three months ended September 30, 2025, a $14.3 million, or 7.7%, increase from the same period a year ago. The increase was due to revenue growth in both Subscription and Marketplace and Other. The Subscription revenue growth was $6.8 million, or 4.7%, primarily due to upsell to existing customers. The Marketplace and Other revenue growth was $7.6 million, or 18.0%, primarily due to Data Marketplace growth. On a geographic basis, U.S. revenue increased $13.5 million, or 7.7%. International revenue increased $0.8 million, or 8.1%.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revenues were $394.7 million for the six months ended September 30, 2025, a $33.2 million, or 9.2%, increase compared to the same period a year ago. The increase was due to revenue growth in both Subscription and Marketplace and Other. The Subscription revenue growth was $20.3 million, or 7.3%, primarily due to upsell to existing customers and higher variable revenue. The Marketplace and Other revenue growth was $12.9 million, or 15.4%, primarily due to Data Marketplace and Services growth. On a geographic basis, U.S. revenue increased $31.5 million, or 9.2%. International revenue increased $1.7 million, or 8.7%.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Cost of Revenue and Gross Profit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cost of revenue and gross profit for each of the periods reported is presented below (dollars in thousands):</w:t>
      </w:r>
    </w:p>
    <w:tbl>
      <w:tblPr>
        <w:tblW w:w="9669"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266"/>
        <w:gridCol w:w="275"/>
        <w:gridCol w:w="578"/>
        <w:gridCol w:w="115"/>
        <w:gridCol w:w="115"/>
        <w:gridCol w:w="115"/>
        <w:gridCol w:w="266"/>
        <w:gridCol w:w="275"/>
        <w:gridCol w:w="578"/>
        <w:gridCol w:w="115"/>
        <w:gridCol w:w="115"/>
        <w:gridCol w:w="115"/>
        <w:gridCol w:w="260"/>
        <w:gridCol w:w="260"/>
        <w:gridCol w:w="261"/>
        <w:gridCol w:w="109"/>
        <w:gridCol w:w="109"/>
        <w:gridCol w:w="109"/>
        <w:gridCol w:w="265"/>
        <w:gridCol w:w="276"/>
        <w:gridCol w:w="577"/>
        <w:gridCol w:w="109"/>
        <w:gridCol w:w="109"/>
        <w:gridCol w:w="109"/>
        <w:gridCol w:w="265"/>
        <w:gridCol w:w="276"/>
        <w:gridCol w:w="577"/>
        <w:gridCol w:w="109"/>
        <w:gridCol w:w="109"/>
        <w:gridCol w:w="109"/>
        <w:gridCol w:w="224"/>
        <w:gridCol w:w="224"/>
        <w:gridCol w:w="31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140,235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 of revenue was $59.6 million for the three months ended September 30, 2025, a $8.4 million, or 16.3%, increase from the same period a year ago. Gross profit increased to $140.2 million (70.2% gross margin) from $134.2 million (72.4% gross margin) in the prior year period due to the revenue increase of $14.3 million and a decrease in purchased intangible asset amortization of $1.0 million (roll-off of amortization from previous acquisitions in the prior year), offset partially by an increase in cloud infrastructure costs (increased $8.8 million) driven by increased customer usage and platform migration costs. U.S. gross margins decreased to 70.7% from 73.3% while International gross margins increased to 61.9% from 57.3%.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 of revenue was $117.9 million for the six months ended September 30, 2025, a $14.9 million, or 14.5%, increase from the same period a year ago. Gross profit increased to $276.7 million (70.1% gross margin) from $258.5 million (71.5% gross margin) in the prior period due to the revenue increase of $33.2 million and a decrease in purchased intangible asset amortization of $2.1 million (roll-off of amortization from previous acquisitions in the prior year), offset partially by an increase in cloud infrastructure costs (increased $15.6 million) driven by increased customer usage and platform migration costs. U.S. gross margins decreased to 70.6% from 72.4%, and International gross margins increased to 61.2% from 56.4%.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operating expenses for each of the periods reported is presented below (dollars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1"/>
        <w:gridCol w:w="555"/>
        <w:gridCol w:w="557"/>
        <w:gridCol w:w="109"/>
        <w:gridCol w:w="109"/>
        <w:gridCol w:w="109"/>
        <w:gridCol w:w="211"/>
        <w:gridCol w:w="856"/>
        <w:gridCol w:w="109"/>
        <w:gridCol w:w="109"/>
        <w:gridCol w:w="109"/>
        <w:gridCol w:w="109"/>
        <w:gridCol w:w="211"/>
        <w:gridCol w:w="856"/>
        <w:gridCol w:w="109"/>
        <w:gridCol w:w="109"/>
        <w:gridCol w:w="109"/>
        <w:gridCol w:w="109"/>
        <w:gridCol w:w="263"/>
        <w:gridCol w:w="263"/>
        <w:gridCol w:w="261"/>
        <w:gridCol w:w="109"/>
        <w:gridCol w:w="109"/>
        <w:gridCol w:w="109"/>
        <w:gridCol w:w="211"/>
        <w:gridCol w:w="856"/>
        <w:gridCol w:w="109"/>
        <w:gridCol w:w="109"/>
        <w:gridCol w:w="109"/>
        <w:gridCol w:w="109"/>
        <w:gridCol w:w="211"/>
        <w:gridCol w:w="856"/>
        <w:gridCol w:w="109"/>
        <w:gridCol w:w="109"/>
        <w:gridCol w:w="109"/>
        <w:gridCol w:w="109"/>
        <w:gridCol w:w="224"/>
        <w:gridCol w:w="224"/>
        <w:gridCol w:w="321"/>
      </w:tblGrid>
      <w:tr>
        <w:trPr/>
        <w:tc>
          <w:tcPr>
            <w:tcW w:w="8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(“R&amp;D”) expense includes operating expenses for the Company’s engineering and product/project management functions supporting research, new development, and related product enhancement.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R&amp;D expenses were $37.0 million for the three months ended September 30, 2025, a decrease of $6.9 million, or 15.8%, compared to the same period a year ago, and are 18.5% of total revenues compared to 23.7% in the prior year. The decrease is primarily due to stock-based compensation expense (decreased $4.4 million), headcount-related expenses (decreased $2.5 million) and professional services (decreased $0.5 million), offset partially by cloud R&amp;D hosting expenses (increased $1.1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R&amp;D expenses were $76.6 million for the six months ended September 30, 2025, a decrease of $11.4 million, or 13.0%, compared to the same period a year ago, and are 19.4% of total revenues compared to 24.3% in the prior year. The decrease is primarily due to stock-based compensation expense (decreased $6.3 million) and headcount-related expenses (decreased $4.9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and marketing (“S&amp;M”) expense includes operating expenses for the Company’s sales, marketing, and product marketing functions. S&amp;M expense also includes provisions for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S&amp;M expenses were $48.7 million for the three months ended September 30, 2025, a decrease of $2.4 million, or 4.7%, compared to the same period a year ago, and are 24.4% of total revenues compared to 27.6% in the prior year. The decrease is primarily due to stock-based compensation expense (decreased $1.9 million) and headcount-related expenses (decreased $0.3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S&amp;M expenses were $100.6 million for the six months ended September 30, 2025, a decrease of $4.7 million, or 4.5%, compared to the same period a year ago, and are 25.5% of total revenues compared to 29.1% in the prior year. The decrease is primarily due to stock-based compensation expense (decreased $3.0 million), headcount-related expenses (decreased $1.2 million), and third-party marketing and event expenses (decreased $0.6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("G&amp;A") expense represents operating expenses for the Company's finance, human resources, legal, corporate IT, and other corporate administrative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G&amp;A expenses were $33.2 million for the three months ended September 30, 2025, an increase of $1.8 million, or 5.7%, compared to the same period a year ago, and are 16.6% of total revenues compared to 16.9% in the prior year. The increase is primarily due to professional services (increased $2.7 million) largely related to litigation costs, including those associated with the class action lawsuit, and fees in support of strategic corporate initiatives, and incentive compensation (increased $1.4 million) offset partially by stock-based compensation expense (decreased $2.2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G&amp;A expenses were $70.5 million for the six months ended September 30, 2025, an increase of $8.2 million, or 13.1%, compared to the same period a year ago, and are 17.9% of total revenues compared to 17.2% in the prior year. The increase is primarily due to professional services expenses (increased $7.1 million) largely related to litigation costs, including those associated with the class action lawsuit, and fees in support of strategic corporate initiatives, headcount-related expenses (increased $1.9 million, primarily incentive compensation), offset partially by stock-based compensation expense (decreased $1.9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Gains, losses, and other items, net represents restructuring costs and other adjustments.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Gains, losses and other items, net was $0.0 million for the three months ended September 30, 2025, a decrease of $0.4 million compared to the same period a year ago. The prior year was all related to employee termination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Gains, losses and other items, net was $0.4 million for the six months ended September 30, 2025, a decrease of $0.2 million compared to the same period a year ago. The current year relates primarily to adjustments to previous lease restructuring reserves while the prior year costs are primarily related to termination benefits for employees whose positions were eliminated.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from Operations and Operating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Income from operations was $21.4 million for the three months ended September 30, 2025 compared to income from operations of $7.5 million in the same period a year ago. Operating margin was 10.7% compared to 4.0% in the same period a year ago. Margins in the current year were positively impacted by the decrease in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Income from operations was $28.6 million for the six months ended September 30, 2025 compared to income from operations of $2.2 million in the same period a year ago. Operating margin was 7.3% compared to 0.6% in the same period a year ago. Margins in the current year were positively impacted by the decrease in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Total Other Income and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was $3.5 million for the three months ended September 30, 2025 compared to total other income, net of $4.2 million in the same period a year ago. Total other income, net was $7.3 million for the six months ended September 30, 2025 compared to $8.6 million in the same period a year ago. The decrease is primarily attributable to lower invested cash balances and lower interest rates in the current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was $2.4 million on income from continuing operations before income taxes of $25.0 million for the three months ended September 30, 2025, resulting in a negative 9.8% effective tax rate. This compares to income tax expense of $10.0 million on income from continuing operations before income taxes of $11.7 million, or an 85.2% effective tax rate in the same period a year ago. The current year period benefited from the enactment of new tax laws, as described below. The prior year tax rate reflects the impact of the capitalization of research and development expenditures in accordance with Internal Revenue Code ("IRC") Section 174, as modified by the Tax Cuts and Jobs Act of 2017, without a corresponding deferred tax benefit. Income tax expense was $0.7 million on income from continuing operations before income taxes of $35.9 million for the six months ended September 30, 2025, resulting in a 2.0% effective tax rate. This compares to income tax expense of $16.6 million on income from continuing operations before income taxes of $10.9 million, or a 152.9% effective tax rate in the same period a year ago. Income tax expense (benefit) for all periods reflects the impact of the valuation allowance and nondeductible stock-based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4, 2025, H.R. 1, also known as “The One Big Beautiful Bill” Act (the "2025 Tax Act"), was signed into law in the U.S. The 2025 Tax Act includes provisions that allow for the immediate expensing of domestic research and development expenditures, immediate expensing of certain capital expenditures, and other changes to the U.S. taxation of profits derived from foreign operations. Under the 2025 Tax Act's transition rules, IRC Section 174A allows certain unamortized domestic research and development expenditures to be deducted over one or two years, at the taxpayer's election. In accordance with IRC Section 174, foreign research and development expenditures are still required to be capitalized and amortized over 15 years. Due to the valuation allowance, the Company has not recorded a deferred tax benefit for future amortization deductions.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Given the Company's recent history of profitability,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the recognition of certain deferred tax assets and a decrease to income tax expense for the period the release is recorded.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newly enacted 2025 Tax Act has multiple effective dates, with certain changes taking effect during our fiscal year ending March 31, 2026. The estimated impact of provisions taking effect during fiscal 2026 has been reflected in the provision for income taxes for the quarter ended September 30, 2025. The 2025 Tax Act caused a material decrease in the Company’s effective tax rate for the three and six months ended September 30, 2025. We also expect a material decrease in cash tax payments for fiscal 2026 due to the new law. Given the complexity and various upcoming effective dates of the 2025 Tax Act, we are still in the process of assessing its impact on our consolidated financial statements. The final impact may differ from our current estimates based on further analysis, regulatory guidance, and any legislative changes.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Capital Resources and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cash and cash equivalents are primarily located in the United States.  At September 30, 2025, approximately $25.6 million of the total cash balance of $369.4 million, or approximately 6.9%, was located outside of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 accounts receivable, net balances were $216.8 million at September 30, 2025, an increase of $30.6 million, compared to $186.2 million at March 31, 2025. Days sales outstanding ("DSO"), a measurement of the time it takes to collect receivables, was 100 days at September 30, 2025, compared to 89 days at March 31, 2025.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2025, DSO at September 30, 2025 was negatively impacted by approximately eight days due to the increased impact of Data Marketplace gross accounts receivable. All customer accounts are actively managed, and no losses in excess of amounts reserved are currently expected.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Working capital at September 30, 2025 totaled $409.7 million, a $1.0 million increase when compared to $408.7 million at March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believes that the Company's existing available cash will be sufficient to meet the Company's working capital and capital expenditure requirements for the short term (the next 12 months) and separately in the long term (beyond the next 12 months). However, in light of the recent tariffs and other trade restrictions, risk of recession, the military conflicts in Europe and the Middle East, cost increases, high interest rates,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the periods reported (dollars in thousands): </w:t>
      </w:r>
    </w:p>
    <w:tbl>
      <w:tblPr>
        <w:tblW w:w="7415" w:type="dxa"/>
        <w:jc w:val="left"/>
        <w:tblInd w:w="0" w:type="dxa"/>
        <w:tblLayout w:type="fixed"/>
        <w:tblCellMar>
          <w:top w:w="28" w:type="dxa"/>
          <w:left w:w="28" w:type="dxa"/>
          <w:bottom w:w="28" w:type="dxa"/>
          <w:right w:w="28" w:type="dxa"/>
        </w:tblCellMar>
      </w:tblPr>
      <w:tblGrid>
        <w:gridCol w:w="1614"/>
        <w:gridCol w:w="1415"/>
        <w:gridCol w:w="1425"/>
        <w:gridCol w:w="109"/>
        <w:gridCol w:w="109"/>
        <w:gridCol w:w="109"/>
        <w:gridCol w:w="211"/>
        <w:gridCol w:w="811"/>
        <w:gridCol w:w="109"/>
        <w:gridCol w:w="109"/>
        <w:gridCol w:w="109"/>
        <w:gridCol w:w="109"/>
        <w:gridCol w:w="211"/>
        <w:gridCol w:w="811"/>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503"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flows from operating activities are primarily influenced by growth in our operations, increases or decreases in collections from our customers, and related payments to our suppliers and employees. The timing of cash receipts from customers and payments to suppliers and employees can significantly impact our cash flows from operating activities. Our collection and payment cycles can vary from period to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for the six months ended September 30, 2025 was $41.6 million and resulted primarily from operating results adjusted for non-cash items of $90.3 million offset by unfavorable changes in operating assets and liabilities of $48.7 million. Net cash used by changes in operating assets and liabilities was primarily related to an increase in accounts receivable of $31.9 million and a decrease in accounts payable and other liabilities of $24.1 million. The change in accounts receivable is primarily due to revenue growth and the timing of cash receipts from customers. The change in accounts payable and other liabilities is primarily due to the payment of annual incentive compensation awards for fiscal year 2025 and the timing of payments to suppliers.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for the six months ended September 30, 2024 was $46.3 million and resulted primarily from operating results adjusted for non-cash items of $61.6 million offset by unfavorable changes in operating assets and liabilities of $15.3 million. Net cash provided by changes in operating assets and liabilities was primarily related to a decrease in accounts payable and other liabilities of $32.0 million primarily due to the payment of annual incentive compensation awards for fiscal year 2024 and the timing of payments to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for the six months ended September 30, 2025 was $2.0 million and consisted of capital expenditures of $0.9 million, net cash paid in acquisitions of $0.6 million related primarily to the Habu escrow release, and purchases of strategic investments for $0.5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for the six months ended September 30, 2024 was $22.2 million and consisted of the proceeds from the sales of short-term investments of $25.0 million, partially offset by purchases of short-term investments of $2.0 million, capital expenditures of $0.5 million and the purchases of strategic investments of $0.4 million.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financing activities have consisted of acquisition of treasury stock, proceeds from our equity compensation plans, and shares repurchased for tax withholdings upon vesting of stock-based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for the six months ended September 30, 2025 was $85.1 million and consisted of the acquisition of treasury shares pursuant to the board of directors' approved stock repurchase plan, and related excise tax payments, of $79.8 million (2.9 million shares), and $11.7 million for shares repurchased for tax withholdings upon vesting of stock-based awards. These uses of cash were partially offset by $6.3 million of proceeds from the sale of common stock from our equity compensation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 for the six months ended September 30, 2024 was $67.1 million and consisted of the acquisition of treasury shares pursuant to the board of directors' approved stock repurchase plan of $65.7 million (2.4 million shares), and $7.7 million for shares repurchased for tax withholdings upon vesting of stock-based awards. These uses of cash were partially offset by $6.3 million of proceeds from the sale of common stock from our equity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Common Stock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six months ended September 30, 2025, the Company repurchased 2.9 million shares of its common stock for $79.6 million under the modified common stock repurchase program. The repurchase amounts included in the fiscal 2026 condensed consolidated statements of stockholders equity and the condensed consolidated statements of cash flows included amounts related to the 1% excise tax on share repurchases, net of share issuances, as a result of the Inflation Reduction Act of 2022. Through September 30, 2025, the Company had repurchased a total of 44.4 million shares of its common stock for $1.1 billion under the program, leaving remaining capacity of $176.6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Contractual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the Company’s contractual cash obligations and purchase commitments at September 30, 2025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$31.5 million as the Company is not able to predict the periods in which the payments will be made. The amount for 2026 represents the remaining six months ending March 31, 2026. All other periods represent fiscal years ending March 31.</w:t>
      </w:r>
    </w:p>
    <w:tbl>
      <w:tblPr>
        <w:tblW w:w="10205" w:type="dxa"/>
        <w:jc w:val="left"/>
        <w:tblInd w:w="0" w:type="dxa"/>
        <w:tblLayout w:type="fixed"/>
        <w:tblCellMar>
          <w:top w:w="28" w:type="dxa"/>
          <w:left w:w="28" w:type="dxa"/>
          <w:bottom w:w="28" w:type="dxa"/>
          <w:right w:w="28" w:type="dxa"/>
        </w:tblCellMar>
      </w:tblPr>
      <w:tblGrid>
        <w:gridCol w:w="363"/>
        <w:gridCol w:w="319"/>
        <w:gridCol w:w="320"/>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6"/>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r>
      <w:tr>
        <w:trPr/>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Future minimum payments as of September 30, 2025 related to restructuring plans as a result of the Company's exit from certain leased office facilities are (dollars in thousands): Fiscal 2026: $450.</w:t>
      </w:r>
    </w:p>
    <w:p>
      <w:pPr>
        <w:pStyle w:val="TextBody"/>
        <w:bidi w:val="0"/>
        <w:spacing w:before="0" w:after="0"/>
        <w:jc w:val="left"/>
        <w:rPr/>
      </w:pPr>
      <w:r>
        <w:rPr/>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description of certain risks that could have an impact on results of operations or financial condition, including liquidity and capital resources, see “Risk Factors” contained in Part I, Item 1A, of the Company's 2025 Annual Report on Form 10-K as filed with the Securities and Exchange Commission ("SEC") on May 21, 2025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Non-U.S.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has a material presence in the United Kingdom, France, the Netherlands, India, Australia and China.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Critical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prepare our condensed consolidated financial statements in conformity with U.S. GAAP as set forth in the FASB ASC, and we consider the various staff accounting bulletins and other applicable guidance issued by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2025 Annual Report include a summary of significant accounting policies used in the preparation of the Company’s consolidated financial statements. In addition, the Management’s Discussion and Analysis of Financial Condition and Results of Operations filed as part of the 2025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2025 Annual Report other than as described in the "Accounting Pronouncements Adopted During the Current Year" section of Note 1, "Organization and Summary of Significant Accounting Policies”, of the Notes to Condensed Consolidated Financial Statements accompanying this Quarterly Report on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information on recent accounting pronouncements, see “Accounting Pronouncements Adopted During the Current Year" and “Recent Accounting Pronouncements Not Yet Adopted” under Note 1, “Organization and Summary of Significant Accounting Policies”, of the Notes to Condensed Consolidated Financial Statements accompanying this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there have been no material changes in our market risk exposures for the six months ended September 30, 2025, as compared with those discussed in the 2025 Annual Report.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September 30, 2025, our disclosure controls and procedures were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(as defined in Rules 13a-15(f) and 15d-15(f) under the Exchange Act) that occurred during the fiscal quarter ended September 30, 2025 that have materially affected, or are reasonably likely to materially affect, our internal control over financial reporting.</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set forth under Note 14, “Commitments and Contingencies”, to our unaudited condensed consolidated financial statements in Part I, Item 1 of this Quarterly Report on Form 10-Q and is incorporated herein by reference.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risks described in Part I, Item 1A, “Risk Factors” in the 2025 Annual Report, remain current in all material respects.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risk factors in the 2025 Annual Report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c.The table below provides information regarding purchases by LiveRamp of its common stock during the periods indicated.</w:t>
      </w:r>
    </w:p>
    <w:tbl>
      <w:tblPr>
        <w:tblW w:w="10205" w:type="dxa"/>
        <w:jc w:val="left"/>
        <w:tblInd w:w="0" w:type="dxa"/>
        <w:tblLayout w:type="fixed"/>
        <w:tblCellMar>
          <w:top w:w="28" w:type="dxa"/>
          <w:left w:w="28" w:type="dxa"/>
          <w:bottom w:w="28" w:type="dxa"/>
          <w:right w:w="28" w:type="dxa"/>
        </w:tblCellMar>
      </w:tblPr>
      <w:tblGrid>
        <w:gridCol w:w="844"/>
        <w:gridCol w:w="309"/>
        <w:gridCol w:w="311"/>
        <w:gridCol w:w="109"/>
        <w:gridCol w:w="109"/>
        <w:gridCol w:w="109"/>
        <w:gridCol w:w="733"/>
        <w:gridCol w:w="385"/>
        <w:gridCol w:w="387"/>
        <w:gridCol w:w="109"/>
        <w:gridCol w:w="109"/>
        <w:gridCol w:w="109"/>
        <w:gridCol w:w="251"/>
        <w:gridCol w:w="769"/>
        <w:gridCol w:w="129"/>
        <w:gridCol w:w="109"/>
        <w:gridCol w:w="109"/>
        <w:gridCol w:w="109"/>
        <w:gridCol w:w="763"/>
        <w:gridCol w:w="763"/>
        <w:gridCol w:w="764"/>
        <w:gridCol w:w="109"/>
        <w:gridCol w:w="109"/>
        <w:gridCol w:w="109"/>
        <w:gridCol w:w="327"/>
        <w:gridCol w:w="1914"/>
        <w:gridCol w:w="248"/>
      </w:tblGrid>
      <w:tr>
        <w:trPr/>
        <w:tc>
          <w:tcPr>
            <w:tcW w:w="8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w:t>
              <w:br/>
              <w:b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w:t>
              <w:br/>
              <w:b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w:t>
              <w:br/>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w:t>
              <w:br/>
              <w:br/>
              <w:t>Maximum Number (or Approximate Dollar Value) of Shares that May Yet Be Purchased Under the Plans or Programs (2)</w:t>
            </w:r>
          </w:p>
        </w:tc>
      </w:tr>
      <w:tr>
        <w:trPr/>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226,313,638 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1,449,830 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1,449,830 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187,237,314 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384,351 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384,351 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176,551,043 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1,834,181 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1,834,181 </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29, 2011, the board of directors adopted a common stock repurchase program.  That program was subsequently modified and expanded, most recently on August 14, 2024.  Under the modified common stock repurchase program, the Company may purchase up to $1.3 billion of its common stock through the period ending December 31, 2026. Through September 30, 2025, the Company had repurchased a total of 44.4 million shares of its common stock for $1.1 billion, leaving remaining capacity of $176.6 million under the stock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Average price paid includes costs associated with the repurchases, excluding the 1% excise tax as a result of the Inflation Reduction Act of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Amounts presented exclude the 1% excise tax as a result of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ind w:left="0" w:right="0" w:firstLine="126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During the three months ended September 30, 2025, none of the Company’s directors or officers (as defined in Rule 16a-1(f) under the Exchange Act) adopted or terminated a Rule 10b5-1 trading arrangement or non-Rule 10b5-1 trading arrangement (as such terms are defined in Item 408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filed with this Quarterly Report on Form 10-Q: </w:t>
      </w:r>
    </w:p>
    <w:p>
      <w:pPr>
        <w:pStyle w:val="TextBody"/>
        <w:bidi w:val="0"/>
        <w:spacing w:lineRule="auto" w:line="288" w:before="0" w:after="0"/>
        <w:ind w:left="0" w:right="0" w:firstLine="12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
        <w:gridCol w:w="261"/>
        <w:gridCol w:w="109"/>
        <w:gridCol w:w="109"/>
        <w:gridCol w:w="109"/>
        <w:gridCol w:w="109"/>
        <w:gridCol w:w="2794"/>
        <w:gridCol w:w="2659"/>
        <w:gridCol w:w="3760"/>
      </w:tblGrid>
      <w:tr>
        <w:trPr/>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2005 Equity Compensation Plan of LiveRamp Holdings, Inc. (previously filed on August 15, 2025 as Exhibit 10.1 to the Company's Current Report on Form 8-K, Commission File No. 001-38669, and incorporated herein by reference).</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11ceosection302c.htm">
              <w:r>
                <w:rPr>
                  <w:rStyle w:val="InternetLink"/>
                  <w:rFonts w:ascii="Arial;sans-serif" w:hAnsi="Arial;sans-serif"/>
                  <w:b w:val="false"/>
                  <w:color w:val="0000FF"/>
                  <w:sz w:val="20"/>
                  <w:u w:val="single"/>
                </w:rPr>
                <w:t>Certification of Chief Executive Officer (principal executive officer) pursuant to SEC Rule 13a-14(a)/15d-14(a), as adopted pursuant to Sections 302 and 404 of the Sarbanes-Oxley Act of 2002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12cfosection302c.htm">
              <w:r>
                <w:rPr>
                  <w:rStyle w:val="InternetLink"/>
                  <w:rFonts w:ascii="Arial;sans-serif" w:hAnsi="Arial;sans-serif"/>
                  <w:b w:val="false"/>
                  <w:color w:val="0000FF"/>
                  <w:sz w:val="20"/>
                  <w:u w:val="single"/>
                </w:rPr>
                <w:t>Certification of Chief Financial Officer (principal financial and accounting officer) pursuant to SEC Rule 13a-14(a)/15d-14(a), as adopted pursuant to Sections 302 and 404 of the Sarbanes-Oxley Act of 2002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21ceosection1350.htm">
              <w:r>
                <w:rPr>
                  <w:rStyle w:val="InternetLink"/>
                  <w:rFonts w:ascii="Arial;sans-serif" w:hAnsi="Arial;sans-serif"/>
                  <w:b w:val="false"/>
                  <w:color w:val="0000FF"/>
                  <w:sz w:val="20"/>
                  <w:u w:val="single"/>
                </w:rPr>
                <w:t xml:space="preserve">Certification of Chief Executive Officer (principal executive officer) pursuant to 18 U.S.C. Section 1350, as adopted pursuant to Section 906 of the Sarbanes-Oxley Act of 2002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22cfosection1350.htm">
              <w:r>
                <w:rPr>
                  <w:rStyle w:val="InternetLink"/>
                  <w:rFonts w:ascii="Arial;sans-serif" w:hAnsi="Arial;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0"/>
              </w:rPr>
              <w:t>The following financial information from our Quarterly Report on Form 10-Q for the quarter ended September 30, 2025, formatted in inline XBRL: (i) Condensed Consolidated Balance Sheets at September 30, 2025 and March 31, 2025, (ii) Condensed Consolidated Statements of Operations for the Three and Six Months Ended September 30, 2025 and 2024,</w:t>
            </w:r>
            <w:r>
              <w:rPr>
                <w:color w:val="000000"/>
              </w:rPr>
              <w:t xml:space="preserve"> </w:t>
            </w:r>
            <w:r>
              <w:rPr>
                <w:rFonts w:ascii="Arial;sans-serif" w:hAnsi="Arial;sans-serif"/>
                <w:b w:val="false"/>
                <w:color w:val="000000"/>
                <w:sz w:val="20"/>
              </w:rPr>
              <w:t>(iii) Condensed Consolidated Statements of Comprehensive Income (Loss) for the Three and Six Months Ended September 30, 2025 and 2024, (iv) Condensed Consolidated Statements of Equity for the Three and Six Months Ended September 30, 2025, (v) Condensed Consolidated Statements of Equity for the Three and Six Months Ended September 30, 2024, (vi) Condensed Consolidated Statements of Cash Flows for the Six Months Ended September 30, 2025 and 2024, and (vii) the Notes to Condensed Consolidated Financial Statements, tagged in detail.</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0" w:after="60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335" w:type="dxa"/>
        <w:jc w:val="left"/>
        <w:tblInd w:w="0" w:type="dxa"/>
        <w:tblLayout w:type="fixed"/>
        <w:tblCellMar>
          <w:top w:w="28" w:type="dxa"/>
          <w:left w:w="28" w:type="dxa"/>
          <w:bottom w:w="28" w:type="dxa"/>
          <w:right w:w="28" w:type="dxa"/>
        </w:tblCellMar>
      </w:tblPr>
      <w:tblGrid>
        <w:gridCol w:w="846"/>
        <w:gridCol w:w="745"/>
        <w:gridCol w:w="748"/>
        <w:gridCol w:w="424"/>
        <w:gridCol w:w="424"/>
        <w:gridCol w:w="424"/>
        <w:gridCol w:w="1376"/>
        <w:gridCol w:w="1376"/>
        <w:gridCol w:w="1972"/>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HOLDINGS, INC.</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Dated: November 5, 2025</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ind w:left="0" w:right="0" w:firstLine="126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Scott E. Howe,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firstLine="360"/>
        <w:jc w:val="left"/>
        <w:rPr/>
      </w:pPr>
      <w:r>
        <w:rPr/>
      </w:r>
    </w:p>
    <w:tbl>
      <w:tblPr>
        <w:tblW w:w="4917" w:type="dxa"/>
        <w:jc w:val="left"/>
        <w:tblInd w:w="0" w:type="dxa"/>
        <w:tblLayout w:type="fixed"/>
        <w:tblCellMar>
          <w:top w:w="28" w:type="dxa"/>
          <w:left w:w="28" w:type="dxa"/>
          <w:bottom w:w="28" w:type="dxa"/>
          <w:right w:w="28" w:type="dxa"/>
        </w:tblCellMar>
      </w:tblPr>
      <w:tblGrid>
        <w:gridCol w:w="847"/>
        <w:gridCol w:w="745"/>
        <w:gridCol w:w="747"/>
        <w:gridCol w:w="134"/>
        <w:gridCol w:w="134"/>
        <w:gridCol w:w="136"/>
        <w:gridCol w:w="634"/>
        <w:gridCol w:w="634"/>
        <w:gridCol w:w="906"/>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E. Howe</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ind w:left="0" w:right="0" w:firstLine="1260"/>
        <w:jc w:val="center"/>
        <w:rPr/>
      </w:pPr>
      <w:r>
        <w:rPr>
          <w:color w:val="000000"/>
        </w:rPr>
        <w:t> </w:t>
      </w: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Lauren Dillard,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jc w:val="left"/>
        <w:rPr>
          <w:color w:val="000000"/>
        </w:rPr>
      </w:pPr>
      <w:r>
        <w:rPr>
          <w:color w:val="000000"/>
        </w:rPr>
        <w:t> </w:t>
      </w:r>
    </w:p>
    <w:tbl>
      <w:tblPr>
        <w:tblW w:w="7467" w:type="dxa"/>
        <w:jc w:val="left"/>
        <w:tblInd w:w="0" w:type="dxa"/>
        <w:tblLayout w:type="fixed"/>
        <w:tblCellMar>
          <w:top w:w="28" w:type="dxa"/>
          <w:left w:w="28" w:type="dxa"/>
          <w:bottom w:w="28" w:type="dxa"/>
          <w:right w:w="28" w:type="dxa"/>
        </w:tblCellMar>
      </w:tblPr>
      <w:tblGrid>
        <w:gridCol w:w="847"/>
        <w:gridCol w:w="745"/>
        <w:gridCol w:w="747"/>
        <w:gridCol w:w="134"/>
        <w:gridCol w:w="134"/>
        <w:gridCol w:w="136"/>
        <w:gridCol w:w="1380"/>
        <w:gridCol w:w="1380"/>
        <w:gridCol w:w="196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Quarterly Report on Form 10-Q of LiveRamp Holdings, Inc. (the “Company”) for the period ending September 30, 2025 as filed with the Securities and Exchange Commission on the date hereof (the “Report”), I, Scott E. Howe, Chief Executive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4"/>
        <w:gridCol w:w="634"/>
        <w:gridCol w:w="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Quarterly Report on Form 10-Q of LiveRamp Holdings, Inc. (the “Company”) for the period ending September 30, 2025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067" w:type="dxa"/>
        <w:jc w:val="left"/>
        <w:tblInd w:w="0" w:type="dxa"/>
        <w:tblLayout w:type="fixed"/>
        <w:tblCellMar>
          <w:top w:w="28" w:type="dxa"/>
          <w:left w:w="28" w:type="dxa"/>
          <w:bottom w:w="28" w:type="dxa"/>
          <w:right w:w="28" w:type="dxa"/>
        </w:tblCellMar>
      </w:tblPr>
      <w:tblGrid>
        <w:gridCol w:w="124"/>
        <w:gridCol w:w="109"/>
        <w:gridCol w:w="109"/>
        <w:gridCol w:w="1381"/>
        <w:gridCol w:w="1381"/>
        <w:gridCol w:w="1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33269/000110465925079024/tm2523564d1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19972</Words>
  <Characters>112469</Characters>
  <CharactersWithSpaces>131046</CharactersWithSpaces>
  <Paragraphs>2800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