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Washington, D.C. 20549</w:t>
      </w:r>
    </w:p>
    <w:p>
      <w:pPr>
        <w:spacing w:after="0" w:line="174"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FORM 10-K</w:t>
      </w:r>
    </w:p>
    <w:p>
      <w:pPr>
        <w:spacing w:after="0" w:line="214"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(Mark One)</w:t>
      </w:r>
    </w:p>
    <w:p>
      <w:pPr>
        <w:spacing w:after="0" w:line="59"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ANNUAL REPORT PURSUANT TO SECTION 13 OR 15(d) OF THE SECURITIES EXCHANGE ACT OF 1934</w:t>
      </w:r>
    </w:p>
    <w:p>
      <w:pPr>
        <w:spacing w:after="0" w:line="154" w:lineRule="exact"/>
        <w:rPr>
          <w:sz w:val="24"/>
          <w:szCs w:val="24"/>
          <w:color w:val="auto"/>
        </w:rPr>
      </w:pPr>
    </w:p>
    <w:p>
      <w:pPr>
        <w:jc w:val="center"/>
        <w:ind w:left="520"/>
        <w:spacing w:after="0"/>
        <w:rPr>
          <w:sz w:val="20"/>
          <w:szCs w:val="20"/>
          <w:color w:val="auto"/>
        </w:rPr>
      </w:pPr>
      <w:r>
        <w:rPr>
          <w:rFonts w:ascii="Arial" w:cs="Arial" w:eastAsia="Arial" w:hAnsi="Arial"/>
          <w:sz w:val="16"/>
          <w:szCs w:val="16"/>
          <w:color w:val="auto"/>
        </w:rPr>
        <w:t>For the fiscal year ended March 31, 2020</w:t>
      </w:r>
    </w:p>
    <w:p>
      <w:pPr>
        <w:spacing w:after="0" w:line="19" w:lineRule="exact"/>
        <w:rPr>
          <w:sz w:val="24"/>
          <w:szCs w:val="24"/>
          <w:color w:val="auto"/>
        </w:rPr>
      </w:pPr>
    </w:p>
    <w:p>
      <w:pPr>
        <w:jc w:val="center"/>
        <w:ind w:left="480"/>
        <w:spacing w:after="0"/>
        <w:rPr>
          <w:sz w:val="20"/>
          <w:szCs w:val="20"/>
          <w:color w:val="auto"/>
        </w:rPr>
      </w:pPr>
      <w:r>
        <w:rPr>
          <w:rFonts w:ascii="Arial" w:cs="Arial" w:eastAsia="Arial" w:hAnsi="Arial"/>
          <w:sz w:val="16"/>
          <w:szCs w:val="16"/>
          <w:color w:val="auto"/>
        </w:rPr>
        <w:t>OR</w:t>
      </w:r>
    </w:p>
    <w:p>
      <w:pPr>
        <w:spacing w:after="0" w:line="46" w:lineRule="exact"/>
        <w:rPr>
          <w:sz w:val="24"/>
          <w:szCs w:val="24"/>
          <w:color w:val="auto"/>
        </w:rPr>
      </w:pPr>
    </w:p>
    <w:p>
      <w:pPr>
        <w:ind w:left="4440" w:right="2340" w:hanging="4414"/>
        <w:spacing w:after="0" w:line="436" w:lineRule="auto"/>
        <w:tabs>
          <w:tab w:leader="none" w:pos="397"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 to -----</w:t>
      </w:r>
    </w:p>
    <w:p>
      <w:pPr>
        <w:spacing w:after="0" w:line="47" w:lineRule="exact"/>
        <w:rPr>
          <w:sz w:val="24"/>
          <w:szCs w:val="24"/>
          <w:color w:val="auto"/>
        </w:rPr>
      </w:pPr>
    </w:p>
    <w:p>
      <w:pPr>
        <w:jc w:val="center"/>
        <w:ind w:right="-239"/>
        <w:spacing w:after="0"/>
        <w:rPr>
          <w:sz w:val="20"/>
          <w:szCs w:val="20"/>
          <w:color w:val="auto"/>
        </w:rPr>
      </w:pPr>
      <w:r>
        <w:rPr>
          <w:rFonts w:ascii="Arial" w:cs="Arial" w:eastAsia="Arial" w:hAnsi="Arial"/>
          <w:sz w:val="16"/>
          <w:szCs w:val="16"/>
          <w:color w:val="auto"/>
        </w:rPr>
        <w:t>Commission file number 001-38669</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LiveRamp Holdings,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jc w:val="center"/>
              <w:ind w:right="82"/>
              <w:spacing w:after="0"/>
              <w:rPr>
                <w:sz w:val="20"/>
                <w:szCs w:val="20"/>
                <w:color w:val="auto"/>
              </w:rPr>
            </w:pPr>
            <w:r>
              <w:rPr>
                <w:rFonts w:ascii="Arial" w:cs="Arial" w:eastAsia="Arial" w:hAnsi="Arial"/>
                <w:sz w:val="16"/>
                <w:szCs w:val="16"/>
                <w:b w:val="1"/>
                <w:bCs w:val="1"/>
                <w:color w:val="auto"/>
              </w:rPr>
              <w:t>Delaware</w:t>
            </w:r>
          </w:p>
        </w:tc>
        <w:tc>
          <w:tcPr>
            <w:tcW w:w="1960" w:type="dxa"/>
            <w:vAlign w:val="bottom"/>
          </w:tcPr>
          <w:p>
            <w:pPr>
              <w:spacing w:after="0"/>
              <w:rPr>
                <w:sz w:val="16"/>
                <w:szCs w:val="16"/>
                <w:color w:val="auto"/>
              </w:rPr>
            </w:pPr>
          </w:p>
        </w:tc>
        <w:tc>
          <w:tcPr>
            <w:tcW w:w="4340" w:type="dxa"/>
            <w:vAlign w:val="bottom"/>
          </w:tcPr>
          <w:p>
            <w:pPr>
              <w:jc w:val="right"/>
              <w:ind w:right="1722"/>
              <w:spacing w:after="0"/>
              <w:rPr>
                <w:sz w:val="20"/>
                <w:szCs w:val="20"/>
                <w:color w:val="auto"/>
              </w:rPr>
            </w:pPr>
            <w:r>
              <w:rPr>
                <w:rFonts w:ascii="Arial" w:cs="Arial" w:eastAsia="Arial" w:hAnsi="Arial"/>
                <w:sz w:val="16"/>
                <w:szCs w:val="16"/>
                <w:b w:val="1"/>
                <w:bCs w:val="1"/>
                <w:color w:val="auto"/>
              </w:rPr>
              <w:t>83-1269307</w:t>
            </w:r>
          </w:p>
        </w:tc>
        <w:tc>
          <w:tcPr>
            <w:tcW w:w="0" w:type="dxa"/>
            <w:vAlign w:val="bottom"/>
          </w:tcPr>
          <w:p>
            <w:pPr>
              <w:spacing w:after="0"/>
              <w:rPr>
                <w:sz w:val="1"/>
                <w:szCs w:val="1"/>
                <w:color w:val="auto"/>
              </w:rPr>
            </w:pPr>
          </w:p>
        </w:tc>
      </w:tr>
      <w:tr>
        <w:trPr>
          <w:trHeight w:val="195"/>
        </w:trPr>
        <w:tc>
          <w:tcPr>
            <w:tcW w:w="4680" w:type="dxa"/>
            <w:vAlign w:val="bottom"/>
          </w:tcPr>
          <w:p>
            <w:pPr>
              <w:jc w:val="center"/>
              <w:ind w:right="102"/>
              <w:spacing w:after="0"/>
              <w:rPr>
                <w:sz w:val="20"/>
                <w:szCs w:val="20"/>
                <w:color w:val="auto"/>
              </w:rPr>
            </w:pPr>
            <w:r>
              <w:rPr>
                <w:rFonts w:ascii="Arial" w:cs="Arial" w:eastAsia="Arial" w:hAnsi="Arial"/>
                <w:sz w:val="16"/>
                <w:szCs w:val="16"/>
                <w:color w:val="auto"/>
              </w:rPr>
              <w:t>(State or Other Jurisdiction of Incorporation or Organization)</w:t>
            </w:r>
          </w:p>
        </w:tc>
        <w:tc>
          <w:tcPr>
            <w:tcW w:w="1960" w:type="dxa"/>
            <w:vAlign w:val="bottom"/>
          </w:tcPr>
          <w:p>
            <w:pPr>
              <w:spacing w:after="0"/>
              <w:rPr>
                <w:sz w:val="16"/>
                <w:szCs w:val="16"/>
                <w:color w:val="auto"/>
              </w:rPr>
            </w:pPr>
          </w:p>
        </w:tc>
        <w:tc>
          <w:tcPr>
            <w:tcW w:w="4340" w:type="dxa"/>
            <w:vAlign w:val="bottom"/>
          </w:tcPr>
          <w:p>
            <w:pPr>
              <w:jc w:val="center"/>
              <w:ind w:right="42"/>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168"/>
        </w:trPr>
        <w:tc>
          <w:tcPr>
            <w:tcW w:w="4680" w:type="dxa"/>
            <w:vAlign w:val="bottom"/>
          </w:tcPr>
          <w:p>
            <w:pPr>
              <w:jc w:val="center"/>
              <w:ind w:right="82"/>
              <w:spacing w:after="0" w:line="168" w:lineRule="exact"/>
              <w:rPr>
                <w:sz w:val="20"/>
                <w:szCs w:val="20"/>
                <w:color w:val="auto"/>
              </w:rPr>
            </w:pPr>
            <w:r>
              <w:rPr>
                <w:rFonts w:ascii="Arial" w:cs="Arial" w:eastAsia="Arial" w:hAnsi="Arial"/>
                <w:sz w:val="16"/>
                <w:szCs w:val="16"/>
                <w:b w:val="1"/>
                <w:bCs w:val="1"/>
                <w:color w:val="auto"/>
              </w:rPr>
              <w:t>225 Bush Street, Seventeenth Floor</w:t>
            </w:r>
          </w:p>
        </w:tc>
        <w:tc>
          <w:tcPr>
            <w:tcW w:w="1960" w:type="dxa"/>
            <w:vAlign w:val="bottom"/>
          </w:tcPr>
          <w:p>
            <w:pPr>
              <w:spacing w:after="0"/>
              <w:rPr>
                <w:sz w:val="14"/>
                <w:szCs w:val="14"/>
                <w:color w:val="auto"/>
              </w:rPr>
            </w:pPr>
          </w:p>
        </w:tc>
        <w:tc>
          <w:tcPr>
            <w:tcW w:w="4340" w:type="dxa"/>
            <w:vAlign w:val="bottom"/>
            <w:vMerge w:val="restart"/>
          </w:tcPr>
          <w:p>
            <w:pPr>
              <w:jc w:val="right"/>
              <w:ind w:right="1922"/>
              <w:spacing w:after="0"/>
              <w:rPr>
                <w:sz w:val="20"/>
                <w:szCs w:val="20"/>
                <w:color w:val="auto"/>
              </w:rPr>
            </w:pPr>
            <w:r>
              <w:rPr>
                <w:rFonts w:ascii="Arial" w:cs="Arial" w:eastAsia="Arial" w:hAnsi="Arial"/>
                <w:sz w:val="16"/>
                <w:szCs w:val="16"/>
                <w:b w:val="1"/>
                <w:bCs w:val="1"/>
                <w:color w:val="auto"/>
              </w:rPr>
              <w:t>94104</w:t>
            </w:r>
          </w:p>
        </w:tc>
        <w:tc>
          <w:tcPr>
            <w:tcW w:w="0" w:type="dxa"/>
            <w:vAlign w:val="bottom"/>
          </w:tcPr>
          <w:p>
            <w:pPr>
              <w:spacing w:after="0"/>
              <w:rPr>
                <w:sz w:val="1"/>
                <w:szCs w:val="1"/>
                <w:color w:val="auto"/>
              </w:rPr>
            </w:pPr>
          </w:p>
        </w:tc>
      </w:tr>
      <w:tr>
        <w:trPr>
          <w:trHeight w:val="177"/>
        </w:trPr>
        <w:tc>
          <w:tcPr>
            <w:tcW w:w="4680" w:type="dxa"/>
            <w:vAlign w:val="bottom"/>
          </w:tcPr>
          <w:p>
            <w:pPr>
              <w:jc w:val="center"/>
              <w:ind w:right="82"/>
              <w:spacing w:after="0" w:line="178" w:lineRule="exact"/>
              <w:rPr>
                <w:sz w:val="20"/>
                <w:szCs w:val="20"/>
                <w:color w:val="auto"/>
              </w:rPr>
            </w:pPr>
            <w:r>
              <w:rPr>
                <w:rFonts w:ascii="Arial" w:cs="Arial" w:eastAsia="Arial" w:hAnsi="Arial"/>
                <w:sz w:val="16"/>
                <w:szCs w:val="16"/>
                <w:b w:val="1"/>
                <w:bCs w:val="1"/>
                <w:color w:val="auto"/>
              </w:rPr>
              <w:t>San Francisco, CA</w:t>
            </w:r>
          </w:p>
        </w:tc>
        <w:tc>
          <w:tcPr>
            <w:tcW w:w="1960" w:type="dxa"/>
            <w:vAlign w:val="bottom"/>
          </w:tcPr>
          <w:p>
            <w:pPr>
              <w:spacing w:after="0"/>
              <w:rPr>
                <w:sz w:val="15"/>
                <w:szCs w:val="15"/>
                <w:color w:val="auto"/>
              </w:rPr>
            </w:pPr>
          </w:p>
        </w:tc>
        <w:tc>
          <w:tcPr>
            <w:tcW w:w="4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680" w:type="dxa"/>
            <w:vAlign w:val="bottom"/>
          </w:tcPr>
          <w:p>
            <w:pPr>
              <w:jc w:val="center"/>
              <w:ind w:right="82"/>
              <w:spacing w:after="0"/>
              <w:rPr>
                <w:sz w:val="20"/>
                <w:szCs w:val="20"/>
                <w:color w:val="auto"/>
              </w:rPr>
            </w:pPr>
            <w:r>
              <w:rPr>
                <w:rFonts w:ascii="Arial" w:cs="Arial" w:eastAsia="Arial" w:hAnsi="Arial"/>
                <w:sz w:val="16"/>
                <w:szCs w:val="16"/>
                <w:color w:val="auto"/>
              </w:rPr>
              <w:t>(Address of Principal Executive Offices)</w:t>
            </w:r>
          </w:p>
        </w:tc>
        <w:tc>
          <w:tcPr>
            <w:tcW w:w="1960" w:type="dxa"/>
            <w:vAlign w:val="bottom"/>
          </w:tcPr>
          <w:p>
            <w:pPr>
              <w:spacing w:after="0"/>
              <w:rPr>
                <w:sz w:val="16"/>
                <w:szCs w:val="16"/>
                <w:color w:val="auto"/>
              </w:rPr>
            </w:pPr>
          </w:p>
        </w:tc>
        <w:tc>
          <w:tcPr>
            <w:tcW w:w="4340" w:type="dxa"/>
            <w:vAlign w:val="bottom"/>
          </w:tcPr>
          <w:p>
            <w:pPr>
              <w:jc w:val="center"/>
              <w:ind w:right="42"/>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183"/>
        </w:trPr>
        <w:tc>
          <w:tcPr>
            <w:tcW w:w="4680" w:type="dxa"/>
            <w:vAlign w:val="bottom"/>
          </w:tcPr>
          <w:p>
            <w:pPr>
              <w:spacing w:after="0"/>
              <w:rPr>
                <w:sz w:val="15"/>
                <w:szCs w:val="15"/>
                <w:color w:val="auto"/>
              </w:rPr>
            </w:pPr>
          </w:p>
        </w:tc>
        <w:tc>
          <w:tcPr>
            <w:tcW w:w="1960" w:type="dxa"/>
            <w:vAlign w:val="bottom"/>
          </w:tcPr>
          <w:p>
            <w:pPr>
              <w:jc w:val="center"/>
              <w:ind w:right="265"/>
              <w:spacing w:after="0"/>
              <w:rPr>
                <w:sz w:val="20"/>
                <w:szCs w:val="20"/>
                <w:color w:val="auto"/>
              </w:rPr>
            </w:pPr>
            <w:r>
              <w:rPr>
                <w:rFonts w:ascii="Arial" w:cs="Arial" w:eastAsia="Arial" w:hAnsi="Arial"/>
                <w:sz w:val="16"/>
                <w:szCs w:val="16"/>
                <w:b w:val="1"/>
                <w:bCs w:val="1"/>
                <w:color w:val="auto"/>
              </w:rPr>
              <w:t>(866) 352-3267</w:t>
            </w:r>
          </w:p>
        </w:tc>
        <w:tc>
          <w:tcPr>
            <w:tcW w:w="4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0980" w:type="dxa"/>
            <w:vAlign w:val="bottom"/>
            <w:gridSpan w:val="3"/>
          </w:tcPr>
          <w:p>
            <w:pPr>
              <w:jc w:val="center"/>
              <w:spacing w:after="0"/>
              <w:rPr>
                <w:sz w:val="20"/>
                <w:szCs w:val="20"/>
                <w:color w:val="auto"/>
              </w:rPr>
            </w:pPr>
            <w:r>
              <w:rPr>
                <w:rFonts w:ascii="Arial" w:cs="Arial" w:eastAsia="Arial" w:hAnsi="Arial"/>
                <w:sz w:val="16"/>
                <w:szCs w:val="16"/>
                <w:color w:val="auto"/>
              </w:rPr>
              <w:t>(Registrant's Telephone Number, Including Area Code)</w:t>
            </w:r>
          </w:p>
        </w:tc>
        <w:tc>
          <w:tcPr>
            <w:tcW w:w="0" w:type="dxa"/>
            <w:vAlign w:val="bottom"/>
          </w:tcPr>
          <w:p>
            <w:pPr>
              <w:spacing w:after="0"/>
              <w:rPr>
                <w:sz w:val="1"/>
                <w:szCs w:val="1"/>
                <w:color w:val="auto"/>
              </w:rPr>
            </w:pPr>
          </w:p>
        </w:tc>
      </w:tr>
      <w:tr>
        <w:trPr>
          <w:trHeight w:val="210"/>
        </w:trPr>
        <w:tc>
          <w:tcPr>
            <w:tcW w:w="10980" w:type="dxa"/>
            <w:vAlign w:val="bottom"/>
            <w:gridSpan w:val="3"/>
          </w:tcPr>
          <w:p>
            <w:pPr>
              <w:jc w:val="center"/>
              <w:spacing w:after="0"/>
              <w:rPr>
                <w:sz w:val="20"/>
                <w:szCs w:val="20"/>
                <w:color w:val="auto"/>
              </w:rPr>
            </w:pPr>
            <w:r>
              <w:rPr>
                <w:rFonts w:ascii="Arial" w:cs="Arial" w:eastAsia="Arial" w:hAnsi="Arial"/>
                <w:sz w:val="14"/>
                <w:szCs w:val="14"/>
                <w:color w:val="auto"/>
              </w:rPr>
              <w:t>Securities registered pursuant to Section 12(b) of the Act:</w:t>
            </w:r>
          </w:p>
        </w:tc>
        <w:tc>
          <w:tcPr>
            <w:tcW w:w="0" w:type="dxa"/>
            <w:vAlign w:val="bottom"/>
          </w:tcPr>
          <w:p>
            <w:pPr>
              <w:spacing w:after="0"/>
              <w:rPr>
                <w:sz w:val="1"/>
                <w:szCs w:val="1"/>
                <w:color w:val="auto"/>
              </w:rPr>
            </w:pPr>
          </w:p>
        </w:tc>
      </w:tr>
      <w:tr>
        <w:trPr>
          <w:trHeight w:val="222"/>
        </w:trPr>
        <w:tc>
          <w:tcPr>
            <w:tcW w:w="46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Title of each class</w:t>
            </w:r>
          </w:p>
        </w:tc>
        <w:tc>
          <w:tcPr>
            <w:tcW w:w="1960" w:type="dxa"/>
            <w:vAlign w:val="bottom"/>
            <w:tcBorders>
              <w:bottom w:val="single" w:sz="8" w:color="auto"/>
            </w:tcBorders>
          </w:tcPr>
          <w:p>
            <w:pPr>
              <w:jc w:val="center"/>
              <w:ind w:right="245"/>
              <w:spacing w:after="0"/>
              <w:rPr>
                <w:sz w:val="20"/>
                <w:szCs w:val="20"/>
                <w:color w:val="auto"/>
              </w:rPr>
            </w:pPr>
            <w:r>
              <w:rPr>
                <w:rFonts w:ascii="Arial" w:cs="Arial" w:eastAsia="Arial" w:hAnsi="Arial"/>
                <w:sz w:val="14"/>
                <w:szCs w:val="14"/>
                <w:b w:val="1"/>
                <w:bCs w:val="1"/>
                <w:color w:val="auto"/>
              </w:rPr>
              <w:t>Trading Symbol</w:t>
            </w:r>
          </w:p>
        </w:tc>
        <w:tc>
          <w:tcPr>
            <w:tcW w:w="434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4680" w:type="dxa"/>
            <w:vAlign w:val="bottom"/>
          </w:tcPr>
          <w:p>
            <w:pPr>
              <w:jc w:val="center"/>
              <w:ind w:right="82"/>
              <w:spacing w:after="0"/>
              <w:rPr>
                <w:sz w:val="20"/>
                <w:szCs w:val="20"/>
                <w:color w:val="auto"/>
              </w:rPr>
            </w:pPr>
            <w:r>
              <w:rPr>
                <w:rFonts w:ascii="Arial" w:cs="Arial" w:eastAsia="Arial" w:hAnsi="Arial"/>
                <w:sz w:val="14"/>
                <w:szCs w:val="14"/>
                <w:color w:val="auto"/>
              </w:rPr>
              <w:t>Common Stock, $.10 Par Value</w:t>
            </w:r>
          </w:p>
        </w:tc>
        <w:tc>
          <w:tcPr>
            <w:tcW w:w="1960" w:type="dxa"/>
            <w:vAlign w:val="bottom"/>
          </w:tcPr>
          <w:p>
            <w:pPr>
              <w:jc w:val="center"/>
              <w:ind w:right="225"/>
              <w:spacing w:after="0"/>
              <w:rPr>
                <w:sz w:val="20"/>
                <w:szCs w:val="20"/>
                <w:color w:val="auto"/>
              </w:rPr>
            </w:pPr>
            <w:r>
              <w:rPr>
                <w:rFonts w:ascii="Arial" w:cs="Arial" w:eastAsia="Arial" w:hAnsi="Arial"/>
                <w:sz w:val="14"/>
                <w:szCs w:val="14"/>
                <w:color w:val="auto"/>
              </w:rPr>
              <w:t>RAMP</w:t>
            </w:r>
          </w:p>
        </w:tc>
        <w:tc>
          <w:tcPr>
            <w:tcW w:w="4340" w:type="dxa"/>
            <w:vAlign w:val="bottom"/>
          </w:tcPr>
          <w:p>
            <w:pPr>
              <w:jc w:val="center"/>
              <w:ind w:right="42"/>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55" w:lineRule="exact"/>
        <w:rPr>
          <w:sz w:val="24"/>
          <w:szCs w:val="24"/>
          <w:color w:val="auto"/>
        </w:rPr>
      </w:pPr>
    </w:p>
    <w:p>
      <w:pPr>
        <w:ind w:left="4560"/>
        <w:spacing w:after="0"/>
        <w:tabs>
          <w:tab w:leader="none" w:pos="60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w:t>
      </w:r>
    </w:p>
    <w:p>
      <w:pPr>
        <w:spacing w:after="0" w:line="55" w:lineRule="exact"/>
        <w:rPr>
          <w:sz w:val="24"/>
          <w:szCs w:val="24"/>
          <w:color w:val="auto"/>
        </w:rPr>
      </w:pPr>
    </w:p>
    <w:p>
      <w:pPr>
        <w:ind w:left="4600"/>
        <w:spacing w:after="0"/>
        <w:tabs>
          <w:tab w:leader="none" w:pos="6000" w:val="left"/>
        </w:tabs>
        <w:rPr>
          <w:sz w:val="20"/>
          <w:szCs w:val="20"/>
          <w:color w:val="auto"/>
        </w:rPr>
      </w:pPr>
      <w:r>
        <w:rPr>
          <w:rFonts w:ascii="Arial" w:cs="Arial" w:eastAsia="Arial" w:hAnsi="Arial"/>
          <w:sz w:val="14"/>
          <w:szCs w:val="14"/>
          <w:color w:val="auto"/>
        </w:rPr>
        <w:t>Yes [ ]</w:t>
      </w:r>
      <w:r>
        <w:rPr>
          <w:sz w:val="20"/>
          <w:szCs w:val="20"/>
          <w:color w:val="auto"/>
        </w:rPr>
        <w:tab/>
      </w:r>
      <w:r>
        <w:rPr>
          <w:rFonts w:ascii="Arial" w:cs="Arial" w:eastAsia="Arial" w:hAnsi="Arial"/>
          <w:sz w:val="14"/>
          <w:szCs w:val="14"/>
          <w:color w:val="auto"/>
        </w:rPr>
        <w:t>No [X]</w:t>
      </w:r>
    </w:p>
    <w:p>
      <w:pPr>
        <w:spacing w:after="0" w:line="204" w:lineRule="exact"/>
        <w:rPr>
          <w:sz w:val="24"/>
          <w:szCs w:val="24"/>
          <w:color w:val="auto"/>
        </w:rPr>
      </w:pPr>
    </w:p>
    <w:p>
      <w:pPr>
        <w:ind w:left="20" w:right="300"/>
        <w:spacing w:after="0" w:line="25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1" w:lineRule="exact"/>
        <w:rPr>
          <w:sz w:val="24"/>
          <w:szCs w:val="24"/>
          <w:color w:val="auto"/>
        </w:rPr>
      </w:pPr>
    </w:p>
    <w:p>
      <w:pPr>
        <w:ind w:left="4560"/>
        <w:spacing w:after="0"/>
        <w:tabs>
          <w:tab w:leader="none" w:pos="60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204" w:lineRule="exact"/>
        <w:rPr>
          <w:sz w:val="24"/>
          <w:szCs w:val="24"/>
          <w:color w:val="auto"/>
        </w:rPr>
      </w:pPr>
    </w:p>
    <w:p>
      <w:pPr>
        <w:ind w:left="20" w:right="420"/>
        <w:spacing w:after="0" w:line="258"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2" w:lineRule="exact"/>
        <w:rPr>
          <w:sz w:val="24"/>
          <w:szCs w:val="24"/>
          <w:color w:val="auto"/>
        </w:rPr>
      </w:pPr>
    </w:p>
    <w:p>
      <w:pPr>
        <w:ind w:left="4560"/>
        <w:spacing w:after="0"/>
        <w:tabs>
          <w:tab w:leader="none" w:pos="6020" w:val="left"/>
        </w:tabs>
        <w:rPr>
          <w:sz w:val="20"/>
          <w:szCs w:val="20"/>
          <w:color w:val="auto"/>
        </w:rPr>
      </w:pPr>
      <w:r>
        <w:rPr>
          <w:rFonts w:ascii="Arial" w:cs="Arial" w:eastAsia="Arial" w:hAnsi="Arial"/>
          <w:sz w:val="14"/>
          <w:szCs w:val="14"/>
          <w:color w:val="auto"/>
        </w:rPr>
        <w:t>Yes [X]</w:t>
      </w:r>
      <w:r>
        <w:rPr>
          <w:sz w:val="20"/>
          <w:szCs w:val="20"/>
          <w:color w:val="auto"/>
        </w:rPr>
        <w:tab/>
      </w:r>
      <w:r>
        <w:rPr>
          <w:rFonts w:ascii="Arial" w:cs="Arial" w:eastAsia="Arial" w:hAnsi="Arial"/>
          <w:sz w:val="14"/>
          <w:szCs w:val="14"/>
          <w:color w:val="auto"/>
        </w:rPr>
        <w:t>No [ ]</w:t>
      </w:r>
    </w:p>
    <w:p>
      <w:pPr>
        <w:spacing w:after="0" w:line="200" w:lineRule="exact"/>
        <w:rPr>
          <w:sz w:val="24"/>
          <w:szCs w:val="24"/>
          <w:color w:val="auto"/>
        </w:rPr>
      </w:pPr>
    </w:p>
    <w:p>
      <w:pPr>
        <w:spacing w:after="0" w:line="233" w:lineRule="exact"/>
        <w:rPr>
          <w:sz w:val="24"/>
          <w:szCs w:val="24"/>
          <w:color w:val="auto"/>
        </w:rPr>
      </w:pPr>
    </w:p>
    <w:p>
      <w:pPr>
        <w:ind w:left="2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 w:lineRule="exact"/>
        <w:rPr>
          <w:sz w:val="24"/>
          <w:szCs w:val="24"/>
          <w:color w:val="auto"/>
        </w:rPr>
      </w:pPr>
    </w:p>
    <w:tbl>
      <w:tblPr>
        <w:tblLayout w:type="fixed"/>
        <w:tblInd w:w="1980" w:type="dxa"/>
        <w:tblCellMar>
          <w:top w:w="0" w:type="dxa"/>
          <w:left w:w="0" w:type="dxa"/>
          <w:bottom w:w="0" w:type="dxa"/>
          <w:right w:w="0" w:type="dxa"/>
        </w:tblCellMar>
      </w:tblPr>
      <w:tr>
        <w:trPr>
          <w:trHeight w:val="179"/>
        </w:trPr>
        <w:tc>
          <w:tcPr>
            <w:tcW w:w="3540" w:type="dxa"/>
            <w:vAlign w:val="bottom"/>
          </w:tcPr>
          <w:p>
            <w:pPr>
              <w:jc w:val="center"/>
              <w:ind w:right="1828"/>
              <w:spacing w:after="0"/>
              <w:rPr>
                <w:sz w:val="20"/>
                <w:szCs w:val="20"/>
                <w:color w:val="auto"/>
              </w:rPr>
            </w:pPr>
            <w:r>
              <w:rPr>
                <w:rFonts w:ascii="Arial" w:cs="Arial" w:eastAsia="Arial" w:hAnsi="Arial"/>
                <w:sz w:val="14"/>
                <w:szCs w:val="14"/>
                <w:color w:val="auto"/>
              </w:rPr>
              <w:t>Large accelerated filer [X]</w:t>
            </w:r>
          </w:p>
        </w:tc>
        <w:tc>
          <w:tcPr>
            <w:tcW w:w="3780" w:type="dxa"/>
            <w:vAlign w:val="bottom"/>
          </w:tcPr>
          <w:p>
            <w:pPr>
              <w:jc w:val="center"/>
              <w:ind w:left="1828"/>
              <w:spacing w:after="0"/>
              <w:rPr>
                <w:sz w:val="20"/>
                <w:szCs w:val="20"/>
                <w:color w:val="auto"/>
              </w:rPr>
            </w:pPr>
            <w:r>
              <w:rPr>
                <w:rFonts w:ascii="Arial" w:cs="Arial" w:eastAsia="Arial" w:hAnsi="Arial"/>
                <w:sz w:val="14"/>
                <w:szCs w:val="14"/>
                <w:color w:val="auto"/>
              </w:rPr>
              <w:t>Accelerated filer  [ ]</w:t>
            </w:r>
          </w:p>
        </w:tc>
      </w:tr>
      <w:tr>
        <w:trPr>
          <w:trHeight w:val="216"/>
        </w:trPr>
        <w:tc>
          <w:tcPr>
            <w:tcW w:w="3540" w:type="dxa"/>
            <w:vAlign w:val="bottom"/>
          </w:tcPr>
          <w:p>
            <w:pPr>
              <w:jc w:val="center"/>
              <w:ind w:right="1828"/>
              <w:spacing w:after="0"/>
              <w:rPr>
                <w:sz w:val="20"/>
                <w:szCs w:val="20"/>
                <w:color w:val="auto"/>
              </w:rPr>
            </w:pPr>
            <w:r>
              <w:rPr>
                <w:rFonts w:ascii="Arial" w:cs="Arial" w:eastAsia="Arial" w:hAnsi="Arial"/>
                <w:sz w:val="14"/>
                <w:szCs w:val="14"/>
                <w:color w:val="auto"/>
              </w:rPr>
              <w:t>Non-accelerated filer [ ]</w:t>
            </w:r>
          </w:p>
        </w:tc>
        <w:tc>
          <w:tcPr>
            <w:tcW w:w="3780" w:type="dxa"/>
            <w:vAlign w:val="bottom"/>
          </w:tcPr>
          <w:p>
            <w:pPr>
              <w:jc w:val="center"/>
              <w:ind w:left="1828"/>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r>
      <w:tr>
        <w:trPr>
          <w:trHeight w:val="226"/>
        </w:trPr>
        <w:tc>
          <w:tcPr>
            <w:tcW w:w="3540" w:type="dxa"/>
            <w:vAlign w:val="bottom"/>
          </w:tcPr>
          <w:p>
            <w:pPr>
              <w:spacing w:after="0"/>
              <w:rPr>
                <w:sz w:val="19"/>
                <w:szCs w:val="19"/>
                <w:color w:val="auto"/>
              </w:rPr>
            </w:pPr>
          </w:p>
        </w:tc>
        <w:tc>
          <w:tcPr>
            <w:tcW w:w="3780" w:type="dxa"/>
            <w:vAlign w:val="bottom"/>
          </w:tcPr>
          <w:p>
            <w:pPr>
              <w:jc w:val="center"/>
              <w:ind w:left="1828"/>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39" w:right="579" w:bottom="1440" w:gutter="0" w:footer="0" w:header="0"/>
        </w:sectPr>
      </w:pPr>
    </w:p>
    <w:bookmarkStart w:id="1" w:name="page2"/>
    <w:bookmarkEnd w:id="1"/>
    <w:p>
      <w:pPr>
        <w:ind w:left="20" w:right="680"/>
        <w:spacing w:after="0" w:line="25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80" w:lineRule="exact"/>
        <w:rPr>
          <w:sz w:val="20"/>
          <w:szCs w:val="20"/>
          <w:color w:val="auto"/>
        </w:rPr>
      </w:pPr>
    </w:p>
    <w:p>
      <w:pPr>
        <w:ind w:left="20" w:right="220"/>
        <w:spacing w:after="0" w:line="258"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31" w:lineRule="exact"/>
        <w:rPr>
          <w:sz w:val="20"/>
          <w:szCs w:val="20"/>
          <w:color w:val="auto"/>
        </w:rPr>
      </w:pPr>
    </w:p>
    <w:p>
      <w:pPr>
        <w:ind w:left="4100"/>
        <w:spacing w:after="0" w:line="161" w:lineRule="exact"/>
        <w:tabs>
          <w:tab w:leader="none" w:pos="55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 [X]</w:t>
      </w:r>
    </w:p>
    <w:p>
      <w:pPr>
        <w:spacing w:after="0" w:line="40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aggregate market value of the voting stock held by non-affiliates of the registrant, based upon the closing sale price of the registrant’s Common Stock, $.10 par value per share, as of the last business day of the registrant’s most recently completed second fiscal quarter as reported on the New York Stock Exchange was approximately $2,097,204,783. (For purposes of determination of the above stated amount only, all directors, executive officers and 10% or more shareholders of the registrant are presumed to be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$ 0.10 par value per share, outstanding as of May 18, 2020 was 65,343,715.</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DOCUMENTS INCORPORATED BY REFERENCE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Portions of the Proxy Statement for the 2020 Annual Meeting of Stockholders (“2020 Proxy Statement”) of LiveRamp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(“LiveRamp,” the “Company,” “we”, “us”, or “our”) are incorporated by reference into Part III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08" w:right="51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auto"/>
                <w:w w:val="99"/>
              </w:rPr>
              <w:t>Page No.</w:t>
            </w:r>
          </w:p>
        </w:tc>
        <w:tc>
          <w:tcPr>
            <w:tcW w:w="0" w:type="dxa"/>
            <w:vAlign w:val="bottom"/>
          </w:tcPr>
          <w:p>
            <w:pPr>
              <w:spacing w:after="0"/>
              <w:rPr>
                <w:sz w:val="1"/>
                <w:szCs w:val="1"/>
                <w:color w:val="auto"/>
              </w:rPr>
            </w:pPr>
          </w:p>
        </w:tc>
      </w:tr>
      <w:tr>
        <w:trPr>
          <w:trHeight w:val="242"/>
        </w:trPr>
        <w:tc>
          <w:tcPr>
            <w:tcW w:w="10140" w:type="dxa"/>
            <w:vAlign w:val="bottom"/>
            <w:gridSpan w:val="4"/>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Documents Incorporated by Reference</w:t>
              </w:r>
            </w:hyperlink>
          </w:p>
        </w:tc>
        <w:tc>
          <w:tcPr>
            <w:tcW w:w="26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80" w:type="dxa"/>
            <w:vAlign w:val="bottom"/>
            <w:gridSpan w:val="2"/>
          </w:tcPr>
          <w:p>
            <w:pPr>
              <w:jc w:val="center"/>
              <w:ind w:right="2100"/>
              <w:spacing w:after="0"/>
              <w:rPr>
                <w:rFonts w:ascii="Arial" w:cs="Arial" w:eastAsia="Arial" w:hAnsi="Arial"/>
                <w:sz w:val="18"/>
                <w:szCs w:val="18"/>
                <w:u w:val="single" w:color="auto"/>
                <w:color w:val="0000FF"/>
                <w:w w:val="97"/>
              </w:rPr>
            </w:pPr>
            <w:hyperlink w:anchor="page3">
              <w:r>
                <w:rPr>
                  <w:rFonts w:ascii="Arial" w:cs="Arial" w:eastAsia="Arial" w:hAnsi="Arial"/>
                  <w:sz w:val="18"/>
                  <w:szCs w:val="18"/>
                  <w:u w:val="single" w:color="auto"/>
                  <w:color w:val="0000FF"/>
                  <w:w w:val="97"/>
                </w:rPr>
                <w:t>Part I</w:t>
              </w:r>
            </w:hyperlink>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14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Availability of SEC Filings and Corporate Governance Information; Cautionary Statements</w:t>
              </w:r>
            </w:hyperlink>
          </w:p>
        </w:tc>
        <w:tc>
          <w:tcPr>
            <w:tcW w:w="260" w:type="dxa"/>
            <w:vAlign w:val="bottom"/>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1.</w:t>
            </w:r>
          </w:p>
        </w:tc>
        <w:tc>
          <w:tcPr>
            <w:tcW w:w="8880" w:type="dxa"/>
            <w:vAlign w:val="bottom"/>
            <w:gridSpan w:val="3"/>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Business</w:t>
              </w:r>
            </w:hyperlink>
          </w:p>
        </w:tc>
        <w:tc>
          <w:tcPr>
            <w:tcW w:w="260" w:type="dxa"/>
            <w:vAlign w:val="bottom"/>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1A.</w:t>
            </w:r>
          </w:p>
        </w:tc>
        <w:tc>
          <w:tcPr>
            <w:tcW w:w="8880" w:type="dxa"/>
            <w:vAlign w:val="bottom"/>
            <w:gridSpan w:val="3"/>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Risk Factors</w:t>
              </w:r>
            </w:hyperlink>
          </w:p>
        </w:tc>
        <w:tc>
          <w:tcPr>
            <w:tcW w:w="260" w:type="dxa"/>
            <w:vAlign w:val="bottom"/>
          </w:tcPr>
          <w:p>
            <w:pPr>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19</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Item 1B.</w:t>
            </w:r>
          </w:p>
        </w:tc>
        <w:tc>
          <w:tcPr>
            <w:tcW w:w="8880" w:type="dxa"/>
            <w:vAlign w:val="bottom"/>
            <w:gridSpan w:val="3"/>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Unresolved Staff Comments</w:t>
              </w:r>
            </w:hyperlink>
          </w:p>
        </w:tc>
        <w:tc>
          <w:tcPr>
            <w:tcW w:w="26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2.</w:t>
            </w:r>
          </w:p>
        </w:tc>
        <w:tc>
          <w:tcPr>
            <w:tcW w:w="888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Properties</w:t>
              </w:r>
            </w:hyperlink>
          </w:p>
        </w:tc>
        <w:tc>
          <w:tcPr>
            <w:tcW w:w="26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3.</w:t>
            </w:r>
          </w:p>
        </w:tc>
        <w:tc>
          <w:tcPr>
            <w:tcW w:w="888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Legal Proceedings</w:t>
              </w:r>
            </w:hyperlink>
          </w:p>
        </w:tc>
        <w:tc>
          <w:tcPr>
            <w:tcW w:w="26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4.</w:t>
            </w:r>
          </w:p>
        </w:tc>
        <w:tc>
          <w:tcPr>
            <w:tcW w:w="8880" w:type="dxa"/>
            <w:vAlign w:val="bottom"/>
            <w:gridSpan w:val="3"/>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Mine Safety Disclosures</w:t>
              </w:r>
            </w:hyperlink>
          </w:p>
        </w:tc>
        <w:tc>
          <w:tcPr>
            <w:tcW w:w="260" w:type="dxa"/>
            <w:vAlign w:val="bottom"/>
          </w:tcPr>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30</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80" w:type="dxa"/>
            <w:vAlign w:val="bottom"/>
            <w:gridSpan w:val="2"/>
          </w:tcPr>
          <w:p>
            <w:pPr>
              <w:jc w:val="center"/>
              <w:ind w:right="2080"/>
              <w:spacing w:after="0"/>
              <w:rPr>
                <w:rFonts w:ascii="Arial" w:cs="Arial" w:eastAsia="Arial" w:hAnsi="Arial"/>
                <w:sz w:val="18"/>
                <w:szCs w:val="18"/>
                <w:u w:val="single" w:color="auto"/>
                <w:color w:val="0000FF"/>
                <w:w w:val="99"/>
              </w:rPr>
            </w:pPr>
            <w:hyperlink w:anchor="page30">
              <w:r>
                <w:rPr>
                  <w:rFonts w:ascii="Arial" w:cs="Arial" w:eastAsia="Arial" w:hAnsi="Arial"/>
                  <w:sz w:val="18"/>
                  <w:szCs w:val="18"/>
                  <w:u w:val="single" w:color="auto"/>
                  <w:color w:val="0000FF"/>
                  <w:w w:val="99"/>
                </w:rPr>
                <w:t>Part II</w:t>
              </w:r>
            </w:hyperlink>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vMerge w:val="restart"/>
          </w:tcPr>
          <w:p>
            <w:pPr>
              <w:spacing w:after="0"/>
              <w:rPr>
                <w:sz w:val="20"/>
                <w:szCs w:val="20"/>
                <w:color w:val="auto"/>
              </w:rPr>
            </w:pPr>
            <w:r>
              <w:rPr>
                <w:rFonts w:ascii="Arial" w:cs="Arial" w:eastAsia="Arial" w:hAnsi="Arial"/>
                <w:sz w:val="18"/>
                <w:szCs w:val="18"/>
                <w:color w:val="auto"/>
              </w:rPr>
              <w:t>Item 5.</w:t>
            </w:r>
          </w:p>
        </w:tc>
        <w:tc>
          <w:tcPr>
            <w:tcW w:w="8880" w:type="dxa"/>
            <w:vAlign w:val="bottom"/>
            <w:gridSpan w:val="3"/>
          </w:tcPr>
          <w:p>
            <w:pPr>
              <w:spacing w:after="0" w:line="189" w:lineRule="exact"/>
              <w:rPr>
                <w:rFonts w:ascii="Arial" w:cs="Arial" w:eastAsia="Arial" w:hAnsi="Arial"/>
                <w:sz w:val="18"/>
                <w:szCs w:val="18"/>
                <w:color w:val="0000FF"/>
              </w:rPr>
            </w:pPr>
            <w:hyperlink w:anchor="page31">
              <w:r>
                <w:rPr>
                  <w:rFonts w:ascii="Arial" w:cs="Arial" w:eastAsia="Arial" w:hAnsi="Arial"/>
                  <w:sz w:val="18"/>
                  <w:szCs w:val="18"/>
                  <w:color w:val="0000FF"/>
                </w:rPr>
                <w:t>Market for Registrant's Common Equity, Related Stockholder Matters and Issuer Purchases of Equity</w:t>
              </w:r>
            </w:hyperlink>
          </w:p>
        </w:tc>
        <w:tc>
          <w:tcPr>
            <w:tcW w:w="260" w:type="dxa"/>
            <w:vAlign w:val="bottom"/>
            <w:vMerge w:val="restart"/>
          </w:tcPr>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31</w:t>
              </w:r>
            </w:hyperlink>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w:anchor="page31">
              <w:r>
                <w:rPr>
                  <w:rFonts w:ascii="Arial" w:cs="Arial" w:eastAsia="Arial" w:hAnsi="Arial"/>
                  <w:sz w:val="18"/>
                  <w:szCs w:val="18"/>
                  <w:color w:val="0000FF"/>
                  <w:w w:val="98"/>
                </w:rPr>
                <w:t>Securities</w:t>
              </w:r>
            </w:hyperlink>
          </w:p>
        </w:tc>
        <w:tc>
          <w:tcPr>
            <w:tcW w:w="7240" w:type="dxa"/>
            <w:vAlign w:val="bottom"/>
            <w:tcBorders>
              <w:top w:val="single" w:sz="8" w:color="0000FF"/>
            </w:tcBorders>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260" w:type="dxa"/>
            <w:vAlign w:val="bottom"/>
          </w:tcPr>
          <w:p>
            <w:pPr>
              <w:spacing w:after="0"/>
              <w:rPr>
                <w:sz w:val="20"/>
                <w:szCs w:val="20"/>
                <w:color w:val="auto"/>
              </w:rPr>
            </w:pPr>
            <w:r>
              <w:rPr>
                <w:rFonts w:ascii="Arial" w:cs="Arial" w:eastAsia="Arial" w:hAnsi="Arial"/>
                <w:sz w:val="18"/>
                <w:szCs w:val="18"/>
                <w:color w:val="auto"/>
              </w:rPr>
              <w:t>Item 6.</w:t>
            </w:r>
          </w:p>
        </w:tc>
        <w:tc>
          <w:tcPr>
            <w:tcW w:w="888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Selected Financial Data</w:t>
              </w:r>
            </w:hyperlink>
          </w:p>
        </w:tc>
        <w:tc>
          <w:tcPr>
            <w:tcW w:w="26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7.</w:t>
            </w:r>
          </w:p>
        </w:tc>
        <w:tc>
          <w:tcPr>
            <w:tcW w:w="888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Management’s Discussion and Analysis of Financial Condition and Results of Operations</w:t>
              </w:r>
            </w:hyperlink>
          </w:p>
        </w:tc>
        <w:tc>
          <w:tcPr>
            <w:tcW w:w="26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Item 7A.</w:t>
            </w:r>
          </w:p>
        </w:tc>
        <w:tc>
          <w:tcPr>
            <w:tcW w:w="8880" w:type="dxa"/>
            <w:vAlign w:val="bottom"/>
            <w:gridSpan w:val="3"/>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Quantitative and Qualitative Disclosures About Market Risk</w:t>
              </w:r>
            </w:hyperlink>
          </w:p>
        </w:tc>
        <w:tc>
          <w:tcPr>
            <w:tcW w:w="260" w:type="dxa"/>
            <w:vAlign w:val="bottom"/>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8.</w:t>
            </w:r>
          </w:p>
        </w:tc>
        <w:tc>
          <w:tcPr>
            <w:tcW w:w="888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Financial Statements and Supplementary Data</w:t>
              </w:r>
            </w:hyperlink>
          </w:p>
        </w:tc>
        <w:tc>
          <w:tcPr>
            <w:tcW w:w="26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9.</w:t>
            </w:r>
          </w:p>
        </w:tc>
        <w:tc>
          <w:tcPr>
            <w:tcW w:w="888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Changes in and Disagreements with Accountants on Accounting and Financial Disclosure</w:t>
              </w:r>
            </w:hyperlink>
          </w:p>
        </w:tc>
        <w:tc>
          <w:tcPr>
            <w:tcW w:w="26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9A.</w:t>
            </w:r>
          </w:p>
        </w:tc>
        <w:tc>
          <w:tcPr>
            <w:tcW w:w="8880" w:type="dxa"/>
            <w:vAlign w:val="bottom"/>
            <w:gridSpan w:val="3"/>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Controls and Procedures</w:t>
              </w:r>
            </w:hyperlink>
          </w:p>
        </w:tc>
        <w:tc>
          <w:tcPr>
            <w:tcW w:w="260" w:type="dxa"/>
            <w:vAlign w:val="bottom"/>
          </w:tcPr>
          <w:p>
            <w:pPr>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34</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Item 9B.</w:t>
            </w:r>
          </w:p>
        </w:tc>
        <w:tc>
          <w:tcPr>
            <w:tcW w:w="8880" w:type="dxa"/>
            <w:vAlign w:val="bottom"/>
            <w:gridSpan w:val="3"/>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Other Information</w:t>
              </w:r>
            </w:hyperlink>
          </w:p>
        </w:tc>
        <w:tc>
          <w:tcPr>
            <w:tcW w:w="260" w:type="dxa"/>
            <w:vAlign w:val="bottom"/>
          </w:tcPr>
          <w:p>
            <w:pPr>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35</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80" w:type="dxa"/>
            <w:vAlign w:val="bottom"/>
            <w:gridSpan w:val="2"/>
          </w:tcPr>
          <w:p>
            <w:pPr>
              <w:ind w:left="33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Part III</w:t>
              </w:r>
            </w:hyperlink>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Item 10.</w:t>
            </w:r>
          </w:p>
        </w:tc>
        <w:tc>
          <w:tcPr>
            <w:tcW w:w="8880" w:type="dxa"/>
            <w:vAlign w:val="bottom"/>
            <w:gridSpan w:val="3"/>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Directors, Executive Officers and Corporate Governance</w:t>
              </w:r>
            </w:hyperlink>
          </w:p>
        </w:tc>
        <w:tc>
          <w:tcPr>
            <w:tcW w:w="26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11.</w:t>
            </w:r>
          </w:p>
        </w:tc>
        <w:tc>
          <w:tcPr>
            <w:tcW w:w="8880" w:type="dxa"/>
            <w:vAlign w:val="bottom"/>
            <w:gridSpan w:val="3"/>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Executive Compensation</w:t>
              </w:r>
            </w:hyperlink>
          </w:p>
        </w:tc>
        <w:tc>
          <w:tcPr>
            <w:tcW w:w="26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Item 12.</w:t>
            </w:r>
          </w:p>
        </w:tc>
        <w:tc>
          <w:tcPr>
            <w:tcW w:w="8880" w:type="dxa"/>
            <w:vAlign w:val="bottom"/>
            <w:gridSpan w:val="3"/>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Security Ownership of Certain Beneficial Owners and Management and Related Stockholder Matters</w:t>
              </w:r>
            </w:hyperlink>
          </w:p>
        </w:tc>
        <w:tc>
          <w:tcPr>
            <w:tcW w:w="260" w:type="dxa"/>
            <w:vAlign w:val="bottom"/>
          </w:tcPr>
          <w:p>
            <w:pPr>
              <w:spacing w:after="0"/>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36</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13.</w:t>
            </w:r>
          </w:p>
        </w:tc>
        <w:tc>
          <w:tcPr>
            <w:tcW w:w="88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Certain Relationships and Related Transactions, and Director Independence</w:t>
              </w:r>
            </w:hyperlink>
          </w:p>
        </w:tc>
        <w:tc>
          <w:tcPr>
            <w:tcW w:w="26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260" w:type="dxa"/>
            <w:vAlign w:val="bottom"/>
          </w:tcPr>
          <w:p>
            <w:pPr>
              <w:spacing w:after="0"/>
              <w:rPr>
                <w:sz w:val="20"/>
                <w:szCs w:val="20"/>
                <w:color w:val="auto"/>
              </w:rPr>
            </w:pPr>
            <w:r>
              <w:rPr>
                <w:rFonts w:ascii="Arial" w:cs="Arial" w:eastAsia="Arial" w:hAnsi="Arial"/>
                <w:sz w:val="18"/>
                <w:szCs w:val="18"/>
                <w:color w:val="auto"/>
              </w:rPr>
              <w:t>Item 14.</w:t>
            </w:r>
          </w:p>
        </w:tc>
        <w:tc>
          <w:tcPr>
            <w:tcW w:w="8880" w:type="dxa"/>
            <w:vAlign w:val="bottom"/>
            <w:gridSpan w:val="3"/>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Principal Accountant Fees and Services</w:t>
              </w:r>
            </w:hyperlink>
          </w:p>
        </w:tc>
        <w:tc>
          <w:tcPr>
            <w:tcW w:w="260" w:type="dxa"/>
            <w:vAlign w:val="bottom"/>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37</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80" w:type="dxa"/>
            <w:vAlign w:val="bottom"/>
            <w:gridSpan w:val="2"/>
          </w:tcPr>
          <w:p>
            <w:pPr>
              <w:ind w:left="3340"/>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Part IV</w:t>
              </w:r>
            </w:hyperlink>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260" w:type="dxa"/>
            <w:vAlign w:val="bottom"/>
          </w:tcPr>
          <w:p>
            <w:pPr>
              <w:spacing w:after="0"/>
              <w:rPr>
                <w:sz w:val="20"/>
                <w:szCs w:val="20"/>
                <w:color w:val="auto"/>
              </w:rPr>
            </w:pPr>
            <w:r>
              <w:rPr>
                <w:rFonts w:ascii="Arial" w:cs="Arial" w:eastAsia="Arial" w:hAnsi="Arial"/>
                <w:sz w:val="18"/>
                <w:szCs w:val="18"/>
                <w:color w:val="auto"/>
              </w:rPr>
              <w:t>Item 15.</w:t>
            </w:r>
          </w:p>
        </w:tc>
        <w:tc>
          <w:tcPr>
            <w:tcW w:w="8880" w:type="dxa"/>
            <w:vAlign w:val="bottom"/>
            <w:gridSpan w:val="3"/>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Exhibits and Financial Statement Schedules</w:t>
              </w:r>
            </w:hyperlink>
          </w:p>
        </w:tc>
        <w:tc>
          <w:tcPr>
            <w:tcW w:w="260" w:type="dxa"/>
            <w:vAlign w:val="bottom"/>
          </w:tcPr>
          <w:p>
            <w:pPr>
              <w:spacing w:after="0"/>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38</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8880" w:type="dxa"/>
            <w:vAlign w:val="bottom"/>
            <w:gridSpan w:val="3"/>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Signatures</w:t>
              </w:r>
            </w:hyperlink>
          </w:p>
        </w:tc>
        <w:tc>
          <w:tcPr>
            <w:tcW w:w="260" w:type="dxa"/>
            <w:vAlign w:val="bottom"/>
          </w:tcPr>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41</w:t>
              </w:r>
            </w:hyperlink>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8880" w:type="dxa"/>
            <w:vAlign w:val="bottom"/>
            <w:gridSpan w:val="3"/>
          </w:tcPr>
          <w:p>
            <w:pPr>
              <w:spacing w:after="0" w:line="189" w:lineRule="exact"/>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Index to Financial Supplement to Annual Report</w:t>
              </w:r>
            </w:hyperlink>
          </w:p>
        </w:tc>
        <w:tc>
          <w:tcPr>
            <w:tcW w:w="820" w:type="dxa"/>
            <w:vAlign w:val="bottom"/>
            <w:gridSpan w:val="2"/>
          </w:tcPr>
          <w:p>
            <w:pPr>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F-1</w:t>
              </w:r>
            </w:hyperlink>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40" w:top="927" w:right="5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AVAILABILITY OF SEC FILINGS AND CORPORATE GOVERNANCE INFORMATION</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website address is www.liveramp.com, where copies of documents that we have filed with the Securities and Exchange Commission (“SEC”) may be obtained free of charge as soon as reasonably practicable after being filed electronically. Included among those documents are our Annual Reports on Form 10-K, Quarterly Reports on Form 10-Q, Current Reports on Form 8-K, and amendments to those reports filed or furnished pursuant to Section 13(a) or 15(d) of the Securities Exchange Act of 1934, as amended (“Exchange Act”). Copies may also be obtained through the SEC’s EDGAR site at the website address http://www.sec.gov, or by sending a written request for copies to LiveRamp Investor Relations, 225 Bush Street, Seventeenth Floor, San Francisco, California 94104. Copies of all our SEC filings were available on our website during the past fiscal year covered by this Form 10-K. In addition, at the “Corporate Governance” section of our website, we have posted copies of our Corporate Governance Principles, the charters for the Audit/Finance, Compensation, Executive, and Governance/Nominating Committees of the Board of Directors, the codes of ethics applicable to directors, financial personnel and all employees, and other information relating to the governance of the Company. Although referenced herein, information contained on or connected to our corporate website is not incorporated by reference into this annual report on Form 10-K and should not be considered part of this report or any other filing we make with the SEC.</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CAUTIONARY STATEMENTS RELEVANT TO FORWARD-LOOKING INFORMATION</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Annual Report on Form 10-K, including, without limitation, the items set forth on pages F-3 – F-18 in Management’s Discussion and Analysis of Financial Condition and Results of Operations, contains and may incorporate by reference certain statements that may be deemed to be “forward-looking statements” within the meaning of the Private Securities Litigation Reform Act of 1995, as amended (the “PSLRA”), and that are intended to enjoy the protection of the safe harbor for forward-looking statements provided by the PSLRA. These statements, which are not statements of historical fact, may contain estimates, assumptions, projections and/or expectations regarding the Company’s financial position, results of operations, market position, product development, growth opportunities, economic conditions, and other similar forecasts and statements of expectation. Forward-looking statements are often identified by words or phrases such as “anticipate,” “estimate,” “plan,” “expect,” “believe,” “intend,” “foresee,” or the negative of these terms or other similar variations thereof. These forward-looking statements are not guarantees of future performance and are subject to a number of factors and uncertainties that could cause the Company’s actual results and experiences to differ materially from the anticipated results and expectations expressed in the forward-looking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 may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management’s expectations about the macro economy;</w:t>
      </w:r>
    </w:p>
    <w:p>
      <w:pPr>
        <w:spacing w:after="0" w:line="252"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impact of the pandemic related to the current and continuing outbreak of a novel strain of coronavirus ("COVID-19") on our business, operations, and the markets in which we and our partners and customers operate;</w:t>
      </w:r>
    </w:p>
    <w:p>
      <w:pPr>
        <w:spacing w:after="0" w:line="143" w:lineRule="exact"/>
        <w:rPr>
          <w:rFonts w:ascii="Arial" w:cs="Arial" w:eastAsia="Arial" w:hAnsi="Arial"/>
          <w:sz w:val="18"/>
          <w:szCs w:val="18"/>
          <w:color w:val="auto"/>
        </w:rPr>
      </w:pPr>
    </w:p>
    <w:p>
      <w:pPr>
        <w:ind w:left="660" w:right="10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containing a projection of revenues, operating income (loss), income (loss), earnings (loss) per share, capital expenditures, dividends, capital structure, or other financial items;</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of the plans and objectives of management for future operations, including, but not limited to, those statements contained under the heading “Growth Strategy” in Part I, Item 1 of this Annual Report on Form 10-K;</w:t>
      </w:r>
    </w:p>
    <w:p>
      <w:pPr>
        <w:spacing w:after="0" w:line="143"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of future performance, including, but not limited to, those statements contained in Management’s Discussion and Analysis of Financial Condition and Results of Operations contained in this Annual Report on Form 10-K;</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containing any assumptions underlying or relating to any of the above statements;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statements containing a projection or estimate.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 w:name="page5"/>
    <w:bookmarkEnd w:id="4"/>
    <w:p>
      <w:pPr>
        <w:ind w:right="480"/>
        <w:spacing w:after="0" w:line="261" w:lineRule="auto"/>
        <w:rPr>
          <w:sz w:val="20"/>
          <w:szCs w:val="20"/>
          <w:color w:val="auto"/>
        </w:rPr>
      </w:pPr>
      <w:r>
        <w:rPr>
          <w:rFonts w:ascii="Arial" w:cs="Arial" w:eastAsia="Arial" w:hAnsi="Arial"/>
          <w:sz w:val="18"/>
          <w:szCs w:val="18"/>
          <w:color w:val="auto"/>
        </w:rPr>
        <w:t>Among the factors that may cause actual results and expectations to differ from anticipated results and expectations expressed in such forward-looking statements are the following:</w:t>
      </w:r>
    </w:p>
    <w:p>
      <w:pPr>
        <w:spacing w:after="0" w:line="198" w:lineRule="exact"/>
        <w:rPr>
          <w:sz w:val="20"/>
          <w:szCs w:val="20"/>
          <w:color w:val="auto"/>
        </w:rPr>
      </w:pPr>
    </w:p>
    <w:p>
      <w:pPr>
        <w:ind w:left="660" w:right="1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factors described in Part I, “Item 1A. Risk Factors” and elsewhere in this report and those described from time to time in our future reports filed with the SEC;</w:t>
      </w:r>
    </w:p>
    <w:p>
      <w:pPr>
        <w:spacing w:after="0" w:line="143"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in the event a change of control of the Company is sought, certain clients may attempt to invoke provisions in their contracts allowing for termination upon a change in control, which may result in a decline in revenue and profit;</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integration of acquired businesses may not be as successful as planned;</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fair value of certain of our assets may not be equal to the carrying value of those assets now or in future time periods;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sales cycles may lengthen;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will not be able to properly motivate our sales force or other associates;</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not be able to attract and retain qualified technical and leadership associates, or that we may lose key associates to other organizations;</w:t>
      </w:r>
    </w:p>
    <w:p>
      <w:pPr>
        <w:spacing w:after="0" w:line="143"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competent, competitive products, technologies or services will be introduced into the marketplace by other companies;</w:t>
      </w:r>
    </w:p>
    <w:p>
      <w:pPr>
        <w:spacing w:after="0" w:line="143"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there will be changes in consumer or business information industries and markets that negatively impact the Company;</w:t>
      </w:r>
    </w:p>
    <w:p>
      <w:pPr>
        <w:spacing w:after="0" w:line="143" w:lineRule="exact"/>
        <w:rPr>
          <w:rFonts w:ascii="Arial" w:cs="Arial" w:eastAsia="Arial" w:hAnsi="Arial"/>
          <w:sz w:val="18"/>
          <w:szCs w:val="18"/>
          <w:color w:val="auto"/>
        </w:rPr>
      </w:pPr>
    </w:p>
    <w:p>
      <w:pPr>
        <w:ind w:left="660" w:right="9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will not be able to protect proprietary information and technology or to obtain necessary licenses on commercially reasonable terms;</w:t>
      </w:r>
    </w:p>
    <w:p>
      <w:pPr>
        <w:spacing w:after="0" w:line="143"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there will be changes in the legislative, accounting, regulatory and consumer environments affecting our business, including but not limited to litigation, legislation, regulations and customs impairing our ability to collect, manage, aggregate and use data;</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data suppliers might withdraw data from us, leading to our inability to provide certain products and services;</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data purchasers will reduce their reliance on us by developing and using their own, or alternative, sources of data generally or with respect to certain data elements or categories;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enter into short-term contracts that would affect the predictability of our revenues;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amount of volume-based and other transactional based work will not be as expected;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a loss of data center capacity or interruption of telecommunication links or power sources;</w:t>
      </w:r>
    </w:p>
    <w:p>
      <w:pPr>
        <w:spacing w:after="0" w:line="17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failures or breaches of our network and data security systems, leading to potential adverse publicity, negative customer reaction, or liability to third parties;</w:t>
      </w:r>
    </w:p>
    <w:p>
      <w:pPr>
        <w:spacing w:after="0" w:line="14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clients may cancel or modify their agreements with us, or may not make timely or complete payments due to the COVID-19 pandemic or other factors;</w:t>
      </w:r>
    </w:p>
    <w:p>
      <w:pPr>
        <w:spacing w:after="0" w:line="143"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will not successfully meet customer contract requirements or the service levels specified in the contracts, which may result in contract penalties or lost revenue;</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experience processing errors that result in credits to customers, re-performance of services or payment of damages to customers;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our performance may decline and we lose advertisers and revenue if the use of "third-party cookies" or other tracking technology is rejected by Internet users, restricted or otherwise subject to</w:t>
      </w:r>
    </w:p>
    <w:p>
      <w:pPr>
        <w:sectPr>
          <w:pgSz w:w="11900" w:h="16838" w:orient="portrait"/>
          <w:cols w:equalWidth="0" w:num="1">
            <w:col w:w="11200"/>
          </w:cols>
          <w:pgMar w:left="320" w:top="1111" w:right="37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1" w:right="379" w:bottom="1440" w:gutter="0" w:footer="0" w:header="0"/>
          <w:type w:val="continuous"/>
        </w:sectPr>
      </w:pPr>
    </w:p>
    <w:bookmarkStart w:id="5" w:name="page6"/>
    <w:bookmarkEnd w:id="5"/>
    <w:p>
      <w:pPr>
        <w:ind w:left="660"/>
        <w:spacing w:after="0" w:line="261" w:lineRule="auto"/>
        <w:rPr>
          <w:sz w:val="20"/>
          <w:szCs w:val="20"/>
          <w:color w:val="auto"/>
        </w:rPr>
      </w:pPr>
      <w:r>
        <w:rPr>
          <w:rFonts w:ascii="Arial" w:cs="Arial" w:eastAsia="Arial" w:hAnsi="Arial"/>
          <w:sz w:val="18"/>
          <w:szCs w:val="18"/>
          <w:color w:val="auto"/>
        </w:rPr>
        <w:t>unfavorable regulation, blocked or limited by technical changes on end users' devices, or our or our clients' ability to use data on our platform is otherwise restricted;</w:t>
      </w:r>
    </w:p>
    <w:p>
      <w:pPr>
        <w:spacing w:after="0" w:line="14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and global negative conditions, including the COVID-19 pandemic and related causes;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tax rate and other effects of the changes to U.S. federal tax law.</w:t>
      </w:r>
    </w:p>
    <w:p>
      <w:pPr>
        <w:spacing w:after="0" w:line="25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With respect to the provision of products or services outside our primary base of operations in the United States, all of the above factors apply, along with the difficulty of doing business in numerous sovereign jurisdictions due to differences in scale, competition, culture, laws and regulations.</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Other factors are detailed from time to time in periodic reports and registration statements filed with the SEC. The Company believes that it has the product and technology offerings, facilities, associates and competitive and financial resources for continued business success, but future revenues, costs, margins and profits are all influenced by a number of factors, including those discussed above, all of which are inherently difficult to forecast.</w:t>
      </w:r>
    </w:p>
    <w:p>
      <w:pPr>
        <w:spacing w:after="0" w:line="204"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In light of these risks, uncertainties and assumptions, the Company cautions readers not to place undue reliance on any forward-looking statements. Forward-looking statements and such risks, uncertainties and assumptions speak only as of the date of this Annual Report on Form 10-K, and the Company expressly disclaims any obligation or undertaking to update or revise any forward-looking statements contained herein, to reflect any change in our expectations with regard thereto, or any other change based on the occurrence of future events, the receipt of new information or otherwise, except to the extent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11" w:right="4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Item 1. Business</w:t>
      </w:r>
    </w:p>
    <w:p>
      <w:pPr>
        <w:spacing w:after="0" w:line="24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September 20, 2018, we implemented a holding company reorganization, as a result of which Acxiom Holdings, Inc. became the successor issuer to Acxiom Corporation. On October 1, 2018, we changed our name to LiveRamp Holdings, Inc. ("LiveRamp"). References to "we", "us", "our" or the "Company" for events that occurred prior to September 20, 2018 refer to Acxiom Corporation and its subsidiaries; for events that occurred from September 20, 2018 to October 1, 2018, to Acxiom Holdings, Inc. and its subsidiaries; and after October 1, 2018, to LiveRamp Holdings, Inc. and its subsidiaries.</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LiveRamp is a global technology company with a vision of making it safe and easy for companies to use data effectively. We provide a best-in-class enterprise data connectivity platform that helps organizations better leverage customer data within and outside their four walls. Powered by core identity capabilities and an extensive network, LiveRamp enables companies and their partners to better connect, control, and activate data to transform customer experiences and generate more valuable business outcomes.</w:t>
      </w:r>
    </w:p>
    <w:p>
      <w:pPr>
        <w:spacing w:after="0" w:line="2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client base from locations in the United States, Europe, and the Asia-Pacific (“APAC”) region. Our direct client list includes many of the world’s largest and best-known brands across most major industry verticals, including but not limited to financial, insurance and investment services, retail, automotive, telecommunications, high tech, consumer packaged goods, healthcare, travel, entertainment, non-profit, and government. Through our extensive reseller and partnership network, we serve thousands of additional companies, establishing LiveRamp as a foundational and neutral enabler of the customer experience economy.</w:t>
      </w:r>
    </w:p>
    <w:p>
      <w:pPr>
        <w:spacing w:after="0" w:line="22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fiscal 2020, the Company closed its merger with Data Plus Math Corporation ("DPM"), a media measurement company that works with brands, agencies, cable operators, streaming TV services and networks to tie cross-screen ad exposure with real-world outcomes. The Company has included the financial results of DPM in the consolidated financial statements as of the second quarter of fiscal 2020. The acquisition date fair value of the consideration for DPM was approximately $118.0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2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are experiencing a convergence of several key industry trends that are shaping the future of how data is used to power the customer experience economy. Some of these key trends include: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Growing Data Usage</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Advances in software and hardware and the growing use of the Internet have made it possible to collect and rapidly process massive amounts of personal data. Data vendors are able to collect user information across a wide range of offline and online properties and connected devices, and to aggregate and combine it with other data sources. This data can be integrated with a company's own proprietary data and can be made non-identifiable if the use case requires it. Through the use of these data sources, together with real-time feedback on consumer reactions to the ads, data-driven advertising increases the value of impressions for marketers, inventory owners and viewers who receive more personalized and relevant ads.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Tremendous Complexity</w:t>
      </w:r>
    </w:p>
    <w:p>
      <w:pPr>
        <w:spacing w:after="0" w:line="274"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The customer experience economy has evolved significantly in recent years driven by rapid innovation and an explosion of data, channels, devices, and applications. Historically, brands interacted with consumers through a limited number of channels, with limited visibility into the activities taking place. Today, companies interact with consumers across a growing number of touchpoints, including online, social, mobile and point-of-sale. The billions of interactions that take place each day between brands and consumers create a trove of valuable data that can be harnessed to power better interactions and experiences. However, most enterprise marketers remain unable to cut through the complexity to effectively leverage this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Increasing Fragmentation</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Today, customer journeys span multiple channels and devices over time, resulting in data silos and fragmented identities. As consumers engage with brands across various touchpoints – over the web, mobile devices and applications, by email and television, and in physical stores – they may not be represented as single unique individuals with complex behaviors, appearing instead as disparate data points with dozens of different identifiers. Becky Smith who lives at 123 Main Street may appear as beckys@acme.com when she uses Facebook, becky@yahoo.com when she signs into Yahoo Finance, cookie 123 when she browses msn.com, cookie ABC when she browses aol.com, device ID 234 on Hulu and so on. As a result, enterprise marketers struggle to understand the cross-channel, cross-device habits of consumers and the different steps they take on their path to conversion. More specifically, data silos and fragmented identities prevent companies from being able to resolve all relevant data to a specific individual; this poses a challenge to the formation of accurate, actionable insights about a brand’s consumers or campaigns.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Waste</w:t>
      </w:r>
    </w:p>
    <w:p>
      <w:pPr>
        <w:spacing w:after="0" w:line="24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Every day, brands spend billions of dollars on advertising and marketing, yet many of the messages they deliver are irrelevant, repetitive, mistimed, or simply reach the wrong audience. In addition, as the marketing landscape continues to grow and splinter across a growing array of online and offline channels, it is increasingly difficult to attribute marketing spend to a measurable outcome, such as an in-store visit or sale. Wasted marketing spend is largely driven by the fragmented ecosystem of brands, data providers, marketing applications, media providers, and agencies that are involved in the marketing process, but operate without cohesion. Without a common understanding of consumer identity to unify otherwise siloed data, brands are unable to define accurate audience segments and derive insights that would enable better decision making.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Heightened Privacy and Security Concerns</w:t>
      </w:r>
    </w:p>
    <w:p>
      <w:pPr>
        <w:spacing w:after="0" w:line="24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era of regulation such as the European General Data Protection Regulation ("GDPR") and the California Consumer Privacy Act ("CCPA"), diligence in the areas of consumer privacy and security is and will continue to be paramount. Consumer understanding of the benefits of marketing technology often lags the pace of innovation, inspiring new demands from government agencies and consumer advocacy groups across the world. These factors challenge the liability every company faces when managing and activating consumer data.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 Experience in the Data-Driven Era</w:t>
      </w:r>
    </w:p>
    <w:p>
      <w:pPr>
        <w:spacing w:after="0" w:line="2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the world becomes more multichannel, consumer behavior is rapidly shifting, and organizations are increasingly realizing that true competitive advantage lies in providing meaningful customer experiences – experiences that are personalized, relevant and cohesive across all channels and interactions. Experience is the key to brand differentiation and retention. A recent Forrester Consulting study of global organizations found that experience-driven businesses grow revenues 1.4x the rate of other companies and enjoy significantly higher customer retention rates. Companies that fail to prioritize customer experience as a strategic growth initiative will simply get left behind.</w:t>
      </w:r>
    </w:p>
    <w:p>
      <w:pPr>
        <w:spacing w:after="0" w:line="23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concert, consumer expectations are also at an all-time high – in fact, 67% of consumers say their standard for good experiences is higher than it has ever been. Consumers are demanding personalization – and, in this new area, every consumer interaction has the potential to be individually relevant, addressable, and measurable.</w:t>
      </w:r>
    </w:p>
    <w:p>
      <w:pPr>
        <w:spacing w:after="0" w:line="2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Data is at the center of exceptional customer experiences but is still vastly underutilized. Organizations must capture, analyze, understand – and, most importantly use – customer data to power the customer experience. By understanding which devices, email addresses, and postal addresses relate to the same individual, enterprise marketers can leverage that insight to deliver seamless experiences as consumers engage with a company across all touchpoints. At the same time, by reaching consumers at the individual level, organizations can reduce marketing waste and more easily attribute their marketing spend to actual results. Enterprise marketers recognize the huge opportunity big data brings, yet over half admit they are not using their data to effectively drive their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Growing Complexity</w:t>
      </w:r>
    </w:p>
    <w:p>
      <w:pPr>
        <w:spacing w:after="0" w:line="261"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Innovation has fueled the growth of a highly-fragmented technology landscape, forcing companies to contend with thousands of marketing technologies and data silos. To make every customer experience relevant across channels and devices, organizations need a trusted platform that can break down those silos, make data portable, and accurately recognize individuals throughout the customer journey. Marketing is becoming more audience-centric, automated, and optimized. However, several important factors still prevent data from being used effectively to optimize the customer experience:</w:t>
      </w:r>
    </w:p>
    <w:p>
      <w:pPr>
        <w:spacing w:after="0" w:line="210" w:lineRule="exact"/>
        <w:rPr>
          <w:sz w:val="20"/>
          <w:szCs w:val="20"/>
          <w:color w:val="auto"/>
        </w:rPr>
      </w:pPr>
    </w:p>
    <w:p>
      <w:pPr>
        <w:ind w:left="660" w:right="100" w:hanging="328"/>
        <w:spacing w:after="0" w:line="318" w:lineRule="auto"/>
        <w:tabs>
          <w:tab w:leader="none" w:pos="655"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Identity. </w:t>
      </w:r>
      <w:r>
        <w:rPr>
          <w:rFonts w:ascii="Arial" w:cs="Arial" w:eastAsia="Arial" w:hAnsi="Arial"/>
          <w:sz w:val="17"/>
          <w:szCs w:val="17"/>
          <w:color w:val="auto"/>
        </w:rPr>
        <w:t>For organizations to target audiences at the individual level, they must be able to recognize consumers across all channels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devices, and link multiple identifiers and data elements back to a persistent identifier to create a single view of the customer.</w:t>
      </w:r>
    </w:p>
    <w:p>
      <w:pPr>
        <w:spacing w:after="0" w:line="156" w:lineRule="exact"/>
        <w:rPr>
          <w:rFonts w:ascii="Arial" w:cs="Arial" w:eastAsia="Arial" w:hAnsi="Arial"/>
          <w:sz w:val="17"/>
          <w:szCs w:val="17"/>
          <w:b w:val="1"/>
          <w:bCs w:val="1"/>
          <w:i w:val="1"/>
          <w:iCs w:val="1"/>
          <w:color w:val="auto"/>
        </w:rPr>
      </w:pPr>
    </w:p>
    <w:p>
      <w:pPr>
        <w:ind w:left="660" w:right="180" w:hanging="328"/>
        <w:spacing w:after="0" w:line="268"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Scaled Data Assets. </w:t>
      </w:r>
      <w:r>
        <w:rPr>
          <w:rFonts w:ascii="Arial" w:cs="Arial" w:eastAsia="Arial" w:hAnsi="Arial"/>
          <w:sz w:val="18"/>
          <w:szCs w:val="18"/>
          <w:color w:val="auto"/>
        </w:rPr>
        <w:t>Quality, depth, and recency of data matters when deriving linkages between identifiers. Organizations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access to an extensive set of data and be able to match that data with a high degree of accuracy to perform true cross-device audience targeting.</w:t>
      </w:r>
    </w:p>
    <w:p>
      <w:pPr>
        <w:spacing w:after="0" w:line="197" w:lineRule="exact"/>
        <w:rPr>
          <w:rFonts w:ascii="Arial" w:cs="Arial" w:eastAsia="Arial" w:hAnsi="Arial"/>
          <w:sz w:val="18"/>
          <w:szCs w:val="18"/>
          <w:b w:val="1"/>
          <w:bCs w:val="1"/>
          <w:i w:val="1"/>
          <w:iCs w:val="1"/>
          <w:color w:val="auto"/>
        </w:rPr>
      </w:pPr>
    </w:p>
    <w:p>
      <w:pPr>
        <w:ind w:left="660" w:right="40" w:hanging="328"/>
        <w:spacing w:after="0" w:line="287"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Connectivity. </w:t>
      </w:r>
      <w:r>
        <w:rPr>
          <w:rFonts w:ascii="Arial" w:cs="Arial" w:eastAsia="Arial" w:hAnsi="Arial"/>
          <w:sz w:val="18"/>
          <w:szCs w:val="18"/>
          <w:color w:val="auto"/>
        </w:rPr>
        <w:t>The fragmented marketing landscape creates a need for a common network of integrations that make it easy and safe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match and activate data anywhere in the ecosystem.</w:t>
      </w:r>
    </w:p>
    <w:p>
      <w:pPr>
        <w:spacing w:after="0" w:line="179" w:lineRule="exact"/>
        <w:rPr>
          <w:rFonts w:ascii="Arial" w:cs="Arial" w:eastAsia="Arial" w:hAnsi="Arial"/>
          <w:sz w:val="18"/>
          <w:szCs w:val="18"/>
          <w:b w:val="1"/>
          <w:bCs w:val="1"/>
          <w:i w:val="1"/>
          <w:iCs w:val="1"/>
          <w:color w:val="auto"/>
        </w:rPr>
      </w:pPr>
    </w:p>
    <w:p>
      <w:pPr>
        <w:ind w:left="660" w:right="220" w:hanging="328"/>
        <w:spacing w:after="0" w:line="262" w:lineRule="auto"/>
        <w:tabs>
          <w:tab w:leader="none" w:pos="655"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Walled Gardens. </w:t>
      </w:r>
      <w:r>
        <w:rPr>
          <w:rFonts w:ascii="Arial" w:cs="Arial" w:eastAsia="Arial" w:hAnsi="Arial"/>
          <w:sz w:val="18"/>
          <w:szCs w:val="18"/>
          <w:color w:val="auto"/>
        </w:rPr>
        <w:t>Walled gardens, or marketing platforms that restrict the use of data outside of their walls, are becoming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pervasive and can result in loss of control, lack of transparency, and fragmented brand experiences. Organizations need a solution that enables an open ecosystem and ensures complete control over customer data, along with the flexibility to choose a diversified approach to meeting marketing goals.</w:t>
      </w:r>
    </w:p>
    <w:p>
      <w:pPr>
        <w:spacing w:after="0" w:line="203" w:lineRule="exact"/>
        <w:rPr>
          <w:rFonts w:ascii="Arial" w:cs="Arial" w:eastAsia="Arial" w:hAnsi="Arial"/>
          <w:sz w:val="18"/>
          <w:szCs w:val="18"/>
          <w:b w:val="1"/>
          <w:bCs w:val="1"/>
          <w:i w:val="1"/>
          <w:iCs w:val="1"/>
          <w:color w:val="auto"/>
        </w:rPr>
      </w:pPr>
    </w:p>
    <w:p>
      <w:pPr>
        <w:ind w:left="660" w:right="2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Ethical Use of Data. </w:t>
      </w:r>
      <w:r>
        <w:rPr>
          <w:rFonts w:ascii="Arial" w:cs="Arial" w:eastAsia="Arial" w:hAnsi="Arial"/>
          <w:sz w:val="18"/>
          <w:szCs w:val="18"/>
          <w:color w:val="auto"/>
        </w:rPr>
        <w:t>Preserving brand integrity and delivering positive customer experiences is a top priority for every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must be able to manage large sets of complex data ethically, securely, within legal boundaries, and in a way that protects consumers from harms. Importantly, they must also honor consumer preferences and put procedures in place that enable individuals to control how, when and for what reasons companies collect and use information about them.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Companies want to enable better decisions, improve ROI and deliver better experiences to its customers – and it all begins with data. However, given the rapid adoption of new platforms and channels, enterprise marketers remain plagued by fragmented data – resulting in a shallow, incomplete or incorrect understanding of the people they do business with. Data today is still too hard to access, too hard to make sense of and too hard to activate across all the touchpoints where it could power better decision-making and better experiences. Data fragmentation is the reason companies struggle to deliver relevant, consistent and meaningful experiences to their customers. Our mission is to break down silos and make data safe and easy to use. Leveraging our core capabilities in data access, identity resolution, connectivity and data stewardship, we create the foundation off which the ecosystem can deliver innovative products and services.</w:t>
      </w:r>
    </w:p>
    <w:p>
      <w:pPr>
        <w:spacing w:after="0" w:line="23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We are middleware for the customer experience economy. LiveRamp provides the trusted platform that sits in between customer data and the thousands of applications that data could power. We make data consistent, consumable and portable. We ensure the seamless connection of data to and from the customer experience applications our customers use. We empower businesses to make data more accessible and create richer, more meaningful experiences for their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The LiveRamp Platform</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depicted in the graphic below, we power the industry’s leading enterprise data connectivity platform. We enable organizations to access and leverage data more effectively across the applications they use to interact with their customers. A core component of our platform is the omnichannel, deterministic identity graph that sits at its center. Leveraging this knowledgebase, the LiveRamp platform resolves a customer’s data (first-, second-, or third-party) to consumer identifiers that represent real people in a way that protects consumer privacy. This omnichannel view of the consumer can then be activated across any of the 550 partners in our ecosystem in order to support a variety of people-based marketing solutions, including:</w:t>
      </w:r>
    </w:p>
    <w:p>
      <w:pPr>
        <w:spacing w:after="0" w:line="213" w:lineRule="exact"/>
        <w:rPr>
          <w:sz w:val="20"/>
          <w:szCs w:val="20"/>
          <w:color w:val="auto"/>
        </w:rPr>
      </w:pPr>
    </w:p>
    <w:p>
      <w:pPr>
        <w:ind w:left="660" w:right="20" w:hanging="328"/>
        <w:spacing w:after="0" w:line="259"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Onboarding</w:t>
      </w:r>
      <w:r>
        <w:rPr>
          <w:rFonts w:ascii="Arial" w:cs="Arial" w:eastAsia="Arial" w:hAnsi="Arial"/>
          <w:sz w:val="18"/>
          <w:szCs w:val="18"/>
          <w:color w:val="auto"/>
        </w:rPr>
        <w:t>. We enable customers to leverage their first-party data in the digital and TV ecosystems through a safe and secure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matching process called data onboarding. Our technology ingests a customer’s first-party data, removes all offline data (personally identifiable information or "PII"), and replaces them with anonymized IDs called IdentityLink™, a true people-based identifier. IdentityLink can then be distributed through direct integrations to the top platforms in the digital ecosystem, including leading DMPs and DSPs, publishers and social networks, personalization tools, and connected TV services.</w:t>
      </w:r>
    </w:p>
    <w:p>
      <w:pPr>
        <w:spacing w:after="0" w:line="206" w:lineRule="exact"/>
        <w:rPr>
          <w:rFonts w:ascii="Arial" w:cs="Arial" w:eastAsia="Arial" w:hAnsi="Arial"/>
          <w:sz w:val="18"/>
          <w:szCs w:val="18"/>
          <w:b w:val="1"/>
          <w:bCs w:val="1"/>
          <w:i w:val="1"/>
          <w:iCs w:val="1"/>
          <w:color w:val="auto"/>
        </w:rPr>
      </w:pPr>
    </w:p>
    <w:p>
      <w:pPr>
        <w:ind w:left="660" w:right="40" w:hanging="328"/>
        <w:spacing w:after="0" w:line="274" w:lineRule="auto"/>
        <w:tabs>
          <w:tab w:leader="none" w:pos="655" w:val="left"/>
        </w:tabs>
        <w:numPr>
          <w:ilvl w:val="0"/>
          <w:numId w:val="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Identity Resolution</w:t>
      </w:r>
      <w:r>
        <w:rPr>
          <w:rFonts w:ascii="Arial" w:cs="Arial" w:eastAsia="Arial" w:hAnsi="Arial"/>
          <w:sz w:val="17"/>
          <w:szCs w:val="17"/>
          <w:color w:val="auto"/>
        </w:rPr>
        <w:t>. We provide enterprise-level identity resolution with accuracy, reach, privacy, flexibility and scale. Our identity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resolution capabilities are built from two complementary graphs, combining offline data and online data and providing the highest level of accuracy while still being privacy compliant. LiveRamp technology for PII gives brands and platforms the ability to connect and update what they know about consumers, resolving PII across enterprise databases and systems to deliver better customer experiences in a privacy-conscious manner. Our digital identity graph associates anonymous device IDs, cookie IDs and other online customer IDs from premium publishers, platforms or data providers, around an IdentityLink. This allows marketers to perform the personalized segmentation, targeting, and measurement use cases that require a consistent view of the user in anonymous spaces.</w:t>
      </w:r>
    </w:p>
    <w:p>
      <w:pPr>
        <w:spacing w:after="0" w:line="192" w:lineRule="exact"/>
        <w:rPr>
          <w:rFonts w:ascii="Arial" w:cs="Arial" w:eastAsia="Arial" w:hAnsi="Arial"/>
          <w:sz w:val="17"/>
          <w:szCs w:val="17"/>
          <w:b w:val="1"/>
          <w:bCs w:val="1"/>
          <w:i w:val="1"/>
          <w:iCs w:val="1"/>
          <w:color w:val="auto"/>
        </w:rPr>
      </w:pPr>
    </w:p>
    <w:p>
      <w:pPr>
        <w:ind w:left="660" w:right="320" w:hanging="328"/>
        <w:spacing w:after="0" w:line="257"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Data Networks. </w:t>
      </w:r>
      <w:r>
        <w:rPr>
          <w:rFonts w:ascii="Arial" w:cs="Arial" w:eastAsia="Arial" w:hAnsi="Arial"/>
          <w:sz w:val="18"/>
          <w:szCs w:val="18"/>
          <w:color w:val="auto"/>
        </w:rPr>
        <w:t>We enable the search, discovery and distribution of data, with access to trusted industry leading third-party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globally. The LiveRamp platform allows users to organize, group and access customer data, connected via IdentityLink, to benefit from better campaign targeting and audience intelligence. Our platform also provides the tools for data providers to manage the organization, access, and operation of their data and services available across platforms, publishers, agencies, brands, and data companies. Providers and buyers can also choose to leverage our neutral data marketplace (see below for discussion on the LiveRamp Data Marketplace), featuring 150 providers across all verticals and data types.</w:t>
      </w:r>
    </w:p>
    <w:p>
      <w:pPr>
        <w:spacing w:after="0" w:line="209" w:lineRule="exact"/>
        <w:rPr>
          <w:rFonts w:ascii="Arial" w:cs="Arial" w:eastAsia="Arial" w:hAnsi="Arial"/>
          <w:sz w:val="18"/>
          <w:szCs w:val="18"/>
          <w:b w:val="1"/>
          <w:bCs w:val="1"/>
          <w:i w:val="1"/>
          <w:iCs w:val="1"/>
          <w:color w:val="auto"/>
        </w:rPr>
      </w:pPr>
    </w:p>
    <w:p>
      <w:pPr>
        <w:ind w:left="660" w:right="200" w:hanging="328"/>
        <w:spacing w:after="0" w:line="262"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Measurement &amp; Analytics. </w:t>
      </w:r>
      <w:r>
        <w:rPr>
          <w:rFonts w:ascii="Arial" w:cs="Arial" w:eastAsia="Arial" w:hAnsi="Arial"/>
          <w:sz w:val="18"/>
          <w:szCs w:val="18"/>
          <w:color w:val="auto"/>
        </w:rPr>
        <w:t>We power more accurate, more complete measurement with the measurement vendors and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customers use. Our platform allows customers to combine disparate data files (typically ad exposure and customer events, like transactions), replacing customer identifiers with IdentityLink. Customers then can use that aggregated view of each customer for measurement of reach and frequency, sales lift, closed loop offline to online conversion and cross-channel attribution.</w:t>
      </w:r>
    </w:p>
    <w:p>
      <w:pPr>
        <w:spacing w:after="0" w:line="203" w:lineRule="exact"/>
        <w:rPr>
          <w:rFonts w:ascii="Arial" w:cs="Arial" w:eastAsia="Arial" w:hAnsi="Arial"/>
          <w:sz w:val="18"/>
          <w:szCs w:val="18"/>
          <w:b w:val="1"/>
          <w:bCs w:val="1"/>
          <w:i w:val="1"/>
          <w:iCs w:val="1"/>
          <w:color w:val="auto"/>
        </w:rPr>
      </w:pPr>
    </w:p>
    <w:p>
      <w:pPr>
        <w:ind w:left="660" w:right="160" w:hanging="328"/>
        <w:spacing w:after="0" w:line="262"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Analytics Environments. </w:t>
      </w:r>
      <w:r>
        <w:rPr>
          <w:rFonts w:ascii="Arial" w:cs="Arial" w:eastAsia="Arial" w:hAnsi="Arial"/>
          <w:sz w:val="18"/>
          <w:szCs w:val="18"/>
          <w:color w:val="auto"/>
        </w:rPr>
        <w:t>We also help enable in-house data science analytics, providing an end-to-end customized measurement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designed for marketers looking to create an omnichannel view of the customer journey. Leveraging our identity graph, we help organizations control and aggregate all their customer data to interrogate, explore, analyze and report within our data science environment, that powers the deep functionality of a data lake.</w:t>
      </w:r>
    </w:p>
    <w:p>
      <w:pPr>
        <w:spacing w:after="0" w:line="203" w:lineRule="exact"/>
        <w:rPr>
          <w:rFonts w:ascii="Arial" w:cs="Arial" w:eastAsia="Arial" w:hAnsi="Arial"/>
          <w:sz w:val="18"/>
          <w:szCs w:val="18"/>
          <w:b w:val="1"/>
          <w:bCs w:val="1"/>
          <w:i w:val="1"/>
          <w:iCs w:val="1"/>
          <w:color w:val="auto"/>
        </w:rPr>
      </w:pPr>
    </w:p>
    <w:p>
      <w:pPr>
        <w:ind w:left="660" w:right="20" w:hanging="328"/>
        <w:spacing w:after="0" w:line="262" w:lineRule="auto"/>
        <w:tabs>
          <w:tab w:leader="none" w:pos="65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Consent Management. </w:t>
      </w:r>
      <w:r>
        <w:rPr>
          <w:rFonts w:ascii="Arial" w:cs="Arial" w:eastAsia="Arial" w:hAnsi="Arial"/>
          <w:sz w:val="18"/>
          <w:szCs w:val="18"/>
          <w:color w:val="auto"/>
        </w:rPr>
        <w:t>Our Consent Management Platform ("CMP") empowers consumers to maintain their privacy while facilitating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for brands and publishers. Our CMP informs website visitors about the data being collected on them and how it will be used. We provide the tools to give consumers control and choice over their personal data, publishers the solutions to operate sustainable business models, and brands the ability to advertise more relevantly and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1374140</wp:posOffset>
            </wp:positionH>
            <wp:positionV relativeFrom="page">
              <wp:posOffset>603250</wp:posOffset>
            </wp:positionV>
            <wp:extent cx="4800600" cy="5572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800600" cy="557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Consumer privacy and data protection, what we call Data Ethics, are at the center of how we design our products and services. Accordingly, the LiveRamp platform operates with technical, operational, and personnel controls designed to keep our customers’ data private and secure.</w:t>
      </w:r>
    </w:p>
    <w:p>
      <w:pPr>
        <w:spacing w:after="0" w:line="22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solutions are sold to enterprise marketers and the companies they partner with to execute their marketing, including agencies, marketing technology providers, publishers and data providers. Today, we work with over 780 direct customers world-wide, including approximately 22% of the Fortune 500, and serve thousands of additional customers indirectly through our reseller partnership arrangements.</w:t>
      </w:r>
    </w:p>
    <w:p>
      <w:pPr>
        <w:spacing w:after="0" w:line="208" w:lineRule="exact"/>
        <w:rPr>
          <w:sz w:val="20"/>
          <w:szCs w:val="20"/>
          <w:color w:val="auto"/>
        </w:rPr>
      </w:pPr>
    </w:p>
    <w:p>
      <w:pPr>
        <w:jc w:val="both"/>
        <w:ind w:left="660" w:right="60" w:hanging="328"/>
        <w:spacing w:after="0" w:line="268"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Brands and Agencies. </w:t>
      </w:r>
      <w:r>
        <w:rPr>
          <w:rFonts w:ascii="Arial" w:cs="Arial" w:eastAsia="Arial" w:hAnsi="Arial"/>
          <w:sz w:val="18"/>
          <w:szCs w:val="18"/>
          <w:color w:val="auto"/>
        </w:rPr>
        <w:t>We work with over 400 of the largest brands and agencies in the world, helping them execute people-based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by creating an omni-channel understanding of the consumer and activating that understanding across their choice of best-of-breed digital marketing platforms.</w:t>
      </w:r>
    </w:p>
    <w:p>
      <w:pPr>
        <w:spacing w:after="0" w:line="197" w:lineRule="exact"/>
        <w:rPr>
          <w:rFonts w:ascii="Arial" w:cs="Arial" w:eastAsia="Arial" w:hAnsi="Arial"/>
          <w:sz w:val="18"/>
          <w:szCs w:val="18"/>
          <w:b w:val="1"/>
          <w:bCs w:val="1"/>
          <w:i w:val="1"/>
          <w:iCs w:val="1"/>
          <w:color w:val="auto"/>
        </w:rPr>
      </w:pPr>
    </w:p>
    <w:p>
      <w:pPr>
        <w:jc w:val="both"/>
        <w:ind w:left="660" w:right="100" w:hanging="328"/>
        <w:spacing w:after="0" w:line="268" w:lineRule="auto"/>
        <w:tabs>
          <w:tab w:leader="none" w:pos="655"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Marketing Technology Providers. </w:t>
      </w:r>
      <w:r>
        <w:rPr>
          <w:rFonts w:ascii="Arial" w:cs="Arial" w:eastAsia="Arial" w:hAnsi="Arial"/>
          <w:sz w:val="18"/>
          <w:szCs w:val="18"/>
          <w:color w:val="auto"/>
        </w:rPr>
        <w:t>We provide marketing technology providers with the identity foundation required to offer people-based targeting, measurement and personalization within their platforms. This adds value for brands by increasing reach, as well as the speed at which they can activate their marketing data.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ind w:left="660" w:right="340" w:hanging="328"/>
        <w:spacing w:after="0" w:line="287"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Publishers. </w:t>
      </w:r>
      <w:r>
        <w:rPr>
          <w:rFonts w:ascii="Arial" w:cs="Arial" w:eastAsia="Arial" w:hAnsi="Arial"/>
          <w:sz w:val="18"/>
          <w:szCs w:val="18"/>
          <w:color w:val="auto"/>
        </w:rPr>
        <w:t>We enable publishers of any size to offer people-based marketing on their properties. This adds value for brands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direct access to their customers and prospects in the publisher's premium inventory.</w:t>
      </w:r>
    </w:p>
    <w:p>
      <w:pPr>
        <w:spacing w:after="0" w:line="179" w:lineRule="exact"/>
        <w:rPr>
          <w:rFonts w:ascii="Arial" w:cs="Arial" w:eastAsia="Arial" w:hAnsi="Arial"/>
          <w:sz w:val="18"/>
          <w:szCs w:val="18"/>
          <w:b w:val="1"/>
          <w:bCs w:val="1"/>
          <w:i w:val="1"/>
          <w:iCs w:val="1"/>
          <w:color w:val="auto"/>
        </w:rPr>
      </w:pPr>
    </w:p>
    <w:p>
      <w:pPr>
        <w:ind w:left="660" w:hanging="328"/>
        <w:spacing w:after="0" w:line="262" w:lineRule="auto"/>
        <w:tabs>
          <w:tab w:leader="none" w:pos="655"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Data Owners. </w:t>
      </w:r>
      <w:r>
        <w:rPr>
          <w:rFonts w:ascii="Arial" w:cs="Arial" w:eastAsia="Arial" w:hAnsi="Arial"/>
          <w:sz w:val="18"/>
          <w:szCs w:val="18"/>
          <w:color w:val="auto"/>
        </w:rPr>
        <w:t>Leveraging our vast network of integrations, we allow data owners to easily connect to the digital ecosystem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monetize their own data. Data can be distributed to clients or made available through the </w:t>
      </w:r>
      <w:r>
        <w:rPr>
          <w:rFonts w:ascii="Arial" w:cs="Arial" w:eastAsia="Arial" w:hAnsi="Arial"/>
          <w:sz w:val="18"/>
          <w:szCs w:val="18"/>
          <w:b w:val="1"/>
          <w:bCs w:val="1"/>
          <w:color w:val="auto"/>
        </w:rPr>
        <w:t>LiveRamp Data Marketplace</w:t>
      </w:r>
      <w:r>
        <w:rPr>
          <w:rFonts w:ascii="Arial" w:cs="Arial" w:eastAsia="Arial" w:hAnsi="Arial"/>
          <w:sz w:val="18"/>
          <w:szCs w:val="18"/>
          <w:color w:val="auto"/>
        </w:rPr>
        <w:t xml:space="preserve"> feature. This adds value for brands as it allows them to augment their understanding of consumers and increase both their reach against and understanding of customers and prospects.</w:t>
      </w:r>
    </w:p>
    <w:p>
      <w:pPr>
        <w:spacing w:after="0" w:line="22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primarily charge for IdentityLink on an annual subscription basis. Our subscription pricing is based primarily on data volume supported by our platform.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Marketplace</w:t>
      </w:r>
    </w:p>
    <w:p>
      <w:pPr>
        <w:spacing w:after="0" w:line="27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we have scaled the LiveRamp network and technology, we have found additional ways to leverage our platform, deliver more value to clients and create incremental revenue streams. Leveraging our common identity system and broad integration network, the LiveRamp Data Marketplace is a solution that seamlessly connects data owners’ audience data across the marketing ecosystem. The Data Marketplace allows data owners to easily monetize their data across hundreds of marketing platforms and publishers with a single contract. At the same time, it provides a single gateway where data buyers, including platforms and publishers, in addition to brands and their agencies, can access ethically sourced, high-quality third-party data from more than 150 data owners, supporting all industries and encompassing all types</w:t>
      </w:r>
    </w:p>
    <w:p>
      <w:pPr>
        <w:spacing w:after="0" w:line="1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of data. Data providers include sources and brands exclusive to LiveRamp, emerging platforms with access to previously unavailable deterministic data, and data partnerships enabled by our platform.</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generate revenue from the Data Marketplace primarily through revenue-sharing arrangements with data owners that are monetizing their data assets on our marketplace. This revenue is typically transactional in nature, tied to data volume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0"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Competitive Strengths</w:t>
      </w:r>
    </w:p>
    <w:p>
      <w:pPr>
        <w:spacing w:after="0" w:line="24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Our competitive strengths can be mapped back to our core capabilities around data access, identity, connectivity and data stewardship – which together create strong network effects that form a larger strategic moat around the entire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5863590" cy="131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6359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hanging="328"/>
        <w:spacing w:after="0" w:line="262"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Extensive Coverage. </w:t>
      </w:r>
      <w:r>
        <w:rPr>
          <w:rFonts w:ascii="Arial" w:cs="Arial" w:eastAsia="Arial" w:hAnsi="Arial"/>
          <w:sz w:val="18"/>
          <w:szCs w:val="18"/>
          <w:color w:val="auto"/>
        </w:rPr>
        <w:t>We activate data across an ecosystem of more than 550 partners, representing the largest network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connections in the digital marketing space. We use 100% deterministic matching, resulting in the strongest combination of reach and accuracy. Through our Data Marketplace, we offer multi-sourced insight into approximately 700 million consumers worldwide, and over 5,000 data elements from hundreds of sources with permission rights.</w:t>
      </w:r>
    </w:p>
    <w:p>
      <w:pPr>
        <w:spacing w:after="0" w:line="203" w:lineRule="exact"/>
        <w:rPr>
          <w:rFonts w:ascii="Arial" w:cs="Arial" w:eastAsia="Arial" w:hAnsi="Arial"/>
          <w:sz w:val="18"/>
          <w:szCs w:val="18"/>
          <w:color w:val="auto"/>
        </w:rPr>
      </w:pPr>
    </w:p>
    <w:p>
      <w:pPr>
        <w:ind w:left="660" w:right="4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Most Advanced Consumer-Level Recognition. </w:t>
      </w:r>
      <w:r>
        <w:rPr>
          <w:rFonts w:ascii="Arial" w:cs="Arial" w:eastAsia="Arial" w:hAnsi="Arial"/>
          <w:sz w:val="18"/>
          <w:szCs w:val="18"/>
          <w:color w:val="auto"/>
        </w:rPr>
        <w:t>Our proprietary, patented recognition technology draws upon an extensive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historical reference base to identify and link together multiple consumer records and identifiers. We use the pioneering algorithms of AbiliTec® and deterministic digital matching to link individuals and households to the right digital identifiers including cookies, mobile device IDs, Advanced TV IDs, and user accounts at social networks. As a result, we are able to match online and offline data with a high degree of speed and accuracy.</w:t>
      </w:r>
    </w:p>
    <w:p>
      <w:pPr>
        <w:spacing w:after="0" w:line="125" w:lineRule="exact"/>
        <w:rPr>
          <w:rFonts w:ascii="Arial" w:cs="Arial" w:eastAsia="Arial" w:hAnsi="Arial"/>
          <w:sz w:val="18"/>
          <w:szCs w:val="18"/>
          <w:color w:val="auto"/>
        </w:rPr>
      </w:pPr>
    </w:p>
    <w:p>
      <w:pPr>
        <w:ind w:left="660" w:right="8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Scale Leader in Data Connectivity. </w:t>
      </w:r>
      <w:r>
        <w:rPr>
          <w:rFonts w:ascii="Arial" w:cs="Arial" w:eastAsia="Arial" w:hAnsi="Arial"/>
          <w:sz w:val="18"/>
          <w:szCs w:val="18"/>
          <w:color w:val="auto"/>
        </w:rPr>
        <w:t>We are the category creator and largest provider of identity and data connectivity at scale.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match records with the highest level of accuracy and offer the most flexibility for activating data through our extensive set of integrations. Our platform processes more than 4 trillion data records daily.</w:t>
      </w:r>
    </w:p>
    <w:p>
      <w:pPr>
        <w:spacing w:after="0" w:line="116" w:lineRule="exact"/>
        <w:rPr>
          <w:rFonts w:ascii="Arial" w:cs="Arial" w:eastAsia="Arial" w:hAnsi="Arial"/>
          <w:sz w:val="18"/>
          <w:szCs w:val="18"/>
          <w:color w:val="auto"/>
        </w:rPr>
      </w:pPr>
    </w:p>
    <w:p>
      <w:pPr>
        <w:ind w:left="660" w:right="40" w:hanging="328"/>
        <w:spacing w:after="0" w:line="282"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Position in Marketing Ecosystem. </w:t>
      </w:r>
      <w:r>
        <w:rPr>
          <w:rFonts w:ascii="Arial" w:cs="Arial" w:eastAsia="Arial" w:hAnsi="Arial"/>
          <w:sz w:val="17"/>
          <w:szCs w:val="17"/>
          <w:color w:val="auto"/>
        </w:rPr>
        <w:t>We are the only open and neutral data connectivity platform operating at large scale.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the data connectivity required to build best-of-breed integrated marketing stacks, allowing our customers to innovate through their preferred choice of data, technology, and services providers. We strive to make every customer experience application more valuable by providing access to more customer data. We enable the open marketing stack and power the open ecosystem.</w:t>
      </w:r>
    </w:p>
    <w:p>
      <w:pPr>
        <w:spacing w:after="0" w:line="107" w:lineRule="exact"/>
        <w:rPr>
          <w:rFonts w:ascii="Arial" w:cs="Arial" w:eastAsia="Arial" w:hAnsi="Arial"/>
          <w:sz w:val="17"/>
          <w:szCs w:val="17"/>
          <w:color w:val="auto"/>
        </w:rPr>
      </w:pPr>
    </w:p>
    <w:p>
      <w:pPr>
        <w:ind w:left="660" w:right="10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 Bearer for Privacy and Security. </w:t>
      </w:r>
      <w:r>
        <w:rPr>
          <w:rFonts w:ascii="Arial" w:cs="Arial" w:eastAsia="Arial" w:hAnsi="Arial"/>
          <w:sz w:val="18"/>
          <w:szCs w:val="18"/>
          <w:color w:val="auto"/>
        </w:rPr>
        <w:t>LiveRamp has been a leader in data stewardship and a strong and vocal proponent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consumers with more visibility and control over their data. A few examples of our commitment in this area:</w:t>
      </w:r>
    </w:p>
    <w:p>
      <w:pPr>
        <w:spacing w:after="0" w:line="120"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all of our major geographies we have Privacy teams focused on the protection and responsible use of consumer data</w:t>
      </w:r>
    </w:p>
    <w:p>
      <w:pPr>
        <w:spacing w:after="0" w:line="171" w:lineRule="exact"/>
        <w:rPr>
          <w:rFonts w:ascii="Arial" w:cs="Arial" w:eastAsia="Arial" w:hAnsi="Arial"/>
          <w:sz w:val="18"/>
          <w:szCs w:val="18"/>
          <w:color w:val="auto"/>
        </w:rPr>
      </w:pPr>
    </w:p>
    <w:p>
      <w:pPr>
        <w:ind w:left="1300" w:right="440" w:hanging="320"/>
        <w:spacing w:after="0" w:line="261"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use of our privacy-enabled environment that allows marketers and partners to connect different types of data while protecting and governing its use</w:t>
      </w:r>
    </w:p>
    <w:p>
      <w:pPr>
        <w:spacing w:after="0" w:line="143" w:lineRule="exact"/>
        <w:rPr>
          <w:rFonts w:ascii="Arial" w:cs="Arial" w:eastAsia="Arial" w:hAnsi="Arial"/>
          <w:sz w:val="18"/>
          <w:szCs w:val="18"/>
          <w:color w:val="auto"/>
        </w:rPr>
      </w:pPr>
    </w:p>
    <w:p>
      <w:pPr>
        <w:ind w:left="1300" w:hanging="320"/>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Industry-leading expertise in safely connecting data across the online and offline worlds</w:t>
      </w:r>
    </w:p>
    <w:p>
      <w:pPr>
        <w:spacing w:after="0" w:line="171" w:lineRule="exact"/>
        <w:rPr>
          <w:rFonts w:ascii="Arial" w:cs="Arial" w:eastAsia="Arial" w:hAnsi="Arial"/>
          <w:sz w:val="18"/>
          <w:szCs w:val="18"/>
          <w:color w:val="auto"/>
        </w:rPr>
      </w:pPr>
    </w:p>
    <w:p>
      <w:pPr>
        <w:ind w:left="1300" w:right="40" w:hanging="320"/>
        <w:spacing w:after="0" w:line="261" w:lineRule="auto"/>
        <w:tabs>
          <w:tab w:leader="none" w:pos="12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fiscal 2020, the acquisition and integration of Faktor to streamline consent management across the open ecosystem. Faktor is a global consent management platform that allows consumers to better manage how and where their data is used.</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13" w:name="page14"/>
    <w:bookmarkEnd w:id="13"/>
    <w:p>
      <w:pPr>
        <w:ind w:left="660" w:right="8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Customer Relationships. </w:t>
      </w:r>
      <w:r>
        <w:rPr>
          <w:rFonts w:ascii="Arial" w:cs="Arial" w:eastAsia="Arial" w:hAnsi="Arial"/>
          <w:sz w:val="18"/>
          <w:szCs w:val="18"/>
          <w:color w:val="auto"/>
        </w:rPr>
        <w:t>We work with over 780 direct customers world-wide and serve thousands of additional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through our partner and reseller network. We have deep relationships with companies and marketing leaders in key industries, including financial services, retail, telecommunications, media, insurance, health care, automotive, technology, and travel and entertainment. Our customers are loyal and typically grow their use of the platform over time, as evidenced by our strong net dollar retention rate.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24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LiveRamp is a category creator, thought leader and innovator in how data is used to power the customer experience. Key elements of our growth strategy include:</w:t>
      </w:r>
    </w:p>
    <w:p>
      <w:pPr>
        <w:spacing w:after="0" w:line="203" w:lineRule="exact"/>
        <w:rPr>
          <w:sz w:val="20"/>
          <w:szCs w:val="20"/>
          <w:color w:val="auto"/>
        </w:rPr>
      </w:pPr>
    </w:p>
    <w:p>
      <w:pPr>
        <w:ind w:left="660" w:right="20" w:hanging="328"/>
        <w:spacing w:after="0" w:line="262"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Grow our Customer Base. </w:t>
      </w:r>
      <w:r>
        <w:rPr>
          <w:rFonts w:ascii="Arial" w:cs="Arial" w:eastAsia="Arial" w:hAnsi="Arial"/>
          <w:sz w:val="18"/>
          <w:szCs w:val="18"/>
          <w:color w:val="auto"/>
        </w:rPr>
        <w:t>We have strong relationships with many of the world’s largest brands, agencies, marketing technology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publishers and data providers. Today, we work with over 780 direct customers globally; however, we believe our target market includes the world’s top 2,000 marketers, signaling there is still significant opportunity to add new customers to our roster. We expect to continue making investments in growing our sales and customer success team to support this strategy.</w:t>
      </w:r>
    </w:p>
    <w:p>
      <w:pPr>
        <w:spacing w:after="0" w:line="203" w:lineRule="exact"/>
        <w:rPr>
          <w:rFonts w:ascii="Arial" w:cs="Arial" w:eastAsia="Arial" w:hAnsi="Arial"/>
          <w:sz w:val="18"/>
          <w:szCs w:val="18"/>
          <w:b w:val="1"/>
          <w:bCs w:val="1"/>
          <w:i w:val="1"/>
          <w:iCs w:val="1"/>
          <w:color w:val="auto"/>
        </w:rPr>
      </w:pPr>
    </w:p>
    <w:p>
      <w:pPr>
        <w:jc w:val="both"/>
        <w:ind w:left="660" w:right="120" w:hanging="328"/>
        <w:spacing w:after="0" w:line="262"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Expand Existing Customer Relationships</w:t>
      </w:r>
      <w:r>
        <w:rPr>
          <w:rFonts w:ascii="Arial" w:cs="Arial" w:eastAsia="Arial" w:hAnsi="Arial"/>
          <w:sz w:val="18"/>
          <w:szCs w:val="18"/>
          <w:color w:val="auto"/>
        </w:rPr>
        <w:t>. A key growth lever for our business is the ability to land and expand – or grow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Our subscription pricing is tiered based on data volume, so over time, as customers expand their usage and leverage their data across more use cases, we are able to grow our relationships. Today, we work with over 50 clients paying us $1 million or more, and as we continue to expand our coverage beyond programmatic, we expect to see this number grow.</w:t>
      </w:r>
    </w:p>
    <w:p>
      <w:pPr>
        <w:spacing w:after="0" w:line="203" w:lineRule="exact"/>
        <w:rPr>
          <w:rFonts w:ascii="Arial" w:cs="Arial" w:eastAsia="Arial" w:hAnsi="Arial"/>
          <w:sz w:val="18"/>
          <w:szCs w:val="18"/>
          <w:b w:val="1"/>
          <w:bCs w:val="1"/>
          <w:i w:val="1"/>
          <w:iCs w:val="1"/>
          <w:color w:val="auto"/>
        </w:rPr>
      </w:pPr>
    </w:p>
    <w:p>
      <w:pPr>
        <w:ind w:left="660" w:right="660" w:hanging="328"/>
        <w:spacing w:after="0" w:line="268"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Continue to Innovate and Extend Leadership Position in Identity. </w:t>
      </w:r>
      <w:r>
        <w:rPr>
          <w:rFonts w:ascii="Arial" w:cs="Arial" w:eastAsia="Arial" w:hAnsi="Arial"/>
          <w:sz w:val="18"/>
          <w:szCs w:val="18"/>
          <w:color w:val="auto"/>
        </w:rPr>
        <w:t>We intend to establish LiveRamp as the standard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consumer-level recognition across the marketing ecosystem, providing a single source of user identity for audience targeting, measurement and personalization.</w:t>
      </w:r>
    </w:p>
    <w:p>
      <w:pPr>
        <w:spacing w:after="0" w:line="197" w:lineRule="exact"/>
        <w:rPr>
          <w:rFonts w:ascii="Arial" w:cs="Arial" w:eastAsia="Arial" w:hAnsi="Arial"/>
          <w:sz w:val="18"/>
          <w:szCs w:val="18"/>
          <w:b w:val="1"/>
          <w:bCs w:val="1"/>
          <w:i w:val="1"/>
          <w:iCs w:val="1"/>
          <w:color w:val="auto"/>
        </w:rPr>
      </w:pPr>
    </w:p>
    <w:p>
      <w:pPr>
        <w:ind w:left="660" w:right="80" w:hanging="328"/>
        <w:spacing w:after="0" w:line="268"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Establish LiveRamp as the Trusted, Best and Essential Industry Standard for Connected Data. </w:t>
      </w:r>
      <w:r>
        <w:rPr>
          <w:rFonts w:ascii="Arial" w:cs="Arial" w:eastAsia="Arial" w:hAnsi="Arial"/>
          <w:sz w:val="18"/>
          <w:szCs w:val="18"/>
          <w:color w:val="auto"/>
        </w:rPr>
        <w:t>We intend to continue to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substantial investments in our platform and solutions and extend our market leadership through innovation. Our investments will focus on automation, speed, higher match rates, expanded partner integrations and use cases, and new product development.</w:t>
      </w:r>
    </w:p>
    <w:p>
      <w:pPr>
        <w:spacing w:after="0" w:line="197" w:lineRule="exact"/>
        <w:rPr>
          <w:rFonts w:ascii="Arial" w:cs="Arial" w:eastAsia="Arial" w:hAnsi="Arial"/>
          <w:sz w:val="18"/>
          <w:szCs w:val="18"/>
          <w:b w:val="1"/>
          <w:bCs w:val="1"/>
          <w:i w:val="1"/>
          <w:iCs w:val="1"/>
          <w:color w:val="auto"/>
        </w:rPr>
      </w:pPr>
    </w:p>
    <w:p>
      <w:pPr>
        <w:ind w:left="660" w:right="20" w:hanging="328"/>
        <w:spacing w:after="0" w:line="268"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 Global Footprint. </w:t>
      </w:r>
      <w:r>
        <w:rPr>
          <w:rFonts w:ascii="Arial" w:cs="Arial" w:eastAsia="Arial" w:hAnsi="Arial"/>
          <w:sz w:val="18"/>
          <w:szCs w:val="18"/>
          <w:color w:val="auto"/>
        </w:rPr>
        <w:t>Many of our customers and partners serve their customers on a global basis, and we intend to expand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presence outside of the United States to serve the needs of our customers in additional geographies. As we expand relationships with our existing customers, we are investing in select regions in Europe and Asia.</w:t>
      </w:r>
    </w:p>
    <w:p>
      <w:pPr>
        <w:spacing w:after="0" w:line="197" w:lineRule="exact"/>
        <w:rPr>
          <w:rFonts w:ascii="Arial" w:cs="Arial" w:eastAsia="Arial" w:hAnsi="Arial"/>
          <w:sz w:val="18"/>
          <w:szCs w:val="18"/>
          <w:b w:val="1"/>
          <w:bCs w:val="1"/>
          <w:i w:val="1"/>
          <w:iCs w:val="1"/>
          <w:color w:val="auto"/>
        </w:rPr>
      </w:pPr>
    </w:p>
    <w:p>
      <w:pPr>
        <w:ind w:left="660" w:right="140" w:hanging="328"/>
        <w:spacing w:after="0" w:line="259"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 Addressable Market. </w:t>
      </w:r>
      <w:r>
        <w:rPr>
          <w:rFonts w:ascii="Arial" w:cs="Arial" w:eastAsia="Arial" w:hAnsi="Arial"/>
          <w:sz w:val="18"/>
          <w:szCs w:val="18"/>
          <w:color w:val="auto"/>
        </w:rPr>
        <w:t>Historically, our focus has been to enable data-driven advertising in the programmatic space.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look to deploy data across additional use cases, we intend to power all advertising use cases and expand our role inside the enterprise. Advanced TV, B2B and second-party data are great examples of this strategy. In addition, over time, we intend to pursue adjacent markets beyond marketing, like risk and fraud, healthcare and government, where similar identity and data connectivity challenges exist.</w:t>
      </w:r>
    </w:p>
    <w:p>
      <w:pPr>
        <w:spacing w:after="0" w:line="206" w:lineRule="exact"/>
        <w:rPr>
          <w:rFonts w:ascii="Arial" w:cs="Arial" w:eastAsia="Arial" w:hAnsi="Arial"/>
          <w:sz w:val="18"/>
          <w:szCs w:val="18"/>
          <w:b w:val="1"/>
          <w:bCs w:val="1"/>
          <w:i w:val="1"/>
          <w:iCs w:val="1"/>
          <w:color w:val="auto"/>
        </w:rPr>
      </w:pPr>
    </w:p>
    <w:p>
      <w:pPr>
        <w:ind w:left="660" w:hanging="328"/>
        <w:spacing w:after="0" w:line="259" w:lineRule="auto"/>
        <w:tabs>
          <w:tab w:leader="none" w:pos="655"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Build an Exceptional Business. </w:t>
      </w:r>
      <w:r>
        <w:rPr>
          <w:rFonts w:ascii="Arial" w:cs="Arial" w:eastAsia="Arial" w:hAnsi="Arial"/>
          <w:sz w:val="18"/>
          <w:szCs w:val="18"/>
          <w:color w:val="auto"/>
        </w:rPr>
        <w:t>We do not aspire to be mediocre, good, or even great – we intend to be the absolute best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everything we do. We attract and employ exceptional people, challenge them to accomplish exceptional things, and achieve exceptional results for our clients and shareholders. We will do this through six guiding principles: 1) Above all, we do what is right; 2) We love our customers; 3) We always say what we mean and do what we say; 4) We empower people; 5) We respect people and time; and 6) We get stuff done.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Considerations</w:t>
      </w:r>
    </w:p>
    <w:p>
      <w:pPr>
        <w:spacing w:after="0" w:line="247"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The growing online advertising and e-commerce industries are converging, with consumers expecting a seamless experience across all channels, in real time. This challenges marketing organizations to balance the deluge of data and demands of the consumer with responsible, privacy-compliant methods of managing data internally and with advertising technology intermediaries.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ind w:right="80"/>
        <w:spacing w:after="0" w:line="253" w:lineRule="auto"/>
        <w:rPr>
          <w:sz w:val="20"/>
          <w:szCs w:val="20"/>
          <w:color w:val="auto"/>
        </w:rPr>
      </w:pPr>
      <w:r>
        <w:rPr>
          <w:rFonts w:ascii="Arial" w:cs="Arial" w:eastAsia="Arial" w:hAnsi="Arial"/>
          <w:sz w:val="18"/>
          <w:szCs w:val="18"/>
          <w:color w:val="auto"/>
        </w:rPr>
        <w:t>We have policies and operational practices governing our use of data that are designed to actively promote a set of meaningful privacy guidelines for digital advertising and direct marketing via all channels of addressable media, e-commerce, risk management and information industries as a whole. We are certified under the European Union ("EU")-U.S. and Swiss-U.S. Privacy Shield programs in an effort to ensure our continued ability to process information across borders. We have a dedicated team in place to oversee our compliance with the data protection regulations that govern our business activities in the various countries in which we operate.</w:t>
      </w:r>
    </w:p>
    <w:p>
      <w:pPr>
        <w:spacing w:after="0" w:line="20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U.S. Congress and state legislatures, along with federal regulatory authorities, have recently increased their attention on matters concerning the collection and use of consumer data. Data privacy legislation has been introduced in the U.S. Congress, and California has enacted broad-based privacy legislation, the California Consumer Privacy Act. State legislatures outside of California have proposed, and in certain cases enacted, a variety of types of data privacy legislation. In all of the non-U.S. locations in which we do business, laws and regulations governing the collection and use of personal data either exist or are being developed.</w:t>
      </w:r>
    </w:p>
    <w:p>
      <w:pPr>
        <w:spacing w:after="0" w:line="20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expect the trend of enacting and revising data protection laws to continue and that new and expanded data privacy legislation in various forms will be implemented in the U.S. and in other countries around the globe. We are supportive of legislation that codifies current industry guidelines of accountability-based data governance that includes meaningful transparency for the individual, and appropriate controls over personal information and choice whether that information is shared with independent third parties for marketing purposes. We also support legislation requiring all custodians of sensitive information to deploy reasonable information security safeguards to protect that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customer base consists primarily of Fortune 1000 companies and organizations in the financial services, insurance, information services, direct marketing, retail, consumer packaged goods, technology, automotive, healthcare, travel and communications industries as well as in non-profit and government sectors. Given the strong network effects associated with our platform, we work with both enterprise marketers and the companies they partner with to execute their marketing, including agencies, marketing technology providers, publishers and data providers.</w:t>
      </w:r>
    </w:p>
    <w:p>
      <w:pPr>
        <w:spacing w:after="0" w:line="23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We seek to maintain long-term relationships with our clients. Our customers are loyal and typically grow their use of the platform over time, as evidenced by our strong platform net dollar retention rate, which has been consistently north of 110% over the last eight quarters.</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Our ten largest clients represented approximately 35% of our revenues in fiscal year 2020. If all of our individual client contractual relationships were aggregated at the holding company level, one client, The Interpublic Group of Companies, accounted for 14% of our revenues in fiscal year 2020.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4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sales teams focus on new business development across all markets – sales to new clients and sales of new lines of business to existing clients, as well as revenue growth within existing accounts. We organize our customer relationships around customer type and industry vertical, as we believe that understanding and speaking to the nuances of each industry is the most effective way to positively impact our customers’ businesses.</w:t>
      </w:r>
    </w:p>
    <w:p>
      <w:pPr>
        <w:spacing w:after="0" w:line="231"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Our partner organization focuses on enabling key media partners, agencies and software providers who can help drive value for our customers.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marketing efforts are focused on increasing awareness for our brand, executing thought-leadership initiatives, supporting our sales team and generating new leads. We seek to accomplish these objectives by hosting and presenting at industry conferences, hosting client advisory boards, publishing white papers and research, public relations activities, social media presence and advertising campaigns.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building a global data connectivity platform to enable effective use of data. Our research and development teams are focused on the full cycle of product development from customer discovery through development, testing and release. Research and development expense was $106.0 million in fiscal 2020, compared to $85.7 million in fiscal 2019, and $60.7 million in fiscal 2018. Management expects to maintain investment spending, as a percentage of revenue, at similar levels in fiscal 2021.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Competitors to LiveRamp are typically also members of our partner and reseller ecosystem, creating a paradigm where competition is the norm. Our primary competitors are companies that sell data onboarding as part of a suite of marketing applications or services. Walled gardens that offer a direct interface for matching CRM data compete for a portion of our services, particularly amongst marketers that have not yet adopted in-house platforms for programmatic marketing or attribution. Some providers of tag management, data management, and cross-device marketing solutions have adopted positioning similar to our business and compete for mindshare. In markets outside the United States, we primarily face small local market players.</w:t>
      </w:r>
    </w:p>
    <w:p>
      <w:pPr>
        <w:spacing w:after="0" w:line="23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continue to focus on levers to increase our competitiveness and believe that investing in the product and technology platform of our business is a key to our continued success. Further, we believe that enabling a broad partner ecosystem will help us to continue to provide competitive differentiation.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Inflation</w:t>
      </w:r>
    </w:p>
    <w:p>
      <w:pPr>
        <w:spacing w:after="0" w:line="261"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Although we cannot accurately determine the amounts attributable to inflation, we are affected by inflation through increased costs of compensation and other operating expenses. If inflation were to increase over the low levels of recent years, the impact in the short run would be to cause increases in costs, which we would attempt to pass on to our clients, although there is no assurance that we would be able to do so. Generally, the effects of inflation in recent years have been offset by technological advances, economies of scale and other operational efficiencies.</w:t>
      </w:r>
    </w:p>
    <w:p>
      <w:pPr>
        <w:spacing w:after="0" w:line="232"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While the majority of our business is not subject to seasonal fluctuations, our Marketplace and other business experiences modest seasonality, as the revenue generated from this area of the business is more transactional in nature and tied to advertising spend. For example, many advertisers allocate the largest portion of their budgets to the fourth quarter of the calendar year in order to coincide with increased holiday purchasing. We expect our Marketplace and other revenue to continue to fluctuate based on seasonal factors that affect the advertising industry as a whole, as well as during the COVID-19 pandemic, which may lead to decreases in advertising budgets.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w:t>
      </w:r>
    </w:p>
    <w:p>
      <w:pPr>
        <w:spacing w:after="0" w:line="261" w:lineRule="exact"/>
        <w:rPr>
          <w:sz w:val="20"/>
          <w:szCs w:val="20"/>
          <w:color w:val="auto"/>
        </w:rPr>
      </w:pPr>
    </w:p>
    <w:p>
      <w:pPr>
        <w:ind w:right="160"/>
        <w:spacing w:after="0" w:line="250" w:lineRule="auto"/>
        <w:rPr>
          <w:sz w:val="20"/>
          <w:szCs w:val="20"/>
          <w:color w:val="auto"/>
        </w:rPr>
      </w:pPr>
      <w:r>
        <w:rPr>
          <w:rFonts w:ascii="Arial" w:cs="Arial" w:eastAsia="Arial" w:hAnsi="Arial"/>
          <w:sz w:val="18"/>
          <w:szCs w:val="18"/>
          <w:color w:val="auto"/>
        </w:rPr>
        <w:t>Approximately 80% of our revenue is derived from subscription fees sold on an annual or multi-year basis. Our subscription pricing is tiered based on data volume supported by our platform. We also generate revenue from data providers, digital publishers and advanced TV platforms in the form of revenue-sharing agreements. It is unclear</w:t>
      </w:r>
    </w:p>
    <w:p>
      <w:pPr>
        <w:spacing w:after="0" w:line="1" w:lineRule="exact"/>
        <w:rPr>
          <w:sz w:val="20"/>
          <w:szCs w:val="20"/>
          <w:color w:val="auto"/>
        </w:rPr>
      </w:pPr>
    </w:p>
    <w:p>
      <w:pPr>
        <w:ind w:right="2360"/>
        <w:spacing w:after="0" w:line="261" w:lineRule="auto"/>
        <w:rPr>
          <w:sz w:val="20"/>
          <w:szCs w:val="20"/>
          <w:color w:val="auto"/>
        </w:rPr>
      </w:pPr>
      <w:r>
        <w:rPr>
          <w:rFonts w:ascii="Arial" w:cs="Arial" w:eastAsia="Arial" w:hAnsi="Arial"/>
          <w:sz w:val="18"/>
          <w:szCs w:val="18"/>
          <w:color w:val="auto"/>
        </w:rPr>
        <w:t>what effect the COVID-19 pandemic and its impact on our customers and our partners will have on our ability to continue to negotiate at current pricing levels and favorable revenue-sharing agreements.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LiveRamp employs approximately 1,150 employees (LiveRampers) worldwide. No U.S. LiveRampers are represented by a labor union or subject to a collective bargaining agreement. To the best of management’s knowledge, one LiveRamper is an elected member of works councils and trade unions representing LiveRamp employees in the European Union. LiveRamp has never experienced a work stoppage, and we believe that our employee relations are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47"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LiveRamp’s executive officers, their current positions, ages and business experience are listed below. They are elected by the board of directors annually or as necessary to fill vacancies or to fill new positions. There are no family relationships among any of the officers or directors of the Company.</w:t>
      </w:r>
    </w:p>
    <w:p>
      <w:pPr>
        <w:spacing w:after="0" w:line="180" w:lineRule="exact"/>
        <w:rPr>
          <w:sz w:val="20"/>
          <w:szCs w:val="20"/>
          <w:color w:val="auto"/>
        </w:rPr>
      </w:pPr>
    </w:p>
    <w:p>
      <w:pPr>
        <w:ind w:left="1300"/>
        <w:spacing w:after="0" w:line="238" w:lineRule="auto"/>
        <w:rPr>
          <w:sz w:val="20"/>
          <w:szCs w:val="20"/>
          <w:color w:val="auto"/>
        </w:rPr>
      </w:pPr>
      <w:r>
        <w:rPr>
          <w:rFonts w:ascii="Arial" w:cs="Arial" w:eastAsia="Arial" w:hAnsi="Arial"/>
          <w:sz w:val="18"/>
          <w:szCs w:val="18"/>
          <w:b w:val="1"/>
          <w:bCs w:val="1"/>
          <w:i w:val="1"/>
          <w:iCs w:val="1"/>
          <w:color w:val="auto"/>
        </w:rPr>
        <w:t>Scott E. Howe</w:t>
      </w:r>
      <w:r>
        <w:rPr>
          <w:rFonts w:ascii="Arial" w:cs="Arial" w:eastAsia="Arial" w:hAnsi="Arial"/>
          <w:sz w:val="18"/>
          <w:szCs w:val="18"/>
          <w:color w:val="auto"/>
        </w:rPr>
        <w:t>, age 52, is the Chief Executive Officer of the Company. Prior to joining the Company in 2011, 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corporate vice president of Microsoft Advertising Business Group from 2007–2010. In this role, he managed a multi-billion dollar business encompassing all emerging businesses related to online advertising, including search, display, ad networks, in-game, mobile, digital cable and a variety of enterprise software applications. Mr. Howe was employed from 1999–2007 as an executive and later as a corporate officer at aQuantive, Inc. where he managed three lines of business, including Avenue A|Razorfish (a leading Seattle-based global consultancy in digital marketing and technology), DRIVE Performance Media (now Microsoft Media Network), and Atlas International (an adserving technology now owned by Facebook). Earlier in his career, he was with The Boston Consulting Group and Kidder, Peabody &amp; Company, Inc. He previously served on the boards of Blue Nile, Inc., a leading online retailer of diamonds and fine jewelry, the Internet Advertising Bureau (IAB), and the Center for Medical Weight Loss. He is a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graduate of Princeton University, where he earned a degree in economics, and he holds an MBA from Harvard University.</w:t>
      </w:r>
    </w:p>
    <w:p>
      <w:pPr>
        <w:spacing w:after="0" w:line="186" w:lineRule="exact"/>
        <w:rPr>
          <w:sz w:val="20"/>
          <w:szCs w:val="20"/>
          <w:color w:val="auto"/>
        </w:rPr>
      </w:pPr>
    </w:p>
    <w:p>
      <w:pPr>
        <w:ind w:left="1300" w:right="20"/>
        <w:spacing w:after="0" w:line="238" w:lineRule="auto"/>
        <w:rPr>
          <w:sz w:val="20"/>
          <w:szCs w:val="20"/>
          <w:color w:val="auto"/>
        </w:rPr>
      </w:pPr>
      <w:r>
        <w:rPr>
          <w:rFonts w:ascii="Arial" w:cs="Arial" w:eastAsia="Arial" w:hAnsi="Arial"/>
          <w:sz w:val="18"/>
          <w:szCs w:val="18"/>
          <w:b w:val="1"/>
          <w:bCs w:val="1"/>
          <w:i w:val="1"/>
          <w:iCs w:val="1"/>
          <w:color w:val="auto"/>
        </w:rPr>
        <w:t>Warren C. Jenson</w:t>
      </w:r>
      <w:r>
        <w:rPr>
          <w:rFonts w:ascii="Arial" w:cs="Arial" w:eastAsia="Arial" w:hAnsi="Arial"/>
          <w:sz w:val="18"/>
          <w:szCs w:val="18"/>
          <w:color w:val="auto"/>
        </w:rPr>
        <w:t>, age 63, is the Company’s President, Chief Financial Officer &amp; Executive Managing Director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International. He joined the Company in 2012 and is responsible for all aspects of LiveRamp’s financial management and the Company’s business operations outside the United States. Prior to joining the Company Mr. Jenson served as COO at Silver Spring Networks, a successful start-up specializing in smart grid networking technology, where he had responsibility for the company’s service delivery, operations and manufacturing organizations. From 2002 - 2008 he was CFO at Electronic Arts Inc., a leading global interactive entertainment software company. He has more than 30 years of experience in operational finance and has been CFO of some of the most important success stories of the last two decades, including Amazon.com, NBC and Electronic Arts. In addition, he was twice designated one of the “Best CFOs in America” by </w:t>
      </w:r>
      <w:r>
        <w:rPr>
          <w:rFonts w:ascii="Arial" w:cs="Arial" w:eastAsia="Arial" w:hAnsi="Arial"/>
          <w:sz w:val="18"/>
          <w:szCs w:val="18"/>
          <w:i w:val="1"/>
          <w:iCs w:val="1"/>
          <w:color w:val="auto"/>
        </w:rPr>
        <w:t>Institutional Investor</w:t>
      </w:r>
      <w:r>
        <w:rPr>
          <w:rFonts w:ascii="Arial" w:cs="Arial" w:eastAsia="Arial" w:hAnsi="Arial"/>
          <w:sz w:val="18"/>
          <w:szCs w:val="18"/>
          <w:color w:val="auto"/>
        </w:rPr>
        <w:t xml:space="preserve"> magazine, and he was also honored as Bay Area Venture CFO of the Year in 2010. He also has significant experience in mergers and acquisitions, as well as in the development and formulation of strategic partnerships. Mr. Jenson’s board experience includes Cardtronics (NASDAQ: CATM), Tapjoy, and the Marshall School of Business at the University of Southern California. He holds a bachelor’s degree in accounting and a master of accountancy degree, both from Brigham Young University.</w:t>
      </w:r>
    </w:p>
    <w:p>
      <w:pPr>
        <w:spacing w:after="0" w:line="180" w:lineRule="exact"/>
        <w:rPr>
          <w:sz w:val="20"/>
          <w:szCs w:val="20"/>
          <w:color w:val="auto"/>
        </w:rPr>
      </w:pPr>
    </w:p>
    <w:p>
      <w:pPr>
        <w:ind w:left="1300"/>
        <w:spacing w:after="0" w:line="253" w:lineRule="auto"/>
        <w:rPr>
          <w:sz w:val="20"/>
          <w:szCs w:val="20"/>
          <w:color w:val="auto"/>
        </w:rPr>
      </w:pPr>
      <w:r>
        <w:rPr>
          <w:rFonts w:ascii="Arial" w:cs="Arial" w:eastAsia="Arial" w:hAnsi="Arial"/>
          <w:sz w:val="17"/>
          <w:szCs w:val="17"/>
          <w:b w:val="1"/>
          <w:bCs w:val="1"/>
          <w:i w:val="1"/>
          <w:iCs w:val="1"/>
          <w:color w:val="auto"/>
        </w:rPr>
        <w:t>Jerry C. Jones</w:t>
      </w:r>
      <w:r>
        <w:rPr>
          <w:rFonts w:ascii="Arial" w:cs="Arial" w:eastAsia="Arial" w:hAnsi="Arial"/>
          <w:sz w:val="17"/>
          <w:szCs w:val="17"/>
          <w:color w:val="auto"/>
        </w:rPr>
        <w:t>, age 64, is the Company’s Executive Vice President, Chief Ethics and Legal Officer, and Assistant Secretary.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 joined the Company in 1999 and currently oversees the Company’s legal, data ethics and human resources matters. He also assists in the strategy and execution of mergers and alliances and the Company’s strategic initiatives. Prior to joining the Company, Mr. Jones was employed for 19 years as an attorney with the Rose Law Firm in Little Rock, Arkansas, representing a broad range of business interests. Mr. Jones is a member of the board of directors of Agilysys, Inc. (NASDAQ: AGYS), a leading developer and marketer of proprietary enterprise software, services and solutions to the hospitality and retail industries, where he serves on the Compensation Committee and the Nominating &amp; Governance Committee. He also serves on the executive committee of Privacy for America, the board of directors of ForwARd Arkansas and on the UA Little Rock Board of Visitors, and is a co-founder of uhire U.S. He is a Special Advisor to the Club de Madrid, an organization composed of over 100 former Presidents and Prime Ministers from more than 60 democratic countries. He was a member of the board of directors of Heifer International until 2019 and Entrust, Inc. until it was purchased by private investors in 2009, and is former chairman of the board of the Arkansas Virtual Academy, a statewide virtual public school. Mr. Jones holds a bachelor’s degree in public administration and a juris doctorate degree, both from the University of Arkansas.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7" w:name="page18"/>
    <w:bookmarkEnd w:id="17"/>
    <w:p>
      <w:pPr>
        <w:ind w:left="180"/>
        <w:spacing w:after="0" w:line="255" w:lineRule="auto"/>
        <w:rPr>
          <w:sz w:val="20"/>
          <w:szCs w:val="20"/>
          <w:color w:val="auto"/>
        </w:rPr>
      </w:pPr>
      <w:r>
        <w:rPr>
          <w:rFonts w:ascii="Arial" w:cs="Arial" w:eastAsia="Arial" w:hAnsi="Arial"/>
          <w:sz w:val="18"/>
          <w:szCs w:val="18"/>
          <w:b w:val="1"/>
          <w:bCs w:val="1"/>
          <w:i w:val="1"/>
          <w:iCs w:val="1"/>
          <w:color w:val="auto"/>
        </w:rPr>
        <w:t>James F. Arra</w:t>
      </w:r>
      <w:r>
        <w:rPr>
          <w:rFonts w:ascii="Arial" w:cs="Arial" w:eastAsia="Arial" w:hAnsi="Arial"/>
          <w:sz w:val="18"/>
          <w:szCs w:val="18"/>
          <w:color w:val="auto"/>
        </w:rPr>
        <w:t>, age 54, is President and Chief Commercial Officer of the Company. In this role he is responsible for leading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go-to-market strategy for LiveRamp’s client verticals: brands, agencies, data providers, platforms and publishers. Since joining LiveRamp in 2013, Mr. Arra has held several key leadership roles. From 2009 to 2012, Mr. Arra was Vice President of worldwide sales at TRUSTe, where he helped grow the company from less than 1,000 customers to more than 6,000 customers in just over three years. Prior to TRUSTe, he was in a sales leadership role at Vontu, a data security company that was acquired by Symantec, and before that was a vice president and general manager at FreeMarkets, a publicly traded SaaS company that subsequently merged with Ariba. Mr. Arra holds a bachelor’s degree in electrical engineering with a minor in quantitative economics and decision theory from the University of California, San Diego.</w:t>
      </w:r>
    </w:p>
    <w:p>
      <w:pPr>
        <w:spacing w:after="0" w:line="212" w:lineRule="exact"/>
        <w:rPr>
          <w:sz w:val="20"/>
          <w:szCs w:val="20"/>
          <w:color w:val="auto"/>
        </w:rPr>
      </w:pPr>
    </w:p>
    <w:p>
      <w:pPr>
        <w:ind w:left="180" w:right="80"/>
        <w:spacing w:after="0"/>
        <w:rPr>
          <w:sz w:val="20"/>
          <w:szCs w:val="20"/>
          <w:color w:val="auto"/>
        </w:rPr>
      </w:pPr>
      <w:r>
        <w:rPr>
          <w:rFonts w:ascii="Arial" w:cs="Arial" w:eastAsia="Arial" w:hAnsi="Arial"/>
          <w:sz w:val="18"/>
          <w:szCs w:val="18"/>
          <w:b w:val="1"/>
          <w:bCs w:val="1"/>
          <w:i w:val="1"/>
          <w:iCs w:val="1"/>
          <w:color w:val="auto"/>
        </w:rPr>
        <w:t>Anneka R. Gupta</w:t>
      </w:r>
      <w:r>
        <w:rPr>
          <w:rFonts w:ascii="Arial" w:cs="Arial" w:eastAsia="Arial" w:hAnsi="Arial"/>
          <w:sz w:val="18"/>
          <w:szCs w:val="18"/>
          <w:color w:val="auto"/>
        </w:rPr>
        <w:t>, age 32, is President and Head of Products and Platforms of the Company. She is responsible for leading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LiveRamp’s product, engineering, marketing, and general and administrative functions. Previously Ms. Gupta was LiveRamp’s chief product officer, overseeing product strategy and execution. During her eight-year tenure at the Company, Ms. Gupta has led successful efforts in a variety of disciplines, including marketing, recruiting, product management and software development. In 2016, Ms. Gupta was recognized as a “Top 10 Digital Marketing Innovator” by </w:t>
      </w:r>
      <w:r>
        <w:rPr>
          <w:rFonts w:ascii="Arial" w:cs="Arial" w:eastAsia="Arial" w:hAnsi="Arial"/>
          <w:sz w:val="18"/>
          <w:szCs w:val="18"/>
          <w:i w:val="1"/>
          <w:iCs w:val="1"/>
          <w:color w:val="auto"/>
        </w:rPr>
        <w:t>AdAge</w:t>
      </w:r>
      <w:r>
        <w:rPr>
          <w:rFonts w:ascii="Arial" w:cs="Arial" w:eastAsia="Arial" w:hAnsi="Arial"/>
          <w:sz w:val="18"/>
          <w:szCs w:val="18"/>
          <w:color w:val="auto"/>
        </w:rPr>
        <w:t xml:space="preserve"> magazine. She holds a bachelor’s degree in math and computational sciences from Stanford University and has completed the Executive Program at the Stanford University Graduate School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74930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22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An investment in our common stock involves a high degree of risk. You should carefully consider the risks described below and the other information in this Annual Report on Form 10-K and in other public filings before making an investment decision. Our business, prospects, financial condition, or operating results could be harmed by any of these risks, as well as other risks not currently known to us or that we currently consider immaterial. If any of such risks and uncertainties actually occurs,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report and in our other public filings. The trading price of our common stock could decline due to any of these risks, and, as a result, you may lose all or part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We are dependent upon customer renewals, the addition of new customers and increased revenue from existing customers for our subscription revenue through our IdentityLink platform and our marketplace and other business.</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sustain or increase our revenue, we must regularly add new clients and encourage existing clients to maintain or increase their business with us. As the market matures and as existing and new market participants produce new and different approaches to enable businesses to address their respective needs that compete with our offerings, we may be forced to reduce the prices we charge, may be unable to renew existing customer agreements, or enter into new customer agreements at the same prices and upon the same terms that we have historically obtained. If our new business and cross-selling efforts are unsuccessful or if our customers do not expand their use of our platform or adopt additional offerings and features, our operating results may suffer.</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existing customers have no obligation to renew their contracts or may not choose to renew their contracts for a variety of reasons. Our renewal rates may decline or fluctuate as a result of a number of factors, including customer satisfaction, pricing changes, the prices of services offered by our competitors, mergers and acquisitions affecting our customer base, and reductions in our customers’ spending levels or other declines in customer activity. If our customers do not renew their contracts or decrease the amount they spend with us, our revenue will decline and our business will suffer.</w:t>
      </w:r>
    </w:p>
    <w:p>
      <w:pPr>
        <w:spacing w:after="0" w:line="232"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 decline in new or renewed subscriptions in any period may not be immediately reflected in our reported financial results for that period, but may result in a decline in our revenue in future quarters. If we were to experience significant downturns in subscription sales and renewal rates, our reported financial results might not reflect such downturns until future periods. Moreover, the conditions caused by the COVID-19 pandemic can affect the rate of</w:t>
      </w:r>
    </w:p>
    <w:p>
      <w:pPr>
        <w:spacing w:after="0" w:line="2" w:lineRule="exact"/>
        <w:rPr>
          <w:sz w:val="20"/>
          <w:szCs w:val="20"/>
          <w:color w:val="auto"/>
        </w:rPr>
      </w:pPr>
    </w:p>
    <w:p>
      <w:pPr>
        <w:ind w:right="2120"/>
        <w:spacing w:after="0" w:line="254" w:lineRule="auto"/>
        <w:rPr>
          <w:sz w:val="20"/>
          <w:szCs w:val="20"/>
          <w:color w:val="auto"/>
        </w:rPr>
      </w:pPr>
      <w:r>
        <w:rPr>
          <w:rFonts w:ascii="Arial" w:cs="Arial" w:eastAsia="Arial" w:hAnsi="Arial"/>
          <w:sz w:val="18"/>
          <w:szCs w:val="18"/>
          <w:color w:val="auto"/>
        </w:rPr>
        <w:t>spending on advertising products and could adversely affect our customers’ ability or willingness to purchase our offerings, delay prospective customers’ purchasing decisions, increase pressure for pricing discounts, lengthen payment terms, reduce the value or duration of their subscription contracts, or increase customer attrition rates, all of which could adversely affect our future sales, operating results and overall financial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loss of a contract upon which we rely for a significant portion of our revenues could adversely affect our operating results.</w:t>
      </w:r>
    </w:p>
    <w:p>
      <w:pPr>
        <w:spacing w:after="0" w:line="24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Our ten largest clients represented approximately 35% of our revenues in fiscal year 2020. If all of our individual client contractual relationships were aggregated at the holding company level, one client, The Interpublic Group of Companies, accounted for 14% of our revenues in fiscal year 2020. The loss of, or decrease in revenue from, any of our significant clients for any reason could have a material adverse effect on our revenue and operating results.</w:t>
      </w:r>
    </w:p>
    <w:p>
      <w:pPr>
        <w:spacing w:after="0" w:line="20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color w:val="auto"/>
        </w:rPr>
        <w:t>Data suppliers may withdraw data that we have previously collected or withhold data from us in the future, leading to our inability to provide products and services to our clients, which could lead to a decrease in revenue and loss of client confidence.</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Much of the data that we use is either purchased or licensed from third-party data suppliers, and we are dependent upon our ability to obtain necessary data licenses on commercially reasonable terms. We could suffer material adverse consequences if our data suppliers were to withhold their data from us, which could occur either because we fail to maintain sufficient relationships with the suppliers or if they decline to provide, or are prohibited from</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19" w:name="page20"/>
    <w:bookmarkEnd w:id="19"/>
    <w:p>
      <w:pPr>
        <w:ind w:right="120"/>
        <w:spacing w:after="0" w:line="251" w:lineRule="auto"/>
        <w:rPr>
          <w:sz w:val="20"/>
          <w:szCs w:val="20"/>
          <w:color w:val="auto"/>
        </w:rPr>
      </w:pPr>
      <w:r>
        <w:rPr>
          <w:rFonts w:ascii="Arial" w:cs="Arial" w:eastAsia="Arial" w:hAnsi="Arial"/>
          <w:sz w:val="18"/>
          <w:szCs w:val="18"/>
          <w:color w:val="auto"/>
        </w:rPr>
        <w:t>providing, such data to us due to legal, contractual, privacy, competition or other economic concerns. For example, data suppliers could withhold their data from us if there is a competitive reason to do so, if we breach our contract with a supplier, if we breach their expectations of our use of their data, if they are acquired by one of our competitors, if legislation is passed restricting the use or dissemination of the data they provide, if market optics become negative regarding the sharing of their data with third parties or allowing the setting of cookies from their sites, if publishers change their privacy policies or user settings in a material manner that turns off or diminishes the volume of data we receive, or if judicial interpretations are issued restricting use of such data, or for other reasons. Further, definitions in enacted or proposed state-level data broker legislation could be interpreted to apply to LiveRamp, potentially exposing the Company to negative perceptions and diminishing data available to it. Additionally, we could terminate relationships with our data suppliers if they fail to adhere to our data quality standards. If a substantial number of data suppliers were to withdraw or withhold their data from us, or if we were to sever ties with our data suppliers based on their inability to meet appropriate data standards, our ability to provide products and services to our clients could be materially adversely impacted, which could result in decreased revenues and operating results.</w:t>
      </w:r>
    </w:p>
    <w:p>
      <w:pPr>
        <w:spacing w:after="0" w:line="2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color w:val="auto"/>
        </w:rPr>
        <w:t>Our business is subject to substantial competition from a diverse group of competitors. New products and pricing strategies introduced by these competitors could decrease our market share or cause us to lower our prices in a manner that reduces our revenues and operating margin.</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operate in a highly competitive and rapidly changing industry. With the introduction of new technologies and the influx of new entrants to the market, we expect competition to persist and intensify in the future, which could harm our ability to increase revenue and operating results. In addition to existing competitors and intermediaries, we may also face competition from new companies entering the market, which may include large established companies, all of which currently offer, or may in the future offer, products and services that result in additional competition. These competitors may be in a better position to develop new products and pricing strategies that more quickly and effectively respond to changes in customer requirements in these markets. Some of our competitors may choose to sell products or services competitive to ours at lower prices by accepting lower margins and profitability, or may be able to sell products or services competitive to ours at lower prices given proprietary ownership of data, technical superiority or economies of scale. Such introduction of competent, competitive products, pricing strategies or other technologies by our competitors that are superior to or that achieve greater market acceptance than our products and services could adversely affect our business. In such event, we could experience a decline in market share and revenues and be forced to reduce our prices, resulting in lower profit margins for the Company.</w:t>
      </w:r>
    </w:p>
    <w:p>
      <w:pPr>
        <w:spacing w:after="0" w:line="216"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The extent to which the ongoing COVID-19 pandemic, including the resulting global economic uncertainty, and measures taken in response to the pandemic could continue to impact our business and future results of operations and financial condition will depend on future developments, which are highly uncertain and difficult to predict.</w:t>
      </w:r>
    </w:p>
    <w:p>
      <w:pPr>
        <w:spacing w:after="0" w:line="21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COVID-19 pandemic has disrupted the flow of the economy and put unprecedented strains on governments, health care systems, educational institutions, businesses and individuals around the world. The impact on the global population and the duration of the COVID-19 pandemic is difficult to assess or predict. It is even more difficult to predict the impact on the global economic market, which will be highly dependent upon the actions of governments, businesses and other enterprises in response to the pandemic and the effectiveness of those actions. The pandemic has already caused, and is likely to result in further, significant disruption of global financial markets and economic uncertainty. While the COVID-19 pandemic has not yet materially adversely impacted our sales or operations, we continue to monitor our operations, the operations of our customers and corporate partners, and government recommendations. The spread of an infectious disease may also result in, and, in the case of the COVID-19 pandemic has resulted in, regional quarantines, labor shortages or stoppages, changes in consumer purchasing patterns, disruptions to service providers to deliver data on a timely basis, or at all, and overall economic instability.</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 recession, depression or other sustained adverse market events resulting from the spread of COVID-19 could materially and adversely affect our business and the value of our common stock. Our customers or potential customers, particularly in industries most impacted by the COVID-19 pandemic including transportation, travel and hospitality, retail and energy, may reduce their advertising spending or delay their advertising initiatives, which could materially and adversely impact our business. We may also experience curtailed customer demand, reduced customer spend or contract duration, delayed collections, lengthened payment terms and increased competition due to changes in terms and conditions and pricing of our competitors’ products and services that could materially</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0" w:name="page21"/>
    <w:bookmarkEnd w:id="20"/>
    <w:p>
      <w:pPr>
        <w:jc w:val="both"/>
        <w:ind w:right="300"/>
        <w:spacing w:after="0" w:line="256" w:lineRule="auto"/>
        <w:rPr>
          <w:sz w:val="20"/>
          <w:szCs w:val="20"/>
          <w:color w:val="auto"/>
        </w:rPr>
      </w:pPr>
      <w:r>
        <w:rPr>
          <w:rFonts w:ascii="Arial" w:cs="Arial" w:eastAsia="Arial" w:hAnsi="Arial"/>
          <w:sz w:val="18"/>
          <w:szCs w:val="18"/>
          <w:color w:val="auto"/>
        </w:rPr>
        <w:t>adversely impact our business, results of operations and overall financial performance in future periods. Existing and potential customers may choose to reduce or delay technology spending in response to the COVID-19 pandemic, or may attempt to renegotiate contracts and obtain concessions, which may materially and negatively impact our operating results, financial condition and prospects.</w:t>
      </w:r>
    </w:p>
    <w:p>
      <w:pPr>
        <w:spacing w:after="0" w:line="229"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In response to the COVID-19 pandemic, we have temporarily closed most of our offices (including our headquarters), encouraged our employees to work remotely, implemented restrictions on all non-essential travel, and shifted certain of our customer, industry, investor, and employee events to virtual-only experiences and may deem it advisable to similarly alter, postpone or cancel entirely additional events in the future. Certain costs incurred in preparation for these events could not be recovered. If the COVID-19 pandemic worsens, especially in regions in which we have material operations or sales, our business activities originating from affected areas, including sales-related activities, could be adversely affected. Disruptive activities could include business closures in impacted areas, further restrictions on our employees’ and other service providers’ ability to travel, impacts to productivity if our employees or their family members experience health issues, and potential delays in hiring and onboarding of new employees. Further, we may experience increased cyberattacks and security challenges as our global employee base works remotely. Our employees' ability to effectively work remotely is also impacted by continued availability of internet connectivity and a general degradation of such would negatively impact their ability to work effectively.</w:t>
      </w:r>
    </w:p>
    <w:p>
      <w:pPr>
        <w:spacing w:after="0" w:line="23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extent to which the COVID-19 pandemic impacts our business will depend on future developments, which are not within our control, are highly uncertain and cannot be predicted. Such future developments may include, among others, the duration and spread of the outbreak, new information that may emerge concerning the severity of COVID-19 and government actions to contain COVID-19 or treat its impact, impact on our customers and our sales cycles, impact on our customer, industry or employee events, and effect on our partners, vendors and supply chains. A significant outbreak of infectious diseases could result in, and in the case of COVID-19, has resulted in, a widespread health crisis that could adversely affect, and, in the case of COVID-19, has adversely affected economies and financial markets worldwide, resulting in an economic downturn or a prolonged contraction in the industries in which our customers operate that could affect demand for our products and services and otherwise adversely impact our business, financial condition and results of operations. While our revenues, billings and earnings are relatively predictable as a result of our subscription-based business model, the effect of the COVID-19 pandemic may not be fully reflected in our results of operations and overall financial performance until future periods.</w:t>
      </w:r>
    </w:p>
    <w:p>
      <w:pPr>
        <w:spacing w:after="0" w:line="238"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addition, we have seen significant volatility in the global markets, as well as significant interest rate and foreign currency volatility. As a result, the trading prices for our common stock and other S&amp;P 500 and technology companies have been highly volatile, and such volatility may continue for the duration of and possibly beyond the COVID-19 pandemic.</w:t>
      </w:r>
    </w:p>
    <w:p>
      <w:pPr>
        <w:spacing w:after="0" w:line="207"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color w:val="auto"/>
        </w:rPr>
        <w:t>The failure to attract, recruit, onboard and retain qualified personnel could hinder our ability to successfully execute our business strategy, which could have a material adverse effect on our financial position and operating results.</w:t>
      </w:r>
    </w:p>
    <w:p>
      <w:pPr>
        <w:spacing w:after="0" w:line="17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growth strategy and future success depends in large part on our ability to attract, recruit, onboard and retain technical, client services, sales, consulting, research and development, marketing, administrative and management personnel. The complexity of our products, processing functionality, software systems and services requires highly trained professionals. While we presently have a sophisticated, dedicated and experienced team of associates who have a deep understanding of our business, the labor market for these individuals has historically been very competitive due to the limited number of people available with the necessary technical skills and understanding. As our industry continues to become more technologically advanced, we anticipate increased competition for qualified personnel. The loss or prolonged absence of the services of highly trained personnel like our current team of associates, or the inability to recruit, attract, onboard and retain additional, qualified associates, could have a material adverse effect on our business, financial position or operating results.</w:t>
      </w:r>
    </w:p>
    <w:p>
      <w:pPr>
        <w:spacing w:after="0" w:line="183"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color w:val="auto"/>
        </w:rPr>
        <w:t>If we cannot maintain our culture as we grow, we could lose the innovation, teamwork, passion and focus on execution that we believe contribute to our success and our business may be harmed.</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We believe that a critical component to our success has been our company culture, which is based on transparency and personal autonomy. We have invested substantial time and resources in building our team within this company</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1" w:name="page22"/>
    <w:bookmarkEnd w:id="21"/>
    <w:p>
      <w:pPr>
        <w:ind w:right="240"/>
        <w:spacing w:after="0" w:line="261" w:lineRule="auto"/>
        <w:rPr>
          <w:sz w:val="20"/>
          <w:szCs w:val="20"/>
          <w:color w:val="auto"/>
        </w:rPr>
      </w:pPr>
      <w:r>
        <w:rPr>
          <w:rFonts w:ascii="Arial" w:cs="Arial" w:eastAsia="Arial" w:hAnsi="Arial"/>
          <w:sz w:val="18"/>
          <w:szCs w:val="18"/>
          <w:color w:val="auto"/>
        </w:rPr>
        <w:t>culture. Any failure to preserve our culture could negatively affect our ability to retain and recruit personnel and to proactively focus on and pursue our corporate objectives. If we fail to maintain our company culture, our business may be adversely impacted.</w:t>
      </w:r>
    </w:p>
    <w:p>
      <w:pPr>
        <w:spacing w:after="0" w:line="203" w:lineRule="exact"/>
        <w:rPr>
          <w:sz w:val="20"/>
          <w:szCs w:val="20"/>
          <w:color w:val="auto"/>
        </w:rPr>
      </w:pPr>
    </w:p>
    <w:p>
      <w:pPr>
        <w:ind w:right="160"/>
        <w:spacing w:after="0" w:line="318" w:lineRule="auto"/>
        <w:rPr>
          <w:sz w:val="20"/>
          <w:szCs w:val="20"/>
          <w:color w:val="auto"/>
        </w:rPr>
      </w:pPr>
      <w:r>
        <w:rPr>
          <w:rFonts w:ascii="Arial" w:cs="Arial" w:eastAsia="Arial" w:hAnsi="Arial"/>
          <w:sz w:val="17"/>
          <w:szCs w:val="17"/>
          <w:b w:val="1"/>
          <w:bCs w:val="1"/>
          <w:color w:val="auto"/>
        </w:rPr>
        <w:t>Failure to keep up with rapidly changing technologies and marketing practices could cause our products and services to become less competitive or obsolete, which could result in loss of market share and decreased revenues and results of operations.</w:t>
      </w:r>
    </w:p>
    <w:p>
      <w:pPr>
        <w:spacing w:after="0" w:line="152" w:lineRule="exact"/>
        <w:rPr>
          <w:sz w:val="20"/>
          <w:szCs w:val="20"/>
          <w:color w:val="auto"/>
        </w:rPr>
      </w:pPr>
    </w:p>
    <w:p>
      <w:pPr>
        <w:ind w:right="140"/>
        <w:spacing w:after="0" w:line="250" w:lineRule="auto"/>
        <w:rPr>
          <w:sz w:val="20"/>
          <w:szCs w:val="20"/>
          <w:color w:val="auto"/>
        </w:rPr>
      </w:pPr>
      <w:r>
        <w:rPr>
          <w:rFonts w:ascii="Arial" w:cs="Arial" w:eastAsia="Arial" w:hAnsi="Arial"/>
          <w:sz w:val="18"/>
          <w:szCs w:val="18"/>
          <w:color w:val="auto"/>
        </w:rPr>
        <w:t>Advances in information technology are changing the way our clients use and purchase information products and services. Maintaining the technological competitiveness of our products, processing functionality, software systems and services is key to our continued</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success. However, the complexity and uncertainty regarding the development of new technologies and the extent and timing of market acceptance of innovative products and services create difficulties in maintaining this competitiveness. Without the timely introduction of new products, services and enhancements, our offerings will become technologically or commercially obsolete over time, in which case our revenue and operating results would suffer.</w:t>
      </w:r>
    </w:p>
    <w:p>
      <w:pPr>
        <w:spacing w:after="0" w:line="2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Consumer needs and expectations and the business information industry as a whole are in a constant state of change. Our ability to continually improve our current processes and products in response to changes in technology and to develop new products and services are essential in maintaining our competitive position, preserving our market share and meeting the increasingly sophisticated requirements of our clients. If we fail to enhance our current products and services or fail to develop new products in light of emerging technologies and industry standards, we could lose clients to current or future competitors, which could result in impairment of our growth prospects, loss of market share and decreased revenues.</w:t>
      </w:r>
    </w:p>
    <w:p>
      <w:pPr>
        <w:spacing w:after="0" w:line="2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Acquisition and divestiture activities may disrupt our ongoing business and may involve increased expenses, and we may not realize the financial and strategic goals contemplated at the time of a transaction, all of which could adversely affect our business and growth prospects.</w:t>
      </w:r>
    </w:p>
    <w:p>
      <w:pPr>
        <w:spacing w:after="0" w:line="193"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Historically, we have engaged in acquisitions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While we believe we will be able to successfully integrate newly acquired businesses into our existing operations, there is no certainty that future acquisitions or alliances will be consummated on acceptable terms or that we will be able to integrate successfully the services, content, products and personnel of any such transaction into our operations. In addition, any future acquisitions, joint ventures or similar relationships may cause a disruption in our ongoing business and distract our management. An acquisition may later be found to have a material legal or ethical issue, not disclosed or discovered prior to acquisition. Further, we may be unable to realize the revenue improvements, cost savings and other intended benefits of any such transaction. The occurrence of any of these events could result in decreased revenues, net income and earnings per share.</w:t>
      </w:r>
    </w:p>
    <w:p>
      <w:pPr>
        <w:spacing w:after="0" w:line="21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have also divested assets in the past and may do so again in the future. As with acquisitions, divestitures involve significant risks and uncertainties, such as disruption of our ongoing business, reductions of our revenues or earnings per share, unanticipated liabilities, legal risks and costs, the potential loss of key personnel, distraction of management from our ongoing business, impairment of relationships with employees and clients because of migrating a business to new owners.</w:t>
      </w:r>
    </w:p>
    <w:p>
      <w:pPr>
        <w:spacing w:after="0" w:line="23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Because acquisitions and divestitures are inherently risky, transactions we undertake may not be successful and may have a material adverse effect on our business, results of operations, financial condition or cash flows.</w:t>
      </w:r>
    </w:p>
    <w:p>
      <w:pPr>
        <w:spacing w:after="0" w:line="203"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color w:val="auto"/>
        </w:rPr>
        <w:t>Our operations outside the U.S. are subject to risks that may harm the Company’s business, financial condition or results of operations.</w:t>
      </w:r>
    </w:p>
    <w:p>
      <w:pPr>
        <w:spacing w:after="0" w:line="175"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During the last fiscal year, we received approximately 7% of our revenues from business outside the United States. In those non-U.S. locations where legislation restricting the collection and use of personal data currently exists, less data is available and at a much higher cost. In some foreign markets, the types of products and services we offer have not been generally available and thus are not fully understood by prospective clients. Upon entering these markets, we must educate and condition the markets, increasing the cost and difficulty of successfully executing our business plan in these markets. Additionally, each of our foreign locations is generally</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2" w:name="page23"/>
    <w:bookmarkEnd w:id="22"/>
    <w:p>
      <w:pPr>
        <w:ind w:right="180"/>
        <w:spacing w:after="0" w:line="254" w:lineRule="auto"/>
        <w:rPr>
          <w:sz w:val="20"/>
          <w:szCs w:val="20"/>
          <w:color w:val="auto"/>
        </w:rPr>
      </w:pPr>
      <w:r>
        <w:rPr>
          <w:rFonts w:ascii="Arial" w:cs="Arial" w:eastAsia="Arial" w:hAnsi="Arial"/>
          <w:sz w:val="18"/>
          <w:szCs w:val="18"/>
          <w:color w:val="auto"/>
        </w:rPr>
        <w:t>expected to fund its own operations and cash flows, although periodically funds may be loaned or invested from the U.S. to the foreign subsidiaries. Because of such loan or investment, exchange rate movements of foreign currencies may have an impact on our future costs of, or future cash flows from, foreign investments. We have not entered into any foreign currency forward exchange contracts or other derivative instruments to hedge the effects of adverse fluctuations in foreign currency exchange rates.</w:t>
      </w:r>
    </w:p>
    <w:p>
      <w:pPr>
        <w:spacing w:after="0" w:line="20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Additional risks inherent in our non-U.S. business activities generally include, among others, the costs and difficulties of managing international operations, potentially adverse tax consequences, and greater difficulty enforcing intellectual property rights. The various risks that are inherent in doing business in the U.S. are also generally applicable to doing business outside of the U.S., but such risks may be exaggerated by factors normally associated with international operations, such as differences in culture, laws and regulations, especially restrictions on collection, management, aggregation and use of information. Failure to effectively manage the risks facing our non-U.S. business activities could materially adversely affect our operating results.</w:t>
      </w:r>
    </w:p>
    <w:p>
      <w:pPr>
        <w:spacing w:after="0" w:line="20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addition, when operating in foreign jurisdictions, we must comply with complex foreign and U.S. laws and regulations, such as the U.S. Foreign Corrupt Practices Act, the U.K. Bribery Act and other local laws prohibiting corrupt payments to government officials, as well as anti-competition regulations and data protection laws and regulations. Violations of these laws and regulations could result in fines and penalties, criminal sanctions, restrictions on our business conduct and on our ability to offer our products and services in one or more countries. Such violations could also adversely affect our reputation with existing and prospective clients, which could negatively impact our operating results and growth prospects.</w:t>
      </w:r>
    </w:p>
    <w:p>
      <w:pPr>
        <w:spacing w:after="0" w:line="18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A significant breach of the confidentiality of the information we hold or of the security of our or our customers’, suppliers’, or other partners’ computer systems could be detrimental to our business, reputation and results of operations.</w:t>
      </w:r>
    </w:p>
    <w:p>
      <w:pPr>
        <w:spacing w:after="0" w:line="175"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business requires the storage, transmission and utilization of data, including personally identifiable information, much of which must be maintained on a confidential basis. These activities may make us a target of cyber-attacks by third parties seeking unauthorized access to the data we maintain, including our data and client data, or to disrupt our ability to provide service. Any failure to prevent or mitigate security breaches and improper access to or disclosure of the data we maintain, including personal information, could result in the loss or misuse of such data, which could harm our business and reputation and diminish our competitive position. In addition, computer malware, viruses, social engineering, and general hacking have become more prevalent. As a result of the types and volume of personal data on our systems, we believe that we are a particularly attractive target for such breaches and attacks.</w:t>
      </w:r>
    </w:p>
    <w:p>
      <w:pPr>
        <w:spacing w:after="0" w:line="23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recent years, the frequency, severity, sophistication of cyber-attacks, computer malware, viruses, social engineering, and other intentional misconduct by computer hackers has significantly increased, and government agencies and security experts have warned about the growing risks of hackers, cyber criminals and other potential attackers targeting information technology systems. Such third parties could attempt to gain entry to our systems for the purpose of stealing data or disrupting the systems. In addition, our security measures may also be breached due to employee error, malfeasance, system errors or vulnerabilities, including vulnerabilities of our vendors, suppliers, their products, or otherwise. Third parties may also attempt to fraudulently induce employees or clients into disclosing sensitive information such as user names, passwords or other information to gain access to our clients’ data or our data, including intellectual property and other confidential business information. We believe we have taken appropriate measures to protect our systems from intrusion, but we cannot be certain that advances in criminal capabilities, discovery of new vulnerabilities in our systems and attempts to exploit those vulnerabilities, physical system or facility break-ins and data thefts or other developments will not compromise or breach the technology protecting our systems and the information we possess.</w:t>
      </w:r>
    </w:p>
    <w:p>
      <w:pPr>
        <w:spacing w:after="0" w:line="2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have developed systems and processes that are designed to protect our data, our client data, and data transmissions to prevent data loss, and to prevent or detect security breaches, our databases have in the past been and in the future may be subject to unauthorized access by third parties, and we may incur significant costs in protecting against or remediating cyber-attacks. Any security breach could result in operational disruptions that impair our ability to meet our clients’ requirements, which could result in decreased revenues. Also, whether there is an actual or a perceived breach of our security, our reputation could suffer irreparable harm, causing our current and prospective clients to reject our products and services in the future and deterring data suppliers from supplying us data. Further, we could be forced to expend significant resources in response to a security breach, including those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3" w:name="page24"/>
    <w:bookmarkEnd w:id="23"/>
    <w:p>
      <w:pPr>
        <w:ind w:right="20"/>
        <w:spacing w:after="0" w:line="254" w:lineRule="auto"/>
        <w:rPr>
          <w:sz w:val="20"/>
          <w:szCs w:val="20"/>
          <w:color w:val="auto"/>
        </w:rPr>
      </w:pPr>
      <w:r>
        <w:rPr>
          <w:rFonts w:ascii="Arial" w:cs="Arial" w:eastAsia="Arial" w:hAnsi="Arial"/>
          <w:sz w:val="18"/>
          <w:szCs w:val="18"/>
          <w:color w:val="auto"/>
        </w:rPr>
        <w:t>expended in repairing system damage, increasing cyber security protection costs by deploying additional personnel and protection technologies, and litigating and resolving legal claims or governmental inquiries and investigations, all of which could divert the attention of our management and key personnel away from our business operations. In any event, a significant security breach could materially harm our business, financial condition and operating results.</w:t>
      </w:r>
    </w:p>
    <w:p>
      <w:pPr>
        <w:spacing w:after="0" w:line="2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clients, suppliers and other partners are primarily responsible for the security of their information technology environments, and we rely heavily on them and other third parties to supply clean data content and/or to utilize our products and services in a secure manner. Each of these third parties may face risks relating to cyber security, which could disrupt their businesses and therefore materially impact ours. While we provide guidance and specific requirements in some cases, we do not directly control any of such parties’ cyber security operations, or the amount of investment they place in guarding against cyber security threats. Accordingly, we are subject to any flaw in or breaches of their systems, which could materially impact our business, operations and financial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Unfavorable publicity and negative public perception about our industry could adversely affect our business and operating results.</w:t>
      </w:r>
    </w:p>
    <w:p>
      <w:pPr>
        <w:spacing w:after="0" w:line="234"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With the growth of online advertising and e-commerce, there is increasing awareness and concern among the general public, privacy advocates, mainstream media, governmental bodies and others regarding marketing, advertising, and data privacy matters, particularly as they relate to individual privacy interests and the global reach of the online marketplace. Any unfavorable publicity or negative public perception about us, our industry, including our competitors, or even other data focused industries can affect our business and results of operations, and may lead to digital publishers changing their business practices or additional regulatory scrutiny or lawmaking that affects us or our industry. For example, in recent years, consumer advocates, mainstream media and elected officials have increasingly and publicly criticized the data and marketing industry for its collection, storage and use of personal data. The negative public attention Facebook faced following revelations about Cambridge Analytica's use of data led Facebook to change how it delivers targeted advertising, as well as its relationship with us and some of our competitors. Additional public scrutiny may lead to general distrust of our industry, consumer reluctance to share and permit use of personal data and increased consumer opt-out rates, any of which could negatively influence, change or reduce our current and prospective clients’ demand for our products and services and adversely affect our business and operating results.</w:t>
      </w:r>
    </w:p>
    <w:p>
      <w:pPr>
        <w:spacing w:after="0" w:line="20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Interruptions or delays in service from our third-party data center providers could impair our ability to deliver our products and services to our customers, resulting in customer dissatisfaction, damage to our reputation, loss of customers, limited growth and reduction in revenue.</w:t>
      </w:r>
    </w:p>
    <w:p>
      <w:pPr>
        <w:spacing w:after="0" w:line="22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currently serve the majority of our platform functions from third-party data center hosting facilities operated by Google Cloud Platform and Amazon Web Services. Our operations depend, in part, on our third-party facility providers’ abilities to protect these facilities against any damage or interruption from natural disasters, such as earthquakes and hurricanes,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or hurricane, an act of terrorism, vandalism or sabotage, a decision to close a facility without adequate notice,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fail to renew their subscriptions, any of which could materially adversely affect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the continued availability of third-party data hosting and transmission services.</w:t>
      </w:r>
    </w:p>
    <w:p>
      <w:pPr>
        <w:spacing w:after="0" w:line="274"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We incur significant costs with our third-party data hosting services. If the costs for such services increase due to vendor consolidation, regulation, contract renegotiation, or otherwise, we may not be able to increase the fees for</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our products and services to cover the changes. As a result, our operating results may be significantly worse than forecasted.</w:t>
      </w:r>
    </w:p>
    <w:p>
      <w:pPr>
        <w:spacing w:after="0" w:line="23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If the use of “third-party cookies” or other tracking technology is rejected by Internet users, restricted or otherwise subject to unfavorable regulation, blocked or limited by technical changes on end users’ devices, or our and our clients’ ability to use data on our platform is otherwise restricted, all of which could materially impact our business.</w:t>
      </w:r>
    </w:p>
    <w:p>
      <w:pPr>
        <w:spacing w:after="0" w:line="22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Digital advertising mostly relies on the use of cookies, pixels and other similar technology, including mobile device identifiers that are provided by mobile operating systems for advertising purposes, which we refer to collectively as cookies, to collect data about interactions with users and devices. To provide our platform, we utilize third-party cookies, which are cookies owned and used by parties other than the owners of the website visited by the Internet user. Our cookies are used to record information tied to a random unique identifier, including such information as when an Internet user views an ad, clicks on an ad or visits one of our advertiser’s websites through a browser while the cookie is active. We use cookies to help us achieve our advertisers’ campaign goals on the web, to limit the instances that an Internet user sees the same advertisement, to report information to our advertisers regarding the performance of their advertising campaigns and to detect and prevent malicious behavior and invalid traffic throughout our network of inventory. We also use data from cookies to help our clients decide whether to bid on, and how to price, an opportunity to place an advertisement in a specific location, at a given time, in front of a particular Internet user. Additionally, our clients use cookies and other technologies to add information they have collected or acquired about users into our platform. Without such data, our clients may not have sufficient insight into an Internet user’s activity, which may compromise their and our ability to determine which inventory to purchase for a specific campaign and undermine the effectiveness of our platform.</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Cookies may be deleted or blocked by Internet users who do not want information to be collected about them. The most commonly used Internet browsers—Chrome, Firefox, Internet Explorer and Safari—allow Internet users to modify their browser settings to prevent cookies from being accepted by their browsers. In January 2020, Google publicly stated it intends for Chrome to block third-party cookies at some point in the following 24 months. Mobile devices allow users to opt out of the use of mobile device IDs for targeted advertising. Additionally, the Safari browser currently blocks some third-party cookies by default and has recently added controls that algorithmically block or limit some cookies. Other browsers have added similar controls. In addition, Internet users can delete cookies from their computers at any time. Some Internet users also download free or paid ad blocking software that not only prevents third-party cookies from being stored on a user’s computer, but also blocks all interaction with a third-party ad server. Google has introduced ad blocking software in its Chrome web browser that will block certain ads based on quality standards established under a multi-stakeholder coalition. Additionally, the DAA, NAI, their international counterparts, and our company have certain opt-out mechanisms for users to opt out of the collection of their information via cookies. If more Internet users adopt these settings or delete their cookies more frequently than they currently do, or restrictions are imposed by advertisers and publishers, there are changes in technology or new developments in laws, regulations or industry standards around cookies, our business could be harmed.</w:t>
      </w:r>
    </w:p>
    <w:p>
      <w:pPr>
        <w:spacing w:after="0" w:line="23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Privacy aspects of other channels for programmatic advertising, such as CTVs or over-the-top video, are still developing. Technical or policy changes, including regulation or industry self-regulation, could harm our growth in those channels.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As the collection and use of data for digital advertising has received ongoing media attention over the past several years, some government regulators, such as the FTC, and privacy advocates have raised significant concerns around observed data. There has been an array of 'do-not-track' efforts, suggestions and technologies introduced to address these concerns. However, the potential regulatory and self-regulatory landscape is inherently uncertain, and there is no consensus definition of tracking, nor agreement on what would be covered by 'do-not-track' functionality. There is activity by the major Internet browsers to default set on 'do-not-track' functionality, including by Apple Safari and Firefox. It is not clear if other Internet browsers will follow.</w:t>
      </w:r>
    </w:p>
    <w:p>
      <w:pPr>
        <w:spacing w:after="0" w:line="23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In addition, in the EU, Directive 2002/58/EC (as amended by Directive 2009/136/EC), commonly referred to as the ePrivacy or Cookie Directive, directs EU member states to ensure that accessing information on an Internet user’s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25" w:name="page26"/>
    <w:bookmarkEnd w:id="25"/>
    <w:p>
      <w:pPr>
        <w:spacing w:after="0" w:line="251" w:lineRule="auto"/>
        <w:rPr>
          <w:sz w:val="20"/>
          <w:szCs w:val="20"/>
          <w:color w:val="auto"/>
        </w:rPr>
      </w:pPr>
      <w:r>
        <w:rPr>
          <w:rFonts w:ascii="Arial" w:cs="Arial" w:eastAsia="Arial" w:hAnsi="Arial"/>
          <w:sz w:val="18"/>
          <w:szCs w:val="18"/>
          <w:color w:val="auto"/>
        </w:rPr>
        <w:t>computer, such as through a cookie and other similar technologies, is allowed only if the Internet user has been informed about such access and given his or her consent. A replacement for the Cookie Directive is currently under discussion by EU member states to complement and bring electronic communication services in line with the GDPR and force a harmonized approach across EU member states. Like the GDPR, the proposed ePrivacy Regulation has extra-territorial application as it applies to businesses established outside the EU who provide publicly-available electronic communications services to, or gather data from the devices of, users in the EU. Though still subject to debate, the proposed ePrivacy Regulation may limit the lawful bases available to process digital data and require "opt-in" consent. The fines and penalties for breach of the proposed ePrivacy Regulation may be significant. Limitations on the use or effectiveness of cookies, or other limitations on our, or our clients’, ability to collect and use data for advertising, whether imposed by EU member state implementations of the Cookie Directive, by the new ePrivacy Regulation, or otherwise, may impact the performance of our platform. We may be required to, or otherwise may determine that it is advisable to, make significant changes in our business operations and product and services to obtain user opt-in for cookies and use of cookie data, or develop or obtain additional tools and technologies to compensate for a lack of cookie data. We may not be able to make the necessary changes in our business operations and products and services to obtain user opt-in for cookies and use of cookie data, or develop, implement or acquire additional tools that compensate for a lack of cookie data. Moreover, even if we are able to do so, such additional products and tools may be subject to further regulation, time consuming to develop or costly to obtain, and less effective than our current use of cookies.</w:t>
      </w:r>
    </w:p>
    <w:p>
      <w:pPr>
        <w:spacing w:after="0" w:line="236"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Finally, Google, the owner of the Chrome browser, has publicly stated that over the next several years it will no longer support the setting of third-party cookies. Apple, the owner of the Safari browser, had previously ceased supporting third-party cookies. Separately, and combined,</w:t>
      </w:r>
    </w:p>
    <w:p>
      <w:pPr>
        <w:spacing w:after="0"/>
        <w:rPr>
          <w:sz w:val="20"/>
          <w:szCs w:val="20"/>
          <w:color w:val="auto"/>
        </w:rPr>
      </w:pPr>
      <w:r>
        <w:rPr>
          <w:rFonts w:ascii="Arial" w:cs="Arial" w:eastAsia="Arial" w:hAnsi="Arial"/>
          <w:sz w:val="18"/>
          <w:szCs w:val="18"/>
          <w:color w:val="auto"/>
        </w:rPr>
        <w:t>these actions will have significant impacts on the digital advertising and marketing ecosystems in which we operate and could negatively</w:t>
      </w:r>
    </w:p>
    <w:p>
      <w:pPr>
        <w:spacing w:after="0" w:line="5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impact our business. We are currently offering and continuing to develop non-cookie based alternatives that can be used in the global ecosystem.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and Taxation</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Changes in legislative, judicial, regulatory, or cultural environments relating to information collection and use may limit our ability to collect and use data. Such developments could cause revenues to decline, increase the cost and availability of data and adversely affect the demand for our products and services.</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receive, store and process personal information and other data from and about consumers in addition to our clients, employees, and services providers. Our handling of this data is subject to a variety of federal, state, and foreign laws and regulations and is subject to regulation by various government authorities. Our data handling also is subject to contractual obligations and may be deemed to be subject to industry standards.</w:t>
      </w:r>
    </w:p>
    <w:p>
      <w:pPr>
        <w:spacing w:after="0" w:line="231" w:lineRule="exact"/>
        <w:rPr>
          <w:sz w:val="20"/>
          <w:szCs w:val="20"/>
          <w:color w:val="auto"/>
        </w:rPr>
      </w:pPr>
    </w:p>
    <w:p>
      <w:pPr>
        <w:ind w:right="340"/>
        <w:spacing w:after="0" w:line="253" w:lineRule="auto"/>
        <w:rPr>
          <w:sz w:val="20"/>
          <w:szCs w:val="20"/>
          <w:color w:val="auto"/>
        </w:rPr>
      </w:pPr>
      <w:r>
        <w:rPr>
          <w:rFonts w:ascii="Arial" w:cs="Arial" w:eastAsia="Arial" w:hAnsi="Arial"/>
          <w:sz w:val="18"/>
          <w:szCs w:val="18"/>
          <w:color w:val="auto"/>
        </w:rPr>
        <w:t>The U.S. federal and various state and foreign governments have adopted or proposed limitations on the collection, distribution, use and storage of data relating to individuals, including the use of contact information and other data for marketing, advertising and other communications with individuals and businesses. In the U.S., various laws and regulations apply to the collection, processing, disclosure, and security of certain types of data. Additionally, the FTC and many state attorneys general are interpreting federal and state consumer protection laws as imposing standards for the online collection, use, dissemination and security of data.</w:t>
      </w:r>
    </w:p>
    <w:p>
      <w:pPr>
        <w:spacing w:after="0" w:line="23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The regulatory framework for data privacy issues worldwide is currently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could be placed upon the collection, management, aggregation and use of information, which could result in a material increase in the cost of collecting or otherwise obtaining certain kinds of data and could limit the ways in which we may use or disclose information.</w:t>
      </w:r>
    </w:p>
    <w:p>
      <w:pPr>
        <w:spacing w:after="0" w:line="232"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 particular, interest-based advertising, or the use of data to draw inferences about a user’s interests and deliver relevant advertising to that user, and similar or related practices, such as cross-device data collection and aggregation, steps taken to de-identify personal data and to use and distribute the resulting data, including for purposes of personalization and the targeting of advertisements, have come under increasing scrutiny by legislative, regulatory, and self-regulatory bodies in the U.S. and abroad that focus on consumer protection or data privacy. Much of this scrutiny has focused on the use of cookies and other technology to collect information about Internet users’ online browsing activity on web browsers, mobile devices, and other devices, to associate such data with</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ind w:right="80"/>
        <w:spacing w:after="0" w:line="252" w:lineRule="auto"/>
        <w:rPr>
          <w:sz w:val="20"/>
          <w:szCs w:val="20"/>
          <w:color w:val="auto"/>
        </w:rPr>
      </w:pPr>
      <w:r>
        <w:rPr>
          <w:rFonts w:ascii="Arial" w:cs="Arial" w:eastAsia="Arial" w:hAnsi="Arial"/>
          <w:sz w:val="18"/>
          <w:szCs w:val="18"/>
          <w:color w:val="auto"/>
        </w:rPr>
        <w:t>user or device identifiers or de-identified identities across devices and channels. In addition, providers of Internet browsers have engaged in, or announced plans to continue or expand, efforts to provide increased visibility into, and certain controls over, cookies and similar technologies and the data collected using such technologies. For example, in January 2020 Google announced that at some point in the following 24 months the Chrome browser will block third-party cookies. Because we, and our clients, rely upon large volumes of such data collected primarily through cookies and similar technologies, it is possible that these efforts may have a substantial impact on our ability to collect and use data from Internet users, and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U.S., the U.S. Congress and state legislatures, along with federal regulatory authorities have recently increased their attention on matters concerning the collection and use of consumer data. In the U.S., non-sensitive consumer data generally may be used under current rules and regulations, subject to certain restrictions, so long as the person does not affirmatively “opt-out” of the collection or use of such data. If an “opt-in” model were to be adopted in the U.S., less data would be available, and the cost of data would be higher. For example, California recently enacted legislation, the California Consumer Privacy Act (“CCPA”), that became operative on January 1, 2020 and will come under California Attorney General ("AG") enforcement on July 1, 2020. The CCPA requires covered companies to, among other things, provide new disclosures to California consumers and afford such consumers new abilities to opt-out of certain sales of personal information, a concept that is defined broadly. The CCPA is the subject of proposed regulations issued by the California AG, but those regulations have yet to be finalized. It remains unclear what the California AG's implementing regulations will be or how aspects of the CCPA will be interpreted. We cannot yet fully predict the impact of the CCPA on our business or operations, but it may require us to modify our data processing practices and policies and to incur substantial costs and expenses in an effort to comply. Decreased availability and increased costs of information could adversely affect our ability to meet our clients’ requirements and could result in decreased revenues.</w:t>
      </w:r>
    </w:p>
    <w:p>
      <w:pPr>
        <w:spacing w:after="0" w:line="23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Europe, the European General Data Protection Regulation ("GDPR") took effect on May 25, 2018 and applies to products and services that we provide in Europe, as well as the processing of personal data of EU citizens, wherever that processing occurs. The GDPR includes operational requirements for companies that receive or process personal data of residents of the European Union that are different than those that were in place in the European Union. For example, we have been required to offer new controls to data subjects in Europe before processing data for certain aspects of our service. In addition, the GDPR includes significant penalties for non-compliance of up to the greater of €20 million or 4% of an enterprise’s global annual revenue. Further, the European Union is expected to replace the EU Cookie Directive governing the use of technologies to collect consumer information with the ePrivacy Regulation. The ePrivacy Regulation may impose burdensome requirements around obtaining consent, and impose fines for violations that are materially higher than those imposed under the European Union’s current ePrivacy Directive and related EU member state legislation. In addition, some countries are considering or have passed legislation implementing data protection requirements or requiring local storage and processing of data or similar requirements that could increase the cost and complexity of delivering our services. Any failure to achieve required data protection standards may result in lawsuits, regulatory fines, or other actions or liability, all of which may harm our operating results.</w:t>
      </w:r>
    </w:p>
    <w:p>
      <w:pPr>
        <w:spacing w:after="0" w:line="23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June 2016, a referendum was passed in the United Kingdom to leave the European Union, commonly referred to as “Brexit.” The United Kingdom exited the European Union pursuant to Brexit on January 31, 2020, subject to a transition period for certain matters that is scheduled to run through December 31, 2020. Brexit has created an uncertain political and economic environment in the United Kingdom and other European Union countries. For example, a Data Protection Bill designed to be consistent with GDPR was enacted in the United Kingdom in May 2018, but it remains uncertain how data transfers to and from the United Kingdom will be regulated. The full effect of Brexit is uncertain and depends on any agreements the United Kingdom may make to retain access to European Union markets. Consequently, no assurance can be given about the impact of the outcome and our business may be seriously harmed.</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 For example, in 2016, the European Union and the U.S. agreed to an alternative transfer framework for data transferred from the European Union to the U.S., called the Privacy Shield, but this framework is subject to an annual review that could result in changes to our obligations and also has been subject to legal challenge. In addition, the other bases upon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7" w:name="page28"/>
    <w:bookmarkEnd w:id="27"/>
    <w:p>
      <w:pPr>
        <w:spacing w:after="0" w:line="254" w:lineRule="auto"/>
        <w:rPr>
          <w:sz w:val="20"/>
          <w:szCs w:val="20"/>
          <w:color w:val="auto"/>
        </w:rPr>
      </w:pPr>
      <w:r>
        <w:rPr>
          <w:rFonts w:ascii="Arial" w:cs="Arial" w:eastAsia="Arial" w:hAnsi="Arial"/>
          <w:sz w:val="18"/>
          <w:szCs w:val="18"/>
          <w:color w:val="auto"/>
        </w:rPr>
        <w:t>which we rely to legitimize the transfer of such data, such as Standard Contractual Clauses, have been subjected to regulatory and judicial scrutiny. If one or more of the legal bases for transferring data from Europe to the U.S. is invalidated, if we are unable to transfer data between and among countries and regions in which we operate, or if we are prohibited from sharing data among our products and services, it could affect the manner in which we provide our services or adversely affect our financial results.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to government regulation, privacy advocacy and industry groups may propose new and different self-regulatory standards that either legally or contractually apply to us or our clients.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Because the interpretation and application of privacy and data protection laws, regulations and standards are uncertain, it is possible that these laws, regulations and standards may be interpreted and applied in manners that are, or are asserted to be, inconsistent with our data management practices or the technological features of our solutions. If so, in addition to the possibility of fines, investigations, lawsuits and other claims and proceedings, it may be necessary or desirable for us to fundamentally change our business activities and practices or modify our products and services, which could have an adverse effect on our business. We may be unable to make such changes or modifications in a commercially reasonable manner or at all. Any inability to adequately address privacy concerns, even if unfounded, or any actual or perceived failure to comply with applicable privacy or data protection laws, regulations, standards or policies, could result in additional cost and liability to us, damage our reputation, inhibit sales and harm our business. Furthermore, the costs of compliance with, and other burdens imposed by, the laws, regulations, standards and policies that are applicable to the businesses of our clients may limit the use and adoption of, and reduce the overall demand for, our platform. Privacy concerns, whether valid or not valid, may inhibit market adoption of our platform particularly in certain industries and foreign countries.</w:t>
      </w:r>
    </w:p>
    <w:p>
      <w:pPr>
        <w:spacing w:after="0" w:line="216" w:lineRule="exact"/>
        <w:rPr>
          <w:sz w:val="20"/>
          <w:szCs w:val="20"/>
          <w:color w:val="auto"/>
        </w:rPr>
      </w:pPr>
    </w:p>
    <w:p>
      <w:pPr>
        <w:ind w:right="2240"/>
        <w:spacing w:after="0" w:line="287" w:lineRule="auto"/>
        <w:rPr>
          <w:sz w:val="20"/>
          <w:szCs w:val="20"/>
          <w:color w:val="auto"/>
        </w:rPr>
      </w:pPr>
      <w:r>
        <w:rPr>
          <w:rFonts w:ascii="Arial" w:cs="Arial" w:eastAsia="Arial" w:hAnsi="Arial"/>
          <w:sz w:val="18"/>
          <w:szCs w:val="18"/>
          <w:b w:val="1"/>
          <w:bCs w:val="1"/>
          <w:color w:val="auto"/>
        </w:rPr>
        <w:t>Changes in tax laws or regulations that are applied adversely to us or our customers may have a material adverse effect on our business, cash flow, financial condition or results of operations.</w:t>
      </w:r>
    </w:p>
    <w:p>
      <w:pPr>
        <w:spacing w:after="0" w:line="20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 xml:space="preserve">New </w:t>
      </w:r>
      <w:r>
        <w:rPr>
          <w:rFonts w:ascii="Arial" w:cs="Arial" w:eastAsia="Arial" w:hAnsi="Arial"/>
          <w:sz w:val="18"/>
          <w:szCs w:val="18"/>
          <w:color w:val="1F497D"/>
        </w:rPr>
        <w:t>i</w:t>
      </w:r>
      <w:r>
        <w:rPr>
          <w:rFonts w:ascii="Arial" w:cs="Arial" w:eastAsia="Arial" w:hAnsi="Arial"/>
          <w:sz w:val="18"/>
          <w:szCs w:val="18"/>
          <w:color w:val="auto"/>
        </w:rPr>
        <w:t>ncome, sales, use or other tax laws, statutes, rules, regulations or ordinances could be enacted at any time, which could affect the tax treatment of our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which could have a material adverse effect on our business, cash flow, financial condition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5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color w:val="auto"/>
        </w:rPr>
        <w:t>Third parties may claim that we are infringing their intellectual property and we could suffer significant litigation or licensing expenses or be prevented from selling products or services. Additionally, third parties may infringe our intellectual property and we may suffer competitive injury or expend significant resources enforcing our rights.</w:t>
      </w:r>
    </w:p>
    <w:p>
      <w:pPr>
        <w:spacing w:after="0" w:line="19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our business is focused on data-driven results and analytics, we rely heavily on proprietary information technology, processes and other protectable intellectual property rights. From time to time, third parties may claim that one or more of our products or services infringe their intellectual property rights. We analyze and take action in response to such claims on a case-by-case basis. Any dispute or litigation regarding patents or other intellectual property could be costly and time-consuming due to the complexity of our technology and the uncertainty of intellectual property litigation, which could divert the attention of our management and key personnel away from our business operations. A claim of intellectual property infringement could force us to enter into a costly or restrictive license agreement, which might not be available under acceptable terms or at all, or could subject us to significant damages or to an injunction against development and sale of certain of our products or services.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8" w:name="page29"/>
    <w:bookmarkEnd w:id="28"/>
    <w:p>
      <w:pPr>
        <w:spacing w:after="0" w:line="254" w:lineRule="auto"/>
        <w:rPr>
          <w:sz w:val="20"/>
          <w:szCs w:val="20"/>
          <w:color w:val="auto"/>
        </w:rPr>
      </w:pPr>
      <w:r>
        <w:rPr>
          <w:rFonts w:ascii="Arial" w:cs="Arial" w:eastAsia="Arial" w:hAnsi="Arial"/>
          <w:sz w:val="18"/>
          <w:szCs w:val="18"/>
          <w:color w:val="auto"/>
        </w:rPr>
        <w:t>Our proprietary portfolio consists of various intellectual property rights, including patents, copyrights, database rights, source code, trademarks, trade secrets, know-how, confidentiality provisions and licensing arrangements. The extent to which such rights can be protected varies from jurisdiction to jurisdiction. If we do not enforce our intellectual property rights vigorously and successfully, our competitive position may suffer, which could harm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949" w:right="10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1B. Unresolved Staff Comments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Properties</w:t>
      </w:r>
    </w:p>
    <w:p>
      <w:pPr>
        <w:spacing w:after="0" w:line="2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LiveRamp is headquartered in San Francisco, California with additional locations in the United States. We also have a physical presence in Europe and Asia-Pacific. As we have only one business segment, all of the properties listed below are used exclusively by it. In general, our facilities are in good condition, and we believe that they are adequate to meet our current needs. The table below sets forth the location, form of ownership and general use of our principal properties currently being used.</w:t>
      </w:r>
    </w:p>
    <w:p>
      <w:pPr>
        <w:spacing w:after="0" w:line="285" w:lineRule="exact"/>
        <w:rPr>
          <w:sz w:val="20"/>
          <w:szCs w:val="20"/>
          <w:color w:val="auto"/>
        </w:rPr>
      </w:pPr>
    </w:p>
    <w:tbl>
      <w:tblPr>
        <w:tblLayout w:type="fixed"/>
        <w:tblInd w:w="660" w:type="dxa"/>
        <w:tblCellMar>
          <w:top w:w="0" w:type="dxa"/>
          <w:left w:w="0" w:type="dxa"/>
          <w:bottom w:w="0" w:type="dxa"/>
          <w:right w:w="0" w:type="dxa"/>
        </w:tblCellMar>
      </w:tblPr>
      <w:tr>
        <w:trPr>
          <w:trHeight w:val="224"/>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Location</w:t>
            </w:r>
          </w:p>
        </w:tc>
        <w:tc>
          <w:tcPr>
            <w:tcW w:w="200" w:type="dxa"/>
            <w:vAlign w:val="bottom"/>
          </w:tcPr>
          <w:p>
            <w:pPr>
              <w:spacing w:after="0"/>
              <w:rPr>
                <w:sz w:val="19"/>
                <w:szCs w:val="19"/>
                <w:color w:val="auto"/>
              </w:rPr>
            </w:pPr>
          </w:p>
        </w:tc>
        <w:tc>
          <w:tcPr>
            <w:tcW w:w="286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Held</w:t>
            </w:r>
          </w:p>
        </w:tc>
        <w:tc>
          <w:tcPr>
            <w:tcW w:w="200" w:type="dxa"/>
            <w:vAlign w:val="bottom"/>
          </w:tcPr>
          <w:p>
            <w:pPr>
              <w:spacing w:after="0"/>
              <w:rPr>
                <w:sz w:val="19"/>
                <w:szCs w:val="19"/>
                <w:color w:val="auto"/>
              </w:rPr>
            </w:pPr>
          </w:p>
        </w:tc>
        <w:tc>
          <w:tcPr>
            <w:tcW w:w="29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Use</w:t>
            </w:r>
          </w:p>
        </w:tc>
      </w:tr>
      <w:tr>
        <w:trPr>
          <w:trHeight w:val="506"/>
        </w:trPr>
        <w:tc>
          <w:tcPr>
            <w:tcW w:w="30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rPr>
              <w:t>United States:</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San Francisco, California</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r>
        <w:trPr>
          <w:trHeight w:val="25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New York, New York</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tcPr>
          <w:p>
            <w:pPr>
              <w:ind w:left="20"/>
              <w:spacing w:after="0"/>
              <w:rPr>
                <w:sz w:val="20"/>
                <w:szCs w:val="20"/>
                <w:color w:val="auto"/>
              </w:rPr>
            </w:pPr>
            <w:r>
              <w:rPr>
                <w:rFonts w:ascii="Arial" w:cs="Arial" w:eastAsia="Arial" w:hAnsi="Arial"/>
                <w:sz w:val="18"/>
                <w:szCs w:val="18"/>
                <w:color w:val="auto"/>
              </w:rPr>
              <w:t>Office space</w:t>
            </w: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Seattle, Washington</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r>
        <w:trPr>
          <w:trHeight w:val="25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Little Rock, Arkansas</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tcPr>
          <w:p>
            <w:pPr>
              <w:ind w:left="20"/>
              <w:spacing w:after="0"/>
              <w:rPr>
                <w:sz w:val="20"/>
                <w:szCs w:val="20"/>
                <w:color w:val="auto"/>
              </w:rPr>
            </w:pPr>
            <w:r>
              <w:rPr>
                <w:rFonts w:ascii="Arial" w:cs="Arial" w:eastAsia="Arial" w:hAnsi="Arial"/>
                <w:sz w:val="18"/>
                <w:szCs w:val="18"/>
                <w:color w:val="auto"/>
              </w:rPr>
              <w:t>Office space</w:t>
            </w: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Philadelphia, Pennsylvania</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Boston, Massachusetts</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tcPr>
          <w:p>
            <w:pPr>
              <w:ind w:left="20"/>
              <w:spacing w:after="0"/>
              <w:rPr>
                <w:sz w:val="20"/>
                <w:szCs w:val="20"/>
                <w:color w:val="auto"/>
              </w:rPr>
            </w:pPr>
            <w:r>
              <w:rPr>
                <w:rFonts w:ascii="Arial" w:cs="Arial" w:eastAsia="Arial" w:hAnsi="Arial"/>
                <w:sz w:val="18"/>
                <w:szCs w:val="18"/>
                <w:color w:val="auto"/>
              </w:rPr>
              <w:t>Office space</w:t>
            </w:r>
          </w:p>
        </w:tc>
      </w:tr>
      <w:tr>
        <w:trPr>
          <w:trHeight w:val="533"/>
        </w:trPr>
        <w:tc>
          <w:tcPr>
            <w:tcW w:w="3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Europe:</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London, England</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r>
        <w:trPr>
          <w:trHeight w:val="25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Paris, France</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tcPr>
          <w:p>
            <w:pPr>
              <w:ind w:left="20"/>
              <w:spacing w:after="0"/>
              <w:rPr>
                <w:sz w:val="20"/>
                <w:szCs w:val="20"/>
                <w:color w:val="auto"/>
              </w:rPr>
            </w:pPr>
            <w:r>
              <w:rPr>
                <w:rFonts w:ascii="Arial" w:cs="Arial" w:eastAsia="Arial" w:hAnsi="Arial"/>
                <w:sz w:val="18"/>
                <w:szCs w:val="18"/>
                <w:color w:val="auto"/>
              </w:rPr>
              <w:t>Office space</w:t>
            </w: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Amsterdam, Netherlands</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r>
        <w:trPr>
          <w:trHeight w:val="520"/>
        </w:trPr>
        <w:tc>
          <w:tcPr>
            <w:tcW w:w="3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Asia-Pacific:</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Shanghai, China</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r>
        <w:trPr>
          <w:trHeight w:val="25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Nantong, China</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tcPr>
          <w:p>
            <w:pPr>
              <w:ind w:left="20"/>
              <w:spacing w:after="0"/>
              <w:rPr>
                <w:sz w:val="20"/>
                <w:szCs w:val="20"/>
                <w:color w:val="auto"/>
              </w:rPr>
            </w:pPr>
            <w:r>
              <w:rPr>
                <w:rFonts w:ascii="Arial" w:cs="Arial" w:eastAsia="Arial" w:hAnsi="Arial"/>
                <w:sz w:val="18"/>
                <w:szCs w:val="18"/>
                <w:color w:val="auto"/>
              </w:rPr>
              <w:t>Office space</w:t>
            </w: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Singapore, Singapore</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r>
        <w:trPr>
          <w:trHeight w:val="250"/>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Tokyo, Japan</w:t>
            </w: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tcPr>
          <w:p>
            <w:pPr>
              <w:ind w:left="20"/>
              <w:spacing w:after="0"/>
              <w:rPr>
                <w:sz w:val="20"/>
                <w:szCs w:val="20"/>
                <w:color w:val="auto"/>
              </w:rPr>
            </w:pPr>
            <w:r>
              <w:rPr>
                <w:rFonts w:ascii="Arial" w:cs="Arial" w:eastAsia="Arial" w:hAnsi="Arial"/>
                <w:sz w:val="18"/>
                <w:szCs w:val="18"/>
                <w:color w:val="auto"/>
              </w:rPr>
              <w:t>Office space</w:t>
            </w:r>
          </w:p>
        </w:tc>
      </w:tr>
      <w:tr>
        <w:trPr>
          <w:trHeight w:val="26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Sydney, Australia</w:t>
            </w:r>
          </w:p>
        </w:tc>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w:t>
            </w: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space</w:t>
            </w: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Legal Proceedings</w:t>
      </w:r>
    </w:p>
    <w:p>
      <w:pPr>
        <w:spacing w:after="0" w:line="247" w:lineRule="exact"/>
        <w:rPr>
          <w:sz w:val="20"/>
          <w:szCs w:val="20"/>
          <w:color w:val="auto"/>
        </w:rPr>
      </w:pPr>
    </w:p>
    <w:p>
      <w:pPr>
        <w:ind w:right="1020"/>
        <w:spacing w:after="0" w:line="261" w:lineRule="auto"/>
        <w:rPr>
          <w:sz w:val="20"/>
          <w:szCs w:val="20"/>
          <w:color w:val="auto"/>
        </w:rPr>
      </w:pPr>
      <w:r>
        <w:rPr>
          <w:rFonts w:ascii="Arial" w:cs="Arial" w:eastAsia="Arial" w:hAnsi="Arial"/>
          <w:sz w:val="18"/>
          <w:szCs w:val="18"/>
          <w:color w:val="auto"/>
        </w:rPr>
        <w:t>The material set forth in Note 12 of Notes to Consolidated Financial Statements in Item 15 of this Annual Report on Form 10-K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0" w:name="page31"/>
    <w:bookmarkEnd w:id="30"/>
    <w:p>
      <w:pPr>
        <w:jc w:val="center"/>
        <w:ind w:right="-23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27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outstanding shares of LiveRamp's common stock are listed and traded on the New York Stock Exchange since October 1, 2018 under the symbol "RAMP". Prior to that date our stock was listed on the NASDAQ Global Select Market under the symbol "ACXM".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As of May 18, 2020, the approximate number of record holders of the Company’s common stock was 1,192.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43"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The Company has not paid dividends on its common stock in the past two fiscal years. The Board of Directors may consider paying dividends in the future but has no plans to pay dividends in the short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927" w:right="57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Performance Graph</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graph below compares the 5-year cumulative total return of our common stock with the cumulative total returns of the Russell 2000 index and S&amp;P 400 IT Consulting and Other Services index. The graph tracks the performance of a $100 investment in our common stock and in each index (with the reinvestment of all dividends) from 3/31/2015 to 3/31/2020.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3635375</wp:posOffset>
            </wp:positionV>
            <wp:extent cx="70980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March 2015</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2016</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2017</w:t>
            </w: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2018</w:t>
            </w:r>
          </w:p>
        </w:tc>
        <w:tc>
          <w:tcPr>
            <w:tcW w:w="11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March 2019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2020</w:t>
            </w:r>
          </w:p>
        </w:tc>
      </w:tr>
      <w:tr>
        <w:trPr>
          <w:trHeight w:val="215"/>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LiveRamp Holdings, Inc.</w:t>
            </w:r>
          </w:p>
        </w:tc>
        <w:tc>
          <w:tcPr>
            <w:tcW w:w="23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100.00</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115.95</w:t>
            </w:r>
          </w:p>
        </w:tc>
        <w:tc>
          <w:tcPr>
            <w:tcW w:w="118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153.98</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122.82</w:t>
            </w:r>
          </w:p>
        </w:tc>
        <w:tc>
          <w:tcPr>
            <w:tcW w:w="118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295.13</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178.04</w:t>
            </w:r>
          </w:p>
        </w:tc>
      </w:tr>
      <w:tr>
        <w:trPr>
          <w:trHeight w:val="210"/>
        </w:trPr>
        <w:tc>
          <w:tcPr>
            <w:tcW w:w="3080" w:type="dxa"/>
            <w:vAlign w:val="bottom"/>
          </w:tcPr>
          <w:p>
            <w:pPr>
              <w:ind w:left="20"/>
              <w:spacing w:after="0"/>
              <w:rPr>
                <w:sz w:val="20"/>
                <w:szCs w:val="20"/>
                <w:color w:val="auto"/>
              </w:rPr>
            </w:pPr>
            <w:r>
              <w:rPr>
                <w:rFonts w:ascii="Arial" w:cs="Arial" w:eastAsia="Arial" w:hAnsi="Arial"/>
                <w:sz w:val="14"/>
                <w:szCs w:val="14"/>
                <w:b w:val="1"/>
                <w:bCs w:val="1"/>
                <w:color w:val="auto"/>
              </w:rPr>
              <w:t>Russell 2000</w:t>
            </w:r>
          </w:p>
        </w:tc>
        <w:tc>
          <w:tcPr>
            <w:tcW w:w="2360" w:type="dxa"/>
            <w:vAlign w:val="bottom"/>
          </w:tcPr>
          <w:p>
            <w:pPr>
              <w:jc w:val="right"/>
              <w:ind w:right="288"/>
              <w:spacing w:after="0"/>
              <w:rPr>
                <w:sz w:val="20"/>
                <w:szCs w:val="20"/>
                <w:color w:val="auto"/>
              </w:rPr>
            </w:pPr>
            <w:r>
              <w:rPr>
                <w:rFonts w:ascii="Arial" w:cs="Arial" w:eastAsia="Arial" w:hAnsi="Arial"/>
                <w:sz w:val="14"/>
                <w:szCs w:val="14"/>
                <w:b w:val="1"/>
                <w:bCs w:val="1"/>
                <w:color w:val="auto"/>
              </w:rPr>
              <w:t>100.00</w:t>
            </w:r>
          </w:p>
        </w:tc>
        <w:tc>
          <w:tcPr>
            <w:tcW w:w="1180" w:type="dxa"/>
            <w:vAlign w:val="bottom"/>
          </w:tcPr>
          <w:p>
            <w:pPr>
              <w:jc w:val="right"/>
              <w:ind w:right="268"/>
              <w:spacing w:after="0"/>
              <w:rPr>
                <w:sz w:val="20"/>
                <w:szCs w:val="20"/>
                <w:color w:val="auto"/>
              </w:rPr>
            </w:pPr>
            <w:r>
              <w:rPr>
                <w:rFonts w:ascii="Arial" w:cs="Arial" w:eastAsia="Arial" w:hAnsi="Arial"/>
                <w:sz w:val="14"/>
                <w:szCs w:val="14"/>
                <w:b w:val="1"/>
                <w:bCs w:val="1"/>
                <w:color w:val="auto"/>
              </w:rPr>
              <w:t>90.24</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113.90</w:t>
            </w: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127.33</w:t>
            </w:r>
          </w:p>
        </w:tc>
        <w:tc>
          <w:tcPr>
            <w:tcW w:w="1180" w:type="dxa"/>
            <w:vAlign w:val="bottom"/>
          </w:tcPr>
          <w:p>
            <w:pPr>
              <w:jc w:val="right"/>
              <w:ind w:right="248"/>
              <w:spacing w:after="0"/>
              <w:rPr>
                <w:sz w:val="20"/>
                <w:szCs w:val="20"/>
                <w:color w:val="auto"/>
              </w:rPr>
            </w:pPr>
            <w:r>
              <w:rPr>
                <w:rFonts w:ascii="Arial" w:cs="Arial" w:eastAsia="Arial" w:hAnsi="Arial"/>
                <w:sz w:val="14"/>
                <w:szCs w:val="14"/>
                <w:b w:val="1"/>
                <w:bCs w:val="1"/>
                <w:color w:val="auto"/>
              </w:rPr>
              <w:t>129.94</w:t>
            </w:r>
          </w:p>
        </w:tc>
        <w:tc>
          <w:tcPr>
            <w:tcW w:w="1000" w:type="dxa"/>
            <w:vAlign w:val="bottom"/>
          </w:tcPr>
          <w:p>
            <w:pPr>
              <w:jc w:val="right"/>
              <w:ind w:right="68"/>
              <w:spacing w:after="0"/>
              <w:rPr>
                <w:sz w:val="20"/>
                <w:szCs w:val="20"/>
                <w:color w:val="auto"/>
              </w:rPr>
            </w:pPr>
            <w:r>
              <w:rPr>
                <w:rFonts w:ascii="Arial" w:cs="Arial" w:eastAsia="Arial" w:hAnsi="Arial"/>
                <w:sz w:val="14"/>
                <w:szCs w:val="14"/>
                <w:b w:val="1"/>
                <w:bCs w:val="1"/>
                <w:color w:val="auto"/>
              </w:rPr>
              <w:t>98.77</w:t>
            </w:r>
          </w:p>
        </w:tc>
      </w:tr>
      <w:tr>
        <w:trPr>
          <w:trHeight w:val="222"/>
        </w:trPr>
        <w:tc>
          <w:tcPr>
            <w:tcW w:w="3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S&amp;P 400 IT Consulting</w:t>
            </w:r>
          </w:p>
        </w:tc>
        <w:tc>
          <w:tcPr>
            <w:tcW w:w="2360" w:type="dxa"/>
            <w:vAlign w:val="bottom"/>
            <w:shd w:val="clear" w:color="auto" w:fill="CCEEFF"/>
          </w:tcPr>
          <w:p>
            <w:pPr>
              <w:jc w:val="right"/>
              <w:ind w:right="288"/>
              <w:spacing w:after="0"/>
              <w:rPr>
                <w:sz w:val="20"/>
                <w:szCs w:val="20"/>
                <w:color w:val="auto"/>
              </w:rPr>
            </w:pPr>
            <w:r>
              <w:rPr>
                <w:rFonts w:ascii="Arial" w:cs="Arial" w:eastAsia="Arial" w:hAnsi="Arial"/>
                <w:sz w:val="14"/>
                <w:szCs w:val="14"/>
                <w:b w:val="1"/>
                <w:bCs w:val="1"/>
                <w:color w:val="auto"/>
              </w:rPr>
              <w:t>100.00</w:t>
            </w:r>
          </w:p>
        </w:tc>
        <w:tc>
          <w:tcPr>
            <w:tcW w:w="118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112.12</w:t>
            </w:r>
          </w:p>
        </w:tc>
        <w:tc>
          <w:tcPr>
            <w:tcW w:w="118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134.85</w:t>
            </w:r>
          </w:p>
        </w:tc>
        <w:tc>
          <w:tcPr>
            <w:tcW w:w="120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145.67</w:t>
            </w:r>
          </w:p>
        </w:tc>
        <w:tc>
          <w:tcPr>
            <w:tcW w:w="118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193.88</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185.24</w:t>
            </w:r>
          </w:p>
        </w:tc>
      </w:tr>
    </w:tbl>
    <w:p>
      <w:pPr>
        <w:spacing w:after="0" w:line="292" w:lineRule="exact"/>
        <w:rPr>
          <w:sz w:val="20"/>
          <w:szCs w:val="20"/>
          <w:color w:val="auto"/>
        </w:rPr>
      </w:pPr>
    </w:p>
    <w:p>
      <w:pPr>
        <w:jc w:val="both"/>
        <w:spacing w:after="0" w:line="229" w:lineRule="auto"/>
        <w:rPr>
          <w:sz w:val="20"/>
          <w:szCs w:val="20"/>
          <w:color w:val="auto"/>
        </w:rPr>
      </w:pPr>
      <w:r>
        <w:rPr>
          <w:rFonts w:ascii="Arial" w:cs="Arial" w:eastAsia="Arial" w:hAnsi="Arial"/>
          <w:sz w:val="18"/>
          <w:szCs w:val="18"/>
          <w:i w:val="1"/>
          <w:iCs w:val="1"/>
          <w:color w:val="auto"/>
        </w:rPr>
        <w:t>The performance graph and the related chart and text, are being furnished solely to accompany this Annual Report on Form 10-K pursuant to Item 201(e) of Regulation S-K, and are not being filed for purposes of Section 18 of the Securities Exchange Act of 1934, as amended, and are not to be incorporated by reference into any filing of ours, whether made before or after the date hereof, regardless of any general incorporation language in such filing. The stock price performance included in this graph is not necessarily indicative of future stock price performance.</w:t>
      </w:r>
    </w:p>
    <w:p>
      <w:pPr>
        <w:spacing w:after="0" w:line="21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S&amp;P® and S&amp;P 500® are registered trademarks of Standard &amp; Poor’s Financial Services LLC, and Dow Jones® is a registered trademark of Dow Jones Trademark Holdings LLC., 2020 S&amp;P Dow Jones Indices LLC, its affiliates and/or its licensors. All rights reserved.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Copyright© 2020 Russell Investment Group. All rights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Purchases of Equity Securities by the Issuer and Affiliated Purchasers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regarding purchases by LiveRamp of its common stock during the periods indicated.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20" w:type="dxa"/>
            <w:vAlign w:val="bottom"/>
          </w:tcPr>
          <w:p>
            <w:pPr>
              <w:jc w:val="center"/>
              <w:ind w:right="239"/>
              <w:spacing w:after="0"/>
              <w:rPr>
                <w:sz w:val="20"/>
                <w:szCs w:val="20"/>
                <w:color w:val="auto"/>
              </w:rPr>
            </w:pPr>
            <w:r>
              <w:rPr>
                <w:rFonts w:ascii="Arial" w:cs="Arial" w:eastAsia="Arial" w:hAnsi="Arial"/>
                <w:sz w:val="14"/>
                <w:szCs w:val="14"/>
                <w:color w:val="auto"/>
              </w:rPr>
              <w:t>Maximum Number (or Approximate</w:t>
            </w:r>
          </w:p>
        </w:tc>
      </w:tr>
      <w:tr>
        <w:trPr>
          <w:trHeight w:val="162"/>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rPr>
              <w:t>Total Number of Shares</w:t>
            </w:r>
          </w:p>
        </w:tc>
        <w:tc>
          <w:tcPr>
            <w:tcW w:w="300" w:type="dxa"/>
            <w:vAlign w:val="bottom"/>
          </w:tcPr>
          <w:p>
            <w:pPr>
              <w:spacing w:after="0"/>
              <w:rPr>
                <w:sz w:val="14"/>
                <w:szCs w:val="14"/>
                <w:color w:val="auto"/>
              </w:rPr>
            </w:pPr>
          </w:p>
        </w:tc>
        <w:tc>
          <w:tcPr>
            <w:tcW w:w="3020" w:type="dxa"/>
            <w:vAlign w:val="bottom"/>
          </w:tcPr>
          <w:p>
            <w:pPr>
              <w:jc w:val="center"/>
              <w:ind w:right="239"/>
              <w:spacing w:after="0"/>
              <w:rPr>
                <w:sz w:val="20"/>
                <w:szCs w:val="20"/>
                <w:color w:val="auto"/>
              </w:rPr>
            </w:pPr>
            <w:r>
              <w:rPr>
                <w:rFonts w:ascii="Arial" w:cs="Arial" w:eastAsia="Arial" w:hAnsi="Arial"/>
                <w:sz w:val="14"/>
                <w:szCs w:val="14"/>
                <w:color w:val="auto"/>
              </w:rPr>
              <w:t>Dollar Value) of Shares that May Yet</w:t>
            </w:r>
          </w:p>
        </w:tc>
      </w:tr>
      <w:tr>
        <w:trPr>
          <w:trHeight w:val="162"/>
        </w:trPr>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Total Number of Shares</w:t>
            </w:r>
          </w:p>
        </w:tc>
        <w:tc>
          <w:tcPr>
            <w:tcW w:w="1740" w:type="dxa"/>
            <w:vAlign w:val="bottom"/>
            <w:gridSpan w:val="2"/>
          </w:tcPr>
          <w:p>
            <w:pPr>
              <w:ind w:left="200"/>
              <w:spacing w:after="0"/>
              <w:rPr>
                <w:sz w:val="20"/>
                <w:szCs w:val="20"/>
                <w:color w:val="auto"/>
              </w:rPr>
            </w:pPr>
            <w:r>
              <w:rPr>
                <w:rFonts w:ascii="Arial" w:cs="Arial" w:eastAsia="Arial" w:hAnsi="Arial"/>
                <w:sz w:val="14"/>
                <w:szCs w:val="14"/>
                <w:color w:val="auto"/>
              </w:rPr>
              <w:t>Average Price Paid</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rPr>
              <w:t>Purchased as Part of Publicly</w:t>
            </w:r>
          </w:p>
        </w:tc>
        <w:tc>
          <w:tcPr>
            <w:tcW w:w="300" w:type="dxa"/>
            <w:vAlign w:val="bottom"/>
          </w:tcPr>
          <w:p>
            <w:pPr>
              <w:spacing w:after="0"/>
              <w:rPr>
                <w:sz w:val="14"/>
                <w:szCs w:val="14"/>
                <w:color w:val="auto"/>
              </w:rPr>
            </w:pPr>
          </w:p>
        </w:tc>
        <w:tc>
          <w:tcPr>
            <w:tcW w:w="3020" w:type="dxa"/>
            <w:vAlign w:val="bottom"/>
          </w:tcPr>
          <w:p>
            <w:pPr>
              <w:jc w:val="center"/>
              <w:ind w:right="239"/>
              <w:spacing w:after="0"/>
              <w:rPr>
                <w:sz w:val="20"/>
                <w:szCs w:val="20"/>
                <w:color w:val="auto"/>
              </w:rPr>
            </w:pPr>
            <w:r>
              <w:rPr>
                <w:rFonts w:ascii="Arial" w:cs="Arial" w:eastAsia="Arial" w:hAnsi="Arial"/>
                <w:sz w:val="14"/>
                <w:szCs w:val="14"/>
                <w:color w:val="auto"/>
              </w:rPr>
              <w:t>Be Purchased Under the</w:t>
            </w:r>
          </w:p>
        </w:tc>
      </w:tr>
      <w:tr>
        <w:trPr>
          <w:trHeight w:val="178"/>
        </w:trPr>
        <w:tc>
          <w:tcPr>
            <w:tcW w:w="184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Period</w:t>
            </w:r>
          </w:p>
        </w:tc>
        <w:tc>
          <w:tcPr>
            <w:tcW w:w="220" w:type="dxa"/>
            <w:vAlign w:val="bottom"/>
          </w:tcPr>
          <w:p>
            <w:pPr>
              <w:spacing w:after="0"/>
              <w:rPr>
                <w:sz w:val="15"/>
                <w:szCs w:val="15"/>
                <w:color w:val="auto"/>
              </w:rPr>
            </w:pPr>
          </w:p>
        </w:tc>
        <w:tc>
          <w:tcPr>
            <w:tcW w:w="16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Purchased</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Per Share</w:t>
            </w:r>
          </w:p>
        </w:tc>
        <w:tc>
          <w:tcPr>
            <w:tcW w:w="120" w:type="dxa"/>
            <w:vAlign w:val="bottom"/>
          </w:tcPr>
          <w:p>
            <w:pPr>
              <w:spacing w:after="0"/>
              <w:rPr>
                <w:sz w:val="15"/>
                <w:szCs w:val="15"/>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Announced Plans or Programs</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color w:val="auto"/>
              </w:rPr>
              <w:t>Plans or Programs</w:t>
            </w:r>
          </w:p>
        </w:tc>
      </w:tr>
      <w:tr>
        <w:trPr>
          <w:trHeight w:val="24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January 2020</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3020" w:type="dxa"/>
            <w:vAlign w:val="bottom"/>
          </w:tcPr>
          <w:p>
            <w:pPr>
              <w:jc w:val="right"/>
              <w:ind w:right="79"/>
              <w:spacing w:after="0"/>
              <w:rPr>
                <w:sz w:val="20"/>
                <w:szCs w:val="20"/>
                <w:color w:val="auto"/>
              </w:rPr>
            </w:pPr>
            <w:r>
              <w:rPr>
                <w:rFonts w:ascii="Arial" w:cs="Arial" w:eastAsia="Arial" w:hAnsi="Arial"/>
                <w:sz w:val="18"/>
                <w:szCs w:val="18"/>
                <w:color w:val="auto"/>
              </w:rPr>
              <w:t>429,757,545</w:t>
            </w:r>
          </w:p>
        </w:tc>
      </w:tr>
      <w:tr>
        <w:trPr>
          <w:trHeight w:val="263"/>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2020</w:t>
            </w:r>
          </w:p>
        </w:tc>
        <w:tc>
          <w:tcPr>
            <w:tcW w:w="16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363,945</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38.05</w:t>
            </w:r>
          </w:p>
        </w:tc>
        <w:tc>
          <w:tcPr>
            <w:tcW w:w="120" w:type="dxa"/>
            <w:vAlign w:val="bottom"/>
            <w:shd w:val="clear" w:color="auto" w:fill="CCEEFF"/>
          </w:tcPr>
          <w:p>
            <w:pPr>
              <w:spacing w:after="0"/>
              <w:rPr>
                <w:sz w:val="22"/>
                <w:szCs w:val="22"/>
                <w:color w:val="auto"/>
              </w:rPr>
            </w:pPr>
          </w:p>
        </w:tc>
        <w:tc>
          <w:tcPr>
            <w:tcW w:w="21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363,945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30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415,907,731</w:t>
            </w:r>
          </w:p>
        </w:tc>
      </w:tr>
      <w:tr>
        <w:trPr>
          <w:trHeight w:val="250"/>
        </w:trPr>
        <w:tc>
          <w:tcPr>
            <w:tcW w:w="2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March 2020</w:t>
            </w:r>
          </w:p>
        </w:tc>
        <w:tc>
          <w:tcPr>
            <w:tcW w:w="164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1,452,900</w:t>
            </w:r>
          </w:p>
        </w:tc>
        <w:tc>
          <w:tcPr>
            <w:tcW w:w="12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32.45</w:t>
            </w:r>
          </w:p>
        </w:tc>
        <w:tc>
          <w:tcPr>
            <w:tcW w:w="120" w:type="dxa"/>
            <w:vAlign w:val="bottom"/>
            <w:tcBorders>
              <w:bottom w:val="single" w:sz="8" w:color="CCEEFF"/>
            </w:tcBorders>
          </w:tcPr>
          <w:p>
            <w:pPr>
              <w:spacing w:after="0"/>
              <w:rPr>
                <w:sz w:val="21"/>
                <w:szCs w:val="21"/>
                <w:color w:val="auto"/>
              </w:rPr>
            </w:pPr>
          </w:p>
        </w:tc>
        <w:tc>
          <w:tcPr>
            <w:tcW w:w="214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1,452,900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302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368,755,424</w:t>
            </w:r>
          </w:p>
        </w:tc>
      </w:tr>
      <w:tr>
        <w:trPr>
          <w:trHeight w:val="281"/>
        </w:trPr>
        <w:tc>
          <w:tcPr>
            <w:tcW w:w="20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64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1,816,845</w:t>
            </w:r>
          </w:p>
        </w:tc>
        <w:tc>
          <w:tcPr>
            <w:tcW w:w="12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33.58</w:t>
            </w:r>
          </w:p>
        </w:tc>
        <w:tc>
          <w:tcPr>
            <w:tcW w:w="12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1,816,845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30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N/A</w:t>
            </w: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0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repurchases listed above were made pursuant to a repurchase program adopted by the Board of Directors on August 29, 2011. That program was subsequently modified and expanded, most recently on October 25, 2018. Under the modified common stock repurchase program, the Company may purchase up to $1.0 billion of its common stock through the period ending December 31, 2020. As of March 31, 2020, the Company had repurchased 26.9 million shares of its stock for $631.2 million, leaving remaining capacity of $368.8 million under the stock repurchase program.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Selected Financial Data</w:t>
      </w:r>
    </w:p>
    <w:p>
      <w:pPr>
        <w:spacing w:after="0" w:line="24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For information pertaining to selected financial data of LiveRamp, refer to page F-2 of the Financial Supplement, which is attached hereto and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 Management's Discussion and Analysis of Financial Condition and Results of Operations</w:t>
      </w:r>
    </w:p>
    <w:p>
      <w:pPr>
        <w:spacing w:after="0" w:line="24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required by this item appears in the Financial Supplement at pages F-3 – F-18, which is attached hereto and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7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Market risk is the risk of loss from adverse changes in market prices and rates. Our primary market risk is foreign currency exchange rate risk.</w:t>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Foreign Currency Exchange Rate Risk</w:t>
      </w:r>
      <w:r>
        <w:rPr>
          <w:rFonts w:ascii="Arial" w:cs="Arial" w:eastAsia="Arial" w:hAnsi="Arial"/>
          <w:sz w:val="18"/>
          <w:szCs w:val="18"/>
          <w:color w:val="auto"/>
        </w:rPr>
        <w:t>. LiveRamp has a presence in the United Kingdom, France, Netherlands, Australia, China,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Singapore and Japan. Most of the Company's exposure to exchange rate fluctuation is due to translation gains and losses as there are no material transactions that cause exchange rate impact. In general, each of the foreign locations is expected to fund its own operations and cash flows, although funds may be loaned or invested from the U.S. to the foreign subsidiaries. These advances are considered long-term investments, and any gain or loss resulting from exchange rates as well as gains or losses resulting from translating the foreign financial statements into U.S. dollars are included in accumulated other comprehensive income. Therefore, exchange rate movements of foreign currencies may have an impact on LiveRamp’s future costs or on future cash flows from foreign investments. LiveRamp has not entered into any foreign currency forward exchange contracts or other derivative instruments to hedge the effects of adverse fluctuations in foreign currency exchange rates. There have been no changes since the end of the last fiscal year in our primary market risk exposures or the management of those exposures, and we do not expect any changes going forward.</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Inflation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Although we cannot accurately determine the amounts attributable to inflation, we are affected by inflation through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other operating expenses. If inflation were to increase over the low levels of recent years, the impact in the short run would be to cause increases in costs, which we would attempt to pass on to clients, although there is no assurance that we would be able to do so. Generally, the effects of inflation in recent years have been offset by technological advances, economies of scale and other operational efficiencies.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4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financial statements required by this item appear in the Financial Supplement at pages F-22 – F-63, which is attached hereto and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 Changes in and Disagreements with Accountants on Accounting and Financial Disclosure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4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Management has evaluated, under the supervision and with the participation of our Chief Executive Officer and Chief Financial Officer, the effectiveness of our disclosure controls and procedures as of March 31, 2020. Based on their evaluation as of March 31, 2020, our Chief Executive Officer and Chief Financial Officer have concluded that our disclosure controls and procedures (as defined in Rules 13a-15(e) and 15d-15(e) under the Securities Exchange Act of 1934, as amended) were effective at the reasonable assurance level to ensure that the information required to be disclosed by us in the Annual Report on Form 10-K was (i) recorded, processed, summarized and reported within the time periods specified in the SEC’s rules and regulations and (ii) accumulated and communicated to our management, including our Chief Executive Officer and Chief Financial Officer, to allow timely decisions regarding required disclosure.</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and procedures or our internal controls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LiveRamp have been detected.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under the Securities Exchange Act of 1934, as amended).</w:t>
      </w:r>
    </w:p>
    <w:p>
      <w:pPr>
        <w:spacing w:after="0" w:line="198"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202" w:lineRule="exact"/>
        <w:rPr>
          <w:sz w:val="20"/>
          <w:szCs w:val="20"/>
          <w:color w:val="auto"/>
        </w:rPr>
      </w:pPr>
    </w:p>
    <w:p>
      <w:pPr>
        <w:ind w:left="660" w:right="18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43"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47"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225"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w:t>
      </w:r>
    </w:p>
    <w:p>
      <w:pPr>
        <w:spacing w:after="0" w:line="20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Company’s management, with participation of the Chief Executive Officer and Chief Financial Officer, assessed the effectiveness of the Company’s internal control over financial reporting as of March 31, 2020. In making this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34" w:name="page35"/>
    <w:bookmarkEnd w:id="34"/>
    <w:p>
      <w:pPr>
        <w:ind w:right="700"/>
        <w:spacing w:after="0" w:line="261" w:lineRule="auto"/>
        <w:rPr>
          <w:sz w:val="20"/>
          <w:szCs w:val="20"/>
          <w:color w:val="auto"/>
        </w:rPr>
      </w:pPr>
      <w:r>
        <w:rPr>
          <w:rFonts w:ascii="Arial" w:cs="Arial" w:eastAsia="Arial" w:hAnsi="Arial"/>
          <w:sz w:val="18"/>
          <w:szCs w:val="18"/>
          <w:color w:val="auto"/>
        </w:rPr>
        <w:t xml:space="preserve">assessment, the Company’s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Based on management’s assessment and those criteria, the Company’s management determined that the Company’s internal control over financial reporting was effective as of March 31, 2020.</w:t>
      </w:r>
    </w:p>
    <w:p>
      <w:pPr>
        <w:spacing w:after="0" w:line="198"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KPMG LLP, the Company’s independent registered public accounting firm, has audited the Company’s internal control over financial reporting, as stated in their report, which is included herein.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During the three months ended March 31, 2020, there were no changes in our internal control over financial reporting that have materially affected, or are reasonably likely to materially affect, our internal control over financial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COVID-19</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response to COVID-19, we have undertaken measures to protect our employees, partners, and clients, including encouraging, and in many cases requiring employees to work remotely due to local government orders. These changes have compelled us to modify some of our control procedures. However, those changes have so far not been material.</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9B.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35" w:name="page36"/>
    <w:bookmarkEnd w:id="35"/>
    <w:p>
      <w:pPr>
        <w:ind w:left="5340"/>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10. Directors, Executive Officers and Corporate Governance</w:t>
      </w:r>
    </w:p>
    <w:p>
      <w:pPr>
        <w:spacing w:after="0" w:line="24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information concerning our executive officers is contained in Part I of this Annual Report on Form 10-K under the caption “Executive Officers of the Registrant,” which is included there pursuant to Instruction 3 to Item 401(b) of the SEC’s Regulation S-K.</w:t>
      </w:r>
    </w:p>
    <w:p>
      <w:pPr>
        <w:spacing w:after="0" w:line="1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LiveRamp Board of Directors has adopted codes of ethics applicable to our principal executive, financial and accounting officers and all other persons performing similar functions. Copies of these codes of ethics are posted on LiveRamp’s website at www.liveramp.com under the “Corporate Governance” section of the site. The remaining information required by this item appears under the captions “Election of Directors” and “Delinquent Section 16(a) Reports” in LiveRamp's 2020 Proxy Statement, which information is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11. Executive Compensation</w:t>
      </w:r>
    </w:p>
    <w:p>
      <w:pPr>
        <w:spacing w:after="0" w:line="24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information required by this item appears under the heading “Executive Compensation” in LiveRamp's 2020 Proxy Statement, which information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Authorized for Issuance Under Equity Compensation Plans</w:t>
      </w:r>
    </w:p>
    <w:p>
      <w:pPr>
        <w:spacing w:after="0" w:line="2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contains information about our common stock that may be issued upon the exercise of options under our existing equity compensation plans as of the end of fiscal 2020 (March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color w:val="auto"/>
              </w:rPr>
              <w:t>Number of securities 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Number of securities to be</w:t>
            </w:r>
          </w:p>
        </w:tc>
        <w:tc>
          <w:tcPr>
            <w:tcW w:w="340" w:type="dxa"/>
            <w:vAlign w:val="bottom"/>
          </w:tcPr>
          <w:p>
            <w:pPr>
              <w:spacing w:after="0"/>
              <w:rPr>
                <w:sz w:val="14"/>
                <w:szCs w:val="14"/>
                <w:color w:val="auto"/>
              </w:rPr>
            </w:pPr>
          </w:p>
        </w:tc>
        <w:tc>
          <w:tcPr>
            <w:tcW w:w="2000" w:type="dxa"/>
            <w:vAlign w:val="bottom"/>
            <w:gridSpan w:val="3"/>
          </w:tcPr>
          <w:p>
            <w:pPr>
              <w:jc w:val="center"/>
              <w:ind w:right="180"/>
              <w:spacing w:after="0"/>
              <w:rPr>
                <w:sz w:val="20"/>
                <w:szCs w:val="20"/>
                <w:color w:val="auto"/>
              </w:rPr>
            </w:pPr>
            <w:r>
              <w:rPr>
                <w:rFonts w:ascii="Arial" w:cs="Arial" w:eastAsia="Arial" w:hAnsi="Arial"/>
                <w:sz w:val="14"/>
                <w:szCs w:val="14"/>
                <w:color w:val="auto"/>
              </w:rPr>
              <w:t>Weighted-average exercise</w:t>
            </w:r>
          </w:p>
        </w:tc>
        <w:tc>
          <w:tcPr>
            <w:tcW w:w="2340" w:type="dxa"/>
            <w:vAlign w:val="bottom"/>
          </w:tcPr>
          <w:p>
            <w:pPr>
              <w:jc w:val="center"/>
              <w:spacing w:after="0"/>
              <w:rPr>
                <w:sz w:val="20"/>
                <w:szCs w:val="20"/>
                <w:color w:val="auto"/>
              </w:rPr>
            </w:pPr>
            <w:r>
              <w:rPr>
                <w:rFonts w:ascii="Arial" w:cs="Arial" w:eastAsia="Arial" w:hAnsi="Arial"/>
                <w:sz w:val="14"/>
                <w:szCs w:val="14"/>
                <w:color w:val="auto"/>
              </w:rPr>
              <w:t>available for future issuance under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issued upon exercise of</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rPr>
              <w:t>price of outstanding</w:t>
            </w:r>
          </w:p>
        </w:tc>
        <w:tc>
          <w:tcPr>
            <w:tcW w:w="2340" w:type="dxa"/>
            <w:vAlign w:val="bottom"/>
          </w:tcPr>
          <w:p>
            <w:pPr>
              <w:jc w:val="center"/>
              <w:spacing w:after="0"/>
              <w:rPr>
                <w:sz w:val="20"/>
                <w:szCs w:val="20"/>
                <w:color w:val="auto"/>
              </w:rPr>
            </w:pPr>
            <w:r>
              <w:rPr>
                <w:rFonts w:ascii="Arial" w:cs="Arial" w:eastAsia="Arial" w:hAnsi="Arial"/>
                <w:sz w:val="14"/>
                <w:szCs w:val="14"/>
                <w:color w:val="auto"/>
              </w:rPr>
              <w:t>equity compensation plans</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color w:val="auto"/>
              </w:rPr>
              <w:t>outstanding options, warrants,</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color w:val="auto"/>
              </w:rPr>
              <w:t>options, warrants, and</w:t>
            </w:r>
          </w:p>
        </w:tc>
        <w:tc>
          <w:tcPr>
            <w:tcW w:w="2340" w:type="dxa"/>
            <w:vAlign w:val="bottom"/>
          </w:tcPr>
          <w:p>
            <w:pPr>
              <w:jc w:val="center"/>
              <w:spacing w:after="0"/>
              <w:rPr>
                <w:sz w:val="20"/>
                <w:szCs w:val="20"/>
                <w:color w:val="auto"/>
              </w:rPr>
            </w:pPr>
            <w:r>
              <w:rPr>
                <w:rFonts w:ascii="Arial" w:cs="Arial" w:eastAsia="Arial" w:hAnsi="Arial"/>
                <w:sz w:val="14"/>
                <w:szCs w:val="14"/>
                <w:color w:val="auto"/>
              </w:rPr>
              <w:t>(excluding securities reflected in</w:t>
            </w:r>
          </w:p>
        </w:tc>
        <w:tc>
          <w:tcPr>
            <w:tcW w:w="0" w:type="dxa"/>
            <w:vAlign w:val="bottom"/>
          </w:tcPr>
          <w:p>
            <w:pPr>
              <w:spacing w:after="0"/>
              <w:rPr>
                <w:sz w:val="1"/>
                <w:szCs w:val="1"/>
                <w:color w:val="auto"/>
              </w:rPr>
            </w:pPr>
          </w:p>
        </w:tc>
      </w:tr>
      <w:tr>
        <w:trPr>
          <w:trHeight w:val="178"/>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Plan category</w:t>
            </w:r>
          </w:p>
        </w:tc>
        <w:tc>
          <w:tcPr>
            <w:tcW w:w="44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and rights (3)</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99"/>
              </w:rPr>
              <w:t>rights</w:t>
            </w:r>
          </w:p>
        </w:tc>
        <w:tc>
          <w:tcPr>
            <w:tcW w:w="20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column (a) and in note (3))</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rPr>
              <w:t>(a)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(b)</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14"/>
        </w:trPr>
        <w:tc>
          <w:tcPr>
            <w:tcW w:w="4200" w:type="dxa"/>
            <w:vAlign w:val="bottom"/>
            <w:gridSpan w:val="2"/>
            <w:shd w:val="clear" w:color="auto" w:fill="CCEEFF"/>
          </w:tcPr>
          <w:p>
            <w:pPr>
              <w:ind w:left="20"/>
              <w:spacing w:after="0" w:line="114" w:lineRule="exact"/>
              <w:rPr>
                <w:sz w:val="20"/>
                <w:szCs w:val="20"/>
                <w:color w:val="auto"/>
              </w:rPr>
            </w:pPr>
            <w:r>
              <w:rPr>
                <w:rFonts w:ascii="Arial" w:cs="Arial" w:eastAsia="Arial" w:hAnsi="Arial"/>
                <w:sz w:val="13"/>
                <w:szCs w:val="13"/>
                <w:color w:val="auto"/>
              </w:rPr>
              <w:t>Equity compensation plans approved by</w:t>
            </w:r>
          </w:p>
        </w:tc>
        <w:tc>
          <w:tcPr>
            <w:tcW w:w="210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213"/>
              <w:spacing w:after="0"/>
              <w:rPr>
                <w:sz w:val="20"/>
                <w:szCs w:val="20"/>
                <w:color w:val="auto"/>
              </w:rPr>
            </w:pPr>
            <w:r>
              <w:rPr>
                <w:rFonts w:ascii="Arial" w:cs="Arial" w:eastAsia="Arial" w:hAnsi="Arial"/>
                <w:sz w:val="9"/>
                <w:szCs w:val="9"/>
                <w:b w:val="1"/>
                <w:bCs w:val="1"/>
                <w:color w:val="auto"/>
                <w:w w:val="78"/>
              </w:rPr>
              <w:t>1</w:t>
            </w:r>
          </w:p>
        </w:tc>
        <w:tc>
          <w:tcPr>
            <w:tcW w:w="16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7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4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5"/>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1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1,129,552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14.57</w:t>
            </w:r>
          </w:p>
        </w:tc>
        <w:tc>
          <w:tcPr>
            <w:tcW w:w="200" w:type="dxa"/>
            <w:vAlign w:val="bottom"/>
            <w:shd w:val="clear" w:color="auto" w:fill="CCEEFF"/>
          </w:tcPr>
          <w:p>
            <w:pPr>
              <w:spacing w:after="0"/>
              <w:rPr>
                <w:sz w:val="24"/>
                <w:szCs w:val="24"/>
                <w:color w:val="auto"/>
              </w:rPr>
            </w:pPr>
          </w:p>
        </w:tc>
        <w:tc>
          <w:tcPr>
            <w:tcW w:w="23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9,217,275</w:t>
            </w:r>
          </w:p>
        </w:tc>
        <w:tc>
          <w:tcPr>
            <w:tcW w:w="0" w:type="dxa"/>
            <w:vAlign w:val="bottom"/>
          </w:tcPr>
          <w:p>
            <w:pPr>
              <w:spacing w:after="0"/>
              <w:rPr>
                <w:sz w:val="1"/>
                <w:szCs w:val="1"/>
                <w:color w:val="auto"/>
              </w:rPr>
            </w:pPr>
          </w:p>
        </w:tc>
      </w:tr>
      <w:tr>
        <w:trPr>
          <w:trHeight w:val="108"/>
        </w:trPr>
        <w:tc>
          <w:tcPr>
            <w:tcW w:w="4200" w:type="dxa"/>
            <w:vAlign w:val="bottom"/>
            <w:gridSpan w:val="2"/>
          </w:tcPr>
          <w:p>
            <w:pPr>
              <w:ind w:left="20"/>
              <w:spacing w:after="0" w:line="108" w:lineRule="exact"/>
              <w:rPr>
                <w:sz w:val="20"/>
                <w:szCs w:val="20"/>
                <w:color w:val="auto"/>
              </w:rPr>
            </w:pPr>
            <w:r>
              <w:rPr>
                <w:rFonts w:ascii="Arial" w:cs="Arial" w:eastAsia="Arial" w:hAnsi="Arial"/>
                <w:sz w:val="12"/>
                <w:szCs w:val="12"/>
                <w:color w:val="auto"/>
              </w:rPr>
              <w:t>Equity compensation plans not approved by</w:t>
            </w:r>
          </w:p>
        </w:tc>
        <w:tc>
          <w:tcPr>
            <w:tcW w:w="2100" w:type="dxa"/>
            <w:vAlign w:val="bottom"/>
          </w:tcPr>
          <w:p>
            <w:pPr>
              <w:spacing w:after="0"/>
              <w:rPr>
                <w:sz w:val="9"/>
                <w:szCs w:val="9"/>
                <w:color w:val="auto"/>
              </w:rPr>
            </w:pPr>
          </w:p>
        </w:tc>
        <w:tc>
          <w:tcPr>
            <w:tcW w:w="340" w:type="dxa"/>
            <w:vAlign w:val="bottom"/>
            <w:vMerge w:val="restart"/>
          </w:tcPr>
          <w:p>
            <w:pPr>
              <w:jc w:val="right"/>
              <w:ind w:right="213"/>
              <w:spacing w:after="0"/>
              <w:rPr>
                <w:sz w:val="20"/>
                <w:szCs w:val="20"/>
                <w:color w:val="auto"/>
              </w:rPr>
            </w:pPr>
            <w:r>
              <w:rPr>
                <w:rFonts w:ascii="Arial" w:cs="Arial" w:eastAsia="Arial" w:hAnsi="Arial"/>
                <w:sz w:val="9"/>
                <w:szCs w:val="9"/>
                <w:b w:val="1"/>
                <w:bCs w:val="1"/>
                <w:color w:val="auto"/>
                <w:w w:val="78"/>
              </w:rPr>
              <w:t>2</w:t>
            </w: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9"/>
        </w:trPr>
        <w:tc>
          <w:tcPr>
            <w:tcW w:w="4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shareholders</w:t>
            </w:r>
          </w:p>
        </w:tc>
        <w:tc>
          <w:tcPr>
            <w:tcW w:w="2100" w:type="dxa"/>
            <w:vAlign w:val="bottom"/>
            <w:tcBorders>
              <w:bottom w:val="single" w:sz="8" w:color="auto"/>
            </w:tcBorders>
          </w:tcPr>
          <w:p>
            <w:pPr>
              <w:jc w:val="right"/>
              <w:ind w:right="81"/>
              <w:spacing w:after="0"/>
              <w:rPr>
                <w:sz w:val="20"/>
                <w:szCs w:val="20"/>
                <w:color w:val="auto"/>
              </w:rPr>
            </w:pPr>
            <w:r>
              <w:rPr>
                <w:rFonts w:ascii="Arial" w:cs="Arial" w:eastAsia="Arial" w:hAnsi="Arial"/>
                <w:sz w:val="18"/>
                <w:szCs w:val="18"/>
                <w:color w:val="auto"/>
              </w:rPr>
              <w:t>221,106</w:t>
            </w:r>
          </w:p>
        </w:tc>
        <w:tc>
          <w:tcPr>
            <w:tcW w:w="3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80"/>
              <w:spacing w:after="0"/>
              <w:rPr>
                <w:sz w:val="20"/>
                <w:szCs w:val="20"/>
                <w:color w:val="auto"/>
              </w:rPr>
            </w:pPr>
            <w:r>
              <w:rPr>
                <w:rFonts w:ascii="Arial" w:cs="Arial" w:eastAsia="Arial" w:hAnsi="Arial"/>
                <w:sz w:val="18"/>
                <w:szCs w:val="18"/>
                <w:color w:val="auto"/>
              </w:rPr>
              <w:t>13.74</w:t>
            </w:r>
          </w:p>
        </w:tc>
        <w:tc>
          <w:tcPr>
            <w:tcW w:w="200" w:type="dxa"/>
            <w:vAlign w:val="bottom"/>
            <w:tcBorders>
              <w:bottom w:val="single" w:sz="8" w:color="CCEEFF"/>
            </w:tcBorders>
          </w:tcPr>
          <w:p>
            <w:pPr>
              <w:spacing w:after="0"/>
              <w:rPr>
                <w:sz w:val="24"/>
                <w:szCs w:val="24"/>
                <w:color w:val="auto"/>
              </w:rPr>
            </w:pPr>
          </w:p>
        </w:tc>
        <w:tc>
          <w:tcPr>
            <w:tcW w:w="234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76"/>
        </w:trPr>
        <w:tc>
          <w:tcPr>
            <w:tcW w:w="4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21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1,350,658</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14.43</w:t>
            </w:r>
          </w:p>
        </w:tc>
        <w:tc>
          <w:tcPr>
            <w:tcW w:w="200" w:type="dxa"/>
            <w:vAlign w:val="bottom"/>
            <w:shd w:val="clear" w:color="auto" w:fill="CCEEFF"/>
          </w:tcPr>
          <w:p>
            <w:pPr>
              <w:spacing w:after="0"/>
              <w:rPr>
                <w:sz w:val="24"/>
                <w:szCs w:val="24"/>
                <w:color w:val="auto"/>
              </w:rPr>
            </w:pPr>
          </w:p>
        </w:tc>
        <w:tc>
          <w:tcPr>
            <w:tcW w:w="234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9,257,405</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w:t>
      </w:r>
    </w:p>
    <w:p>
      <w:pPr>
        <w:spacing w:after="0" w:line="76" w:lineRule="exact"/>
        <w:rPr>
          <w:sz w:val="20"/>
          <w:szCs w:val="20"/>
          <w:color w:val="auto"/>
        </w:rPr>
      </w:pPr>
    </w:p>
    <w:p>
      <w:pPr>
        <w:ind w:left="340" w:hanging="332"/>
        <w:spacing w:after="0" w:line="25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figure represents stock options issued under shareholder-approved stock option plans, of which 95,789 were assumed in connection with our fiscal 2015 acquisition of LiveRamp, Inc., 38,616 were assumed in connection with our fiscal 2017 acquisition of Arbor, 2,999 were assumed in connection with our fiscal 2017 acquisition of Circulate, and 95,270 were assumed in connection with our fiscal 2020 acquisition of Data Plus Math.</w:t>
      </w:r>
    </w:p>
    <w:p>
      <w:pPr>
        <w:spacing w:after="0" w:line="149" w:lineRule="exact"/>
        <w:rPr>
          <w:rFonts w:ascii="Arial" w:cs="Arial" w:eastAsia="Arial" w:hAnsi="Arial"/>
          <w:sz w:val="18"/>
          <w:szCs w:val="18"/>
          <w:color w:val="auto"/>
        </w:rPr>
      </w:pPr>
    </w:p>
    <w:p>
      <w:pPr>
        <w:ind w:left="340" w:right="160" w:hanging="332"/>
        <w:spacing w:after="0" w:line="256"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These shares were issued prior to October 1, 2018 (i.e., before our stock listing was transferred from NASDAQ to the New York Stock Exchange) pursuant to the Company’s 2011 Non-qualified Equity Compensation Plan described below, which does not require shareholder approval under the exception provided for in NASDAQ Marketplace Rule 5635(c)(4).</w:t>
      </w:r>
    </w:p>
    <w:p>
      <w:pPr>
        <w:spacing w:after="0" w:line="147" w:lineRule="exact"/>
        <w:rPr>
          <w:rFonts w:ascii="Arial" w:cs="Arial" w:eastAsia="Arial" w:hAnsi="Arial"/>
          <w:sz w:val="18"/>
          <w:szCs w:val="18"/>
          <w:color w:val="auto"/>
        </w:rPr>
      </w:pPr>
    </w:p>
    <w:p>
      <w:pPr>
        <w:ind w:left="340" w:right="60" w:hanging="332"/>
        <w:spacing w:after="0" w:line="256"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Does not include 3,897,084 shares subject to outstanding restricted stock unit awards as of March 31, 2020. Under the plans, as of March 31, 2020, a maximum of 4,424,255 shares remained available for delivery under the full value of awards (performance units and restricted stock units).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 Not Approved by Security Holders</w:t>
      </w:r>
    </w:p>
    <w:p>
      <w:pPr>
        <w:spacing w:after="0" w:line="24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Company adopted the 2011 Non-qualified Equity Compensation Plan of LiveRamp Holdings, Inc. (the “2011 Plan”) for the purpose of making equity grants to induce new key executives to join the Company. The awards that</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27" w:right="479" w:bottom="1440" w:gutter="0" w:footer="0" w:header="0"/>
        </w:sectPr>
      </w:pPr>
    </w:p>
    <w:bookmarkStart w:id="36" w:name="page37"/>
    <w:bookmarkEnd w:id="36"/>
    <w:p>
      <w:pPr>
        <w:spacing w:after="0" w:line="252" w:lineRule="auto"/>
        <w:rPr>
          <w:sz w:val="20"/>
          <w:szCs w:val="20"/>
          <w:color w:val="auto"/>
        </w:rPr>
      </w:pPr>
      <w:r>
        <w:rPr>
          <w:rFonts w:ascii="Arial" w:cs="Arial" w:eastAsia="Arial" w:hAnsi="Arial"/>
          <w:sz w:val="18"/>
          <w:szCs w:val="18"/>
          <w:color w:val="auto"/>
        </w:rPr>
        <w:t>may be made under the 2011 Plan include stock options, stock appreciation rights, restricted stock awards, RSU awards, performance awards, or other stock unit awards. To receive such an award, a person must be newly employed with the Company with the award being provided as an inducement material to their employment, provided the award is first properly approved by the board of directors or an independent committee of the board. The board of directors and its compensation committee are the administrators of the 2011 Plan, and as such, determine all matters relating to awards granted under the 2011 Plan, including the eligible recipients, whether and to what extent awards are to be granted, the number of shares to be covered by each grant and the terms and conditions of the awards. The 2011 Plan has not been approved by the Company’s shareholders.</w:t>
      </w:r>
    </w:p>
    <w:p>
      <w:pPr>
        <w:spacing w:after="0" w:line="207"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remaining information required by this item appears under the heading “Stock Ownership” in LiveRamp's 2020 Proxy Statement, which information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13. Certain Relationships and Related Transactions, and Director Independence</w:t>
      </w:r>
    </w:p>
    <w:p>
      <w:pPr>
        <w:spacing w:after="0" w:line="24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information required by this item appears under the headings “Related-Party Transactions” and “Corporate Governance - Board and Committee Matters” in LiveRamp's 2020 Proxy Statement, which information is incorporated herein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14. Principal Accountant Fees and Services</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information required by this item appears under the heading “Ratification of Independent Registered Public Accountant - Fees Billed for Services Rendered by Independent Auditor” in LiveRamp's 2020 Proxy Statement, which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15. Exhibits, Financial Statement Schedules</w:t>
      </w:r>
    </w:p>
    <w:p>
      <w:pPr>
        <w:spacing w:after="0" w:line="247"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Financial Statements.</w:t>
      </w:r>
    </w:p>
    <w:p>
      <w:pPr>
        <w:spacing w:after="0" w:line="225" w:lineRule="exact"/>
        <w:rPr>
          <w:sz w:val="20"/>
          <w:szCs w:val="20"/>
          <w:color w:val="auto"/>
        </w:rPr>
      </w:pPr>
    </w:p>
    <w:p>
      <w:pPr>
        <w:ind w:left="500" w:right="440"/>
        <w:spacing w:after="0" w:line="291" w:lineRule="auto"/>
        <w:rPr>
          <w:sz w:val="20"/>
          <w:szCs w:val="20"/>
          <w:color w:val="auto"/>
        </w:rPr>
      </w:pPr>
      <w:r>
        <w:rPr>
          <w:rFonts w:ascii="Arial" w:cs="Arial" w:eastAsia="Arial" w:hAnsi="Arial"/>
          <w:sz w:val="17"/>
          <w:szCs w:val="17"/>
          <w:color w:val="auto"/>
        </w:rPr>
        <w:t>The following consolidated financial statements of the registrant and its subsidiaries included in the Financial Supplement and the Independent Auditors' Reports thereof are attached hereto. Page references are to page numbers in the Financial Supplement.</w:t>
      </w:r>
    </w:p>
    <w:p>
      <w:pPr>
        <w:spacing w:after="0" w:line="12" w:lineRule="exact"/>
        <w:rPr>
          <w:sz w:val="20"/>
          <w:szCs w:val="20"/>
          <w:color w:val="auto"/>
        </w:rPr>
      </w:pPr>
    </w:p>
    <w:tbl>
      <w:tblPr>
        <w:tblLayout w:type="fixed"/>
        <w:tblInd w:w="52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3"/>
          </w:tcPr>
          <w:p>
            <w:pPr>
              <w:ind w:left="580"/>
              <w:spacing w:after="0"/>
              <w:rPr>
                <w:sz w:val="20"/>
                <w:szCs w:val="20"/>
                <w:color w:val="auto"/>
              </w:rPr>
            </w:pPr>
            <w:r>
              <w:rPr>
                <w:rFonts w:ascii="Arial" w:cs="Arial" w:eastAsia="Arial" w:hAnsi="Arial"/>
                <w:sz w:val="18"/>
                <w:szCs w:val="18"/>
                <w:color w:val="auto"/>
              </w:rPr>
              <w:t>F-Page</w:t>
            </w:r>
          </w:p>
        </w:tc>
      </w:tr>
      <w:tr>
        <w:trPr>
          <w:trHeight w:val="54"/>
        </w:trPr>
        <w:tc>
          <w:tcPr>
            <w:tcW w:w="440" w:type="dxa"/>
            <w:vAlign w:val="bottom"/>
          </w:tcPr>
          <w:p>
            <w:pPr>
              <w:spacing w:after="0"/>
              <w:rPr>
                <w:sz w:val="4"/>
                <w:szCs w:val="4"/>
                <w:color w:val="auto"/>
              </w:rPr>
            </w:pPr>
          </w:p>
        </w:tc>
        <w:tc>
          <w:tcPr>
            <w:tcW w:w="3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183"/>
        </w:trPr>
        <w:tc>
          <w:tcPr>
            <w:tcW w:w="8940" w:type="dxa"/>
            <w:vAlign w:val="bottom"/>
            <w:gridSpan w:val="10"/>
          </w:tcPr>
          <w:p>
            <w:pPr>
              <w:spacing w:after="0" w:line="182" w:lineRule="exact"/>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Report of Independent Registered Public Accounting Firm</w:t>
              </w:r>
            </w:hyperlink>
          </w:p>
        </w:tc>
        <w:tc>
          <w:tcPr>
            <w:tcW w:w="1360" w:type="dxa"/>
            <w:vAlign w:val="bottom"/>
          </w:tcPr>
          <w:p>
            <w:pPr>
              <w:spacing w:after="0"/>
              <w:rPr>
                <w:sz w:val="15"/>
                <w:szCs w:val="15"/>
                <w:color w:val="auto"/>
              </w:rPr>
            </w:pPr>
          </w:p>
        </w:tc>
        <w:tc>
          <w:tcPr>
            <w:tcW w:w="400" w:type="dxa"/>
            <w:vAlign w:val="bottom"/>
            <w:tcBorders>
              <w:bottom w:val="single" w:sz="8" w:color="0000FF"/>
            </w:tcBorders>
            <w:gridSpan w:val="2"/>
          </w:tcPr>
          <w:p>
            <w:pPr>
              <w:spacing w:after="0" w:line="182" w:lineRule="exact"/>
              <w:rPr>
                <w:rFonts w:ascii="Arial" w:cs="Arial" w:eastAsia="Arial" w:hAnsi="Arial"/>
                <w:sz w:val="18"/>
                <w:szCs w:val="18"/>
                <w:color w:val="0000FF"/>
              </w:rPr>
            </w:pPr>
            <w:hyperlink w:anchor="page61">
              <w:r>
                <w:rPr>
                  <w:rFonts w:ascii="Arial" w:cs="Arial" w:eastAsia="Arial" w:hAnsi="Arial"/>
                  <w:sz w:val="18"/>
                  <w:szCs w:val="18"/>
                  <w:color w:val="0000FF"/>
                </w:rPr>
                <w:t>F-20</w:t>
              </w:r>
            </w:hyperlink>
          </w:p>
        </w:tc>
      </w:tr>
      <w:tr>
        <w:trPr>
          <w:trHeight w:val="210"/>
        </w:trPr>
        <w:tc>
          <w:tcPr>
            <w:tcW w:w="8940" w:type="dxa"/>
            <w:vAlign w:val="bottom"/>
            <w:gridSpan w:val="10"/>
          </w:tcPr>
          <w:p>
            <w:pPr>
              <w:spacing w:after="0"/>
              <w:rPr>
                <w:rFonts w:ascii="Arial" w:cs="Arial" w:eastAsia="Arial" w:hAnsi="Arial"/>
                <w:sz w:val="18"/>
                <w:szCs w:val="18"/>
                <w:color w:val="0000FF"/>
              </w:rPr>
            </w:pPr>
            <w:hyperlink w:anchor="page65">
              <w:r>
                <w:rPr>
                  <w:rFonts w:ascii="Arial" w:cs="Arial" w:eastAsia="Arial" w:hAnsi="Arial"/>
                  <w:sz w:val="18"/>
                  <w:szCs w:val="18"/>
                  <w:u w:val="single" w:color="auto"/>
                  <w:color w:val="0000FF"/>
                </w:rPr>
                <w:t>Consolidated Balance Sheets as of March 31,</w:t>
              </w:r>
              <w:r>
                <w:rPr>
                  <w:rFonts w:ascii="Arial" w:cs="Arial" w:eastAsia="Arial" w:hAnsi="Arial"/>
                  <w:sz w:val="18"/>
                  <w:szCs w:val="18"/>
                  <w:color w:val="0000FF"/>
                </w:rPr>
                <w:t xml:space="preserve"> 2020 and </w:t>
              </w:r>
            </w:hyperlink>
            <w:r>
              <w:rPr>
                <w:rFonts w:ascii="Arial" w:cs="Arial" w:eastAsia="Arial" w:hAnsi="Arial"/>
                <w:sz w:val="18"/>
                <w:szCs w:val="18"/>
                <w:color w:val="0000FF"/>
              </w:rPr>
              <w:t>2019</w:t>
            </w:r>
          </w:p>
        </w:tc>
        <w:tc>
          <w:tcPr>
            <w:tcW w:w="1360" w:type="dxa"/>
            <w:vAlign w:val="bottom"/>
          </w:tcPr>
          <w:p>
            <w:pPr>
              <w:spacing w:after="0"/>
              <w:rPr>
                <w:sz w:val="18"/>
                <w:szCs w:val="18"/>
                <w:color w:val="auto"/>
              </w:rPr>
            </w:pPr>
          </w:p>
        </w:tc>
        <w:tc>
          <w:tcPr>
            <w:tcW w:w="400" w:type="dxa"/>
            <w:vAlign w:val="bottom"/>
            <w:gridSpan w:val="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F-23</w:t>
              </w:r>
            </w:hyperlink>
          </w:p>
        </w:tc>
      </w:tr>
      <w:tr>
        <w:trPr>
          <w:trHeight w:val="20"/>
        </w:trPr>
        <w:tc>
          <w:tcPr>
            <w:tcW w:w="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940" w:type="dxa"/>
            <w:vAlign w:val="bottom"/>
            <w:gridSpan w:val="10"/>
          </w:tcPr>
          <w:p>
            <w:pPr>
              <w:spacing w:after="0"/>
              <w:rPr>
                <w:rFonts w:ascii="Arial" w:cs="Arial" w:eastAsia="Arial" w:hAnsi="Arial"/>
                <w:sz w:val="18"/>
                <w:szCs w:val="18"/>
                <w:color w:val="0000FF"/>
              </w:rPr>
            </w:pPr>
            <w:hyperlink w:anchor="page65">
              <w:r>
                <w:rPr>
                  <w:rFonts w:ascii="Arial" w:cs="Arial" w:eastAsia="Arial" w:hAnsi="Arial"/>
                  <w:sz w:val="18"/>
                  <w:szCs w:val="18"/>
                  <w:u w:val="single" w:color="auto"/>
                  <w:color w:val="0000FF"/>
                </w:rPr>
                <w:t xml:space="preserve">Consolidated Statements of Operations for the years ended March 31, </w:t>
              </w:r>
            </w:hyperlink>
            <w:r>
              <w:rPr>
                <w:rFonts w:ascii="Arial" w:cs="Arial" w:eastAsia="Arial" w:hAnsi="Arial"/>
                <w:sz w:val="18"/>
                <w:szCs w:val="18"/>
                <w:color w:val="0000FF"/>
              </w:rPr>
              <w:t xml:space="preserve">2020, </w:t>
            </w:r>
            <w:hyperlink w:anchor="page65">
              <w:r>
                <w:rPr>
                  <w:rFonts w:ascii="Arial" w:cs="Arial" w:eastAsia="Arial" w:hAnsi="Arial"/>
                  <w:sz w:val="18"/>
                  <w:szCs w:val="18"/>
                  <w:color w:val="0000FF"/>
                </w:rPr>
                <w:t>2019 and 2018</w:t>
              </w:r>
            </w:hyperlink>
          </w:p>
        </w:tc>
        <w:tc>
          <w:tcPr>
            <w:tcW w:w="1360" w:type="dxa"/>
            <w:vAlign w:val="bottom"/>
          </w:tcPr>
          <w:p>
            <w:pPr>
              <w:spacing w:after="0"/>
              <w:rPr>
                <w:sz w:val="18"/>
                <w:szCs w:val="18"/>
                <w:color w:val="auto"/>
              </w:rPr>
            </w:pPr>
          </w:p>
        </w:tc>
        <w:tc>
          <w:tcPr>
            <w:tcW w:w="400" w:type="dxa"/>
            <w:vAlign w:val="bottom"/>
            <w:gridSpan w:val="2"/>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F-24</w:t>
              </w:r>
            </w:hyperlink>
          </w:p>
        </w:tc>
      </w:tr>
      <w:tr>
        <w:trPr>
          <w:trHeight w:val="20"/>
        </w:trPr>
        <w:tc>
          <w:tcPr>
            <w:tcW w:w="440" w:type="dxa"/>
            <w:vAlign w:val="bottom"/>
          </w:tcPr>
          <w:p>
            <w:pPr>
              <w:spacing w:after="0" w:line="20" w:lineRule="exact"/>
              <w:rPr>
                <w:sz w:val="1"/>
                <w:szCs w:val="1"/>
                <w:color w:val="auto"/>
              </w:rPr>
            </w:pPr>
          </w:p>
        </w:tc>
        <w:tc>
          <w:tcPr>
            <w:tcW w:w="5900" w:type="dxa"/>
            <w:vAlign w:val="bottom"/>
            <w:gridSpan w:val="3"/>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940" w:type="dxa"/>
            <w:vAlign w:val="bottom"/>
            <w:gridSpan w:val="10"/>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Consolidated Statements of Comprehensive Income (Loss) for the years ended March 31, 2020, 2019, and</w:t>
              </w:r>
            </w:hyperlink>
          </w:p>
        </w:tc>
        <w:tc>
          <w:tcPr>
            <w:tcW w:w="1360" w:type="dxa"/>
            <w:vAlign w:val="bottom"/>
          </w:tcPr>
          <w:p>
            <w:pPr>
              <w:spacing w:after="0"/>
              <w:rPr>
                <w:sz w:val="18"/>
                <w:szCs w:val="18"/>
                <w:color w:val="auto"/>
              </w:rPr>
            </w:pPr>
          </w:p>
        </w:tc>
        <w:tc>
          <w:tcPr>
            <w:tcW w:w="400" w:type="dxa"/>
            <w:vAlign w:val="bottom"/>
            <w:gridSpan w:val="2"/>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F-25</w:t>
              </w:r>
            </w:hyperlink>
          </w:p>
        </w:tc>
      </w:tr>
      <w:tr>
        <w:trPr>
          <w:trHeight w:val="156"/>
        </w:trPr>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rPr>
            </w:pPr>
            <w:hyperlink w:anchor="page66">
              <w:r>
                <w:rPr>
                  <w:rFonts w:ascii="Arial" w:cs="Arial" w:eastAsia="Arial" w:hAnsi="Arial"/>
                  <w:sz w:val="18"/>
                  <w:szCs w:val="18"/>
                  <w:color w:val="0000FF"/>
                </w:rPr>
                <w:t>2018</w:t>
              </w:r>
            </w:hyperlink>
          </w:p>
        </w:tc>
        <w:tc>
          <w:tcPr>
            <w:tcW w:w="346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14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81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rPr>
              <w:t>Consolidated Statements of Stockholders’ Equity for the years ended March 31, 2020, 2019 and 2018</w:t>
            </w:r>
          </w:p>
        </w:tc>
        <w:tc>
          <w:tcPr>
            <w:tcW w:w="800" w:type="dxa"/>
            <w:vAlign w:val="bottom"/>
            <w:gridSpan w:val="2"/>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Borders>
              <w:bottom w:val="single" w:sz="8" w:color="0000FF"/>
            </w:tcBorders>
          </w:tcPr>
          <w:p>
            <w:pPr>
              <w:spacing w:after="0"/>
              <w:rPr>
                <w:rFonts w:ascii="Arial" w:cs="Arial" w:eastAsia="Arial" w:hAnsi="Arial"/>
                <w:sz w:val="18"/>
                <w:szCs w:val="18"/>
                <w:color w:val="0000FF"/>
                <w:w w:val="97"/>
              </w:rPr>
            </w:pPr>
            <w:hyperlink w:anchor="page66">
              <w:r>
                <w:rPr>
                  <w:rFonts w:ascii="Arial" w:cs="Arial" w:eastAsia="Arial" w:hAnsi="Arial"/>
                  <w:sz w:val="18"/>
                  <w:szCs w:val="18"/>
                  <w:color w:val="0000FF"/>
                  <w:w w:val="97"/>
                </w:rPr>
                <w:t>F-25</w:t>
              </w:r>
            </w:hyperlink>
          </w:p>
        </w:tc>
        <w:tc>
          <w:tcPr>
            <w:tcW w:w="20" w:type="dxa"/>
            <w:vAlign w:val="bottom"/>
          </w:tcPr>
          <w:p>
            <w:pPr>
              <w:spacing w:after="0"/>
              <w:rPr>
                <w:sz w:val="18"/>
                <w:szCs w:val="18"/>
                <w:color w:val="auto"/>
              </w:rPr>
            </w:pPr>
          </w:p>
        </w:tc>
      </w:tr>
      <w:tr>
        <w:trPr>
          <w:trHeight w:val="210"/>
        </w:trPr>
        <w:tc>
          <w:tcPr>
            <w:tcW w:w="8940" w:type="dxa"/>
            <w:vAlign w:val="bottom"/>
            <w:gridSpan w:val="10"/>
          </w:tcPr>
          <w:p>
            <w:pPr>
              <w:spacing w:after="0"/>
              <w:rPr>
                <w:rFonts w:ascii="Arial" w:cs="Arial" w:eastAsia="Arial" w:hAnsi="Arial"/>
                <w:sz w:val="18"/>
                <w:szCs w:val="18"/>
                <w:color w:val="0000FF"/>
              </w:rPr>
            </w:pPr>
            <w:hyperlink w:anchor="page69">
              <w:r>
                <w:rPr>
                  <w:rFonts w:ascii="Arial" w:cs="Arial" w:eastAsia="Arial" w:hAnsi="Arial"/>
                  <w:sz w:val="18"/>
                  <w:szCs w:val="18"/>
                  <w:u w:val="single" w:color="auto"/>
                  <w:color w:val="0000FF"/>
                </w:rPr>
                <w:t xml:space="preserve">Consolidated Statements of Cash Flows for the years ended March 31, </w:t>
              </w:r>
            </w:hyperlink>
            <w:r>
              <w:rPr>
                <w:rFonts w:ascii="Arial" w:cs="Arial" w:eastAsia="Arial" w:hAnsi="Arial"/>
                <w:sz w:val="18"/>
                <w:szCs w:val="18"/>
                <w:color w:val="0000FF"/>
              </w:rPr>
              <w:t xml:space="preserve">2020, </w:t>
            </w:r>
            <w:hyperlink w:anchor="page69">
              <w:r>
                <w:rPr>
                  <w:rFonts w:ascii="Arial" w:cs="Arial" w:eastAsia="Arial" w:hAnsi="Arial"/>
                  <w:sz w:val="18"/>
                  <w:szCs w:val="18"/>
                  <w:color w:val="0000FF"/>
                </w:rPr>
                <w:t>2019 and 2018</w:t>
              </w:r>
            </w:hyperlink>
          </w:p>
        </w:tc>
        <w:tc>
          <w:tcPr>
            <w:tcW w:w="1360" w:type="dxa"/>
            <w:vAlign w:val="bottom"/>
          </w:tcPr>
          <w:p>
            <w:pPr>
              <w:spacing w:after="0"/>
              <w:rPr>
                <w:sz w:val="18"/>
                <w:szCs w:val="18"/>
                <w:color w:val="auto"/>
              </w:rPr>
            </w:pPr>
          </w:p>
        </w:tc>
        <w:tc>
          <w:tcPr>
            <w:tcW w:w="400" w:type="dxa"/>
            <w:vAlign w:val="bottom"/>
            <w:gridSpan w:val="2"/>
          </w:tcPr>
          <w:p>
            <w:pPr>
              <w:spacing w:after="0"/>
              <w:rPr>
                <w:rFonts w:ascii="Arial" w:cs="Arial" w:eastAsia="Arial" w:hAnsi="Arial"/>
                <w:sz w:val="18"/>
                <w:szCs w:val="18"/>
                <w:color w:val="0000FF"/>
              </w:rPr>
            </w:pPr>
            <w:hyperlink w:anchor="page69">
              <w:r>
                <w:rPr>
                  <w:rFonts w:ascii="Arial" w:cs="Arial" w:eastAsia="Arial" w:hAnsi="Arial"/>
                  <w:sz w:val="18"/>
                  <w:szCs w:val="18"/>
                  <w:color w:val="0000FF"/>
                </w:rPr>
                <w:t>F-28</w:t>
              </w:r>
            </w:hyperlink>
          </w:p>
        </w:tc>
      </w:tr>
      <w:tr>
        <w:trPr>
          <w:trHeight w:val="209"/>
        </w:trPr>
        <w:tc>
          <w:tcPr>
            <w:tcW w:w="6500" w:type="dxa"/>
            <w:vAlign w:val="bottom"/>
            <w:gridSpan w:val="5"/>
          </w:tcPr>
          <w:p>
            <w:pPr>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Notes to the Consolidated Financial Statements</w:t>
              </w:r>
            </w:hyperlink>
          </w:p>
        </w:tc>
        <w:tc>
          <w:tcPr>
            <w:tcW w:w="940" w:type="dxa"/>
            <w:vAlign w:val="bottom"/>
            <w:tcBorders>
              <w:top w:val="single" w:sz="8" w:color="0000FF"/>
            </w:tcBorders>
            <w:gridSpan w:val="2"/>
          </w:tcPr>
          <w:p>
            <w:pPr>
              <w:spacing w:after="0"/>
              <w:rPr>
                <w:sz w:val="18"/>
                <w:szCs w:val="18"/>
                <w:color w:val="auto"/>
              </w:rPr>
            </w:pPr>
          </w:p>
        </w:tc>
        <w:tc>
          <w:tcPr>
            <w:tcW w:w="1500" w:type="dxa"/>
            <w:vAlign w:val="bottom"/>
            <w:gridSpan w:val="3"/>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Borders>
              <w:top w:val="single" w:sz="8" w:color="0000FF"/>
              <w:bottom w:val="single" w:sz="8" w:color="0000FF"/>
            </w:tcBorders>
          </w:tcPr>
          <w:p>
            <w:pPr>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F-30</w:t>
              </w:r>
            </w:hyperlink>
          </w:p>
        </w:tc>
        <w:tc>
          <w:tcPr>
            <w:tcW w:w="20" w:type="dxa"/>
            <w:vAlign w:val="bottom"/>
            <w:tcBorders>
              <w:bottom w:val="single" w:sz="8" w:color="0000FF"/>
            </w:tcBorders>
          </w:tcPr>
          <w:p>
            <w:pPr>
              <w:spacing w:after="0"/>
              <w:rPr>
                <w:sz w:val="18"/>
                <w:szCs w:val="18"/>
                <w:color w:val="auto"/>
              </w:rPr>
            </w:pPr>
          </w:p>
        </w:tc>
      </w:tr>
    </w:tbl>
    <w:p>
      <w:pPr>
        <w:spacing w:after="0" w:line="35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22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All schedules are omitted because they are not applicable or not required or because the required information is included in the consolidated financial statements or notes thereto.</w:t>
      </w:r>
    </w:p>
    <w:p>
      <w:pPr>
        <w:spacing w:after="0" w:line="198"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this report or are incorporated by reference to previously filed material:</w:t>
      </w:r>
    </w:p>
    <w:p>
      <w:pPr>
        <w:sectPr>
          <w:pgSz w:w="11900" w:h="16838" w:orient="portrait"/>
          <w:cols w:equalWidth="0" w:num="1">
            <w:col w:w="11220"/>
          </w:cols>
          <w:pgMar w:left="320" w:top="927" w:right="359" w:bottom="1440" w:gutter="0" w:footer="0" w:header="0"/>
        </w:sect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886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w:t>
      </w:r>
    </w:p>
    <w:p>
      <w:pPr>
        <w:spacing w:after="0" w:line="1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820"/>
        <w:spacing w:after="0" w:line="227" w:lineRule="auto"/>
        <w:rPr>
          <w:rFonts w:ascii="Arial" w:cs="Arial" w:eastAsia="Arial" w:hAnsi="Arial"/>
          <w:sz w:val="18"/>
          <w:szCs w:val="18"/>
          <w:u w:val="single" w:color="auto"/>
          <w:color w:val="0000FF"/>
        </w:rPr>
      </w:pPr>
      <w:hyperlink r:id="rId49">
        <w:r>
          <w:rPr>
            <w:rFonts w:ascii="Arial" w:cs="Arial" w:eastAsia="Arial" w:hAnsi="Arial"/>
            <w:sz w:val="18"/>
            <w:szCs w:val="18"/>
            <w:u w:val="single" w:color="auto"/>
            <w:color w:val="0000FF"/>
          </w:rPr>
          <w:t>Amended and Restated Certificate of Incorporation (previously filed on October 1, 2018 as Exhibit 3.1 to LiveRamp</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Holdings, Inc.'s Current Report on Form 8-K, Commission File No. 38669, and incorporated herein by reference)</w:t>
        </w:r>
      </w:hyperlink>
    </w:p>
    <w:p>
      <w:pPr>
        <w:spacing w:after="0" w:line="13" w:lineRule="exact"/>
        <w:rPr>
          <w:sz w:val="20"/>
          <w:szCs w:val="20"/>
          <w:color w:val="auto"/>
        </w:rPr>
      </w:pPr>
    </w:p>
    <w:p>
      <w:pPr>
        <w:ind w:right="400"/>
        <w:spacing w:after="0" w:line="227" w:lineRule="auto"/>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Amended and Restated Bylaws (previously filed on October 1, 2018, as Exhibit 3.2 to LiveRamp Holdings, Inc.'s Current</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Report on Form 8-K, Commission File No. 1-38, and incorporated herein by reference)</w:t>
        </w:r>
      </w:hyperlink>
    </w:p>
    <w:p>
      <w:pPr>
        <w:spacing w:after="0" w:line="13" w:lineRule="exact"/>
        <w:rPr>
          <w:sz w:val="20"/>
          <w:szCs w:val="20"/>
          <w:color w:val="auto"/>
        </w:rPr>
      </w:pPr>
    </w:p>
    <w:p>
      <w:pPr>
        <w:ind w:right="600"/>
        <w:spacing w:after="0" w:line="227" w:lineRule="auto"/>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Description of Share Capital (previously filed as Exhibit 4.1 to LiveRamp Holdings, Inc.'s Annual Report on Form 10-K</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for the fiscal year ended March 31, 2019, and incorporated herein by reference)</w:t>
        </w:r>
      </w:hyperlink>
    </w:p>
    <w:p>
      <w:pPr>
        <w:spacing w:after="0" w:line="13" w:lineRule="exact"/>
        <w:rPr>
          <w:sz w:val="20"/>
          <w:szCs w:val="20"/>
          <w:color w:val="auto"/>
        </w:rPr>
      </w:pPr>
    </w:p>
    <w:p>
      <w:pPr>
        <w:ind w:right="740"/>
        <w:spacing w:after="0" w:line="227" w:lineRule="auto"/>
        <w:rPr>
          <w:rFonts w:ascii="Arial" w:cs="Arial" w:eastAsia="Arial" w:hAnsi="Arial"/>
          <w:sz w:val="18"/>
          <w:szCs w:val="18"/>
          <w:u w:val="single" w:color="auto"/>
          <w:color w:val="0000FF"/>
        </w:rPr>
      </w:pPr>
      <w:hyperlink r:id="rId52">
        <w:r>
          <w:rPr>
            <w:rFonts w:ascii="Arial" w:cs="Arial" w:eastAsia="Arial" w:hAnsi="Arial"/>
            <w:sz w:val="18"/>
            <w:szCs w:val="18"/>
            <w:u w:val="single" w:color="auto"/>
            <w:color w:val="0000FF"/>
          </w:rPr>
          <w:t>Amended and Restated Key Associate Stock Option Plan of LiveRamp Holdings, Inc. (previously filed on October 2,</w:t>
        </w:r>
      </w:hyperlink>
      <w:r>
        <w:rPr>
          <w:rFonts w:ascii="Arial" w:cs="Arial" w:eastAsia="Arial" w:hAnsi="Arial"/>
          <w:sz w:val="18"/>
          <w:szCs w:val="18"/>
          <w:u w:val="single" w:color="auto"/>
          <w:color w:val="0000FF"/>
        </w:rPr>
        <w:t xml:space="preserve"> </w:t>
      </w:r>
      <w:hyperlink r:id="rId52">
        <w:r>
          <w:rPr>
            <w:rFonts w:ascii="Arial" w:cs="Arial" w:eastAsia="Arial" w:hAnsi="Arial"/>
            <w:sz w:val="18"/>
            <w:szCs w:val="18"/>
            <w:u w:val="single" w:color="auto"/>
            <w:color w:val="0000FF"/>
          </w:rPr>
          <w:t>2018, Registration No. 333-91395, as Exhibit 99.7, and incorporated herein by reference)</w:t>
        </w:r>
      </w:hyperlink>
    </w:p>
    <w:p>
      <w:pPr>
        <w:spacing w:after="0" w:line="219" w:lineRule="auto"/>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2005 Stock Purchase Plan of LiveRamp Holdings, Inc. (previously filed on October 2, 2018, Registration No. 333-</w:t>
        </w:r>
      </w:hyperlink>
    </w:p>
    <w:p>
      <w:pPr>
        <w:spacing w:after="0"/>
        <w:rPr>
          <w:rFonts w:ascii="Arial" w:cs="Arial" w:eastAsia="Arial" w:hAnsi="Arial"/>
          <w:sz w:val="18"/>
          <w:szCs w:val="18"/>
          <w:u w:val="single" w:color="auto"/>
          <w:color w:val="0000FF"/>
        </w:rPr>
      </w:pPr>
      <w:hyperlink r:id="rId53">
        <w:r>
          <w:rPr>
            <w:rFonts w:ascii="Arial" w:cs="Arial" w:eastAsia="Arial" w:hAnsi="Arial"/>
            <w:sz w:val="18"/>
            <w:szCs w:val="18"/>
            <w:u w:val="single" w:color="auto"/>
            <w:color w:val="0000FF"/>
          </w:rPr>
          <w:t>127743, and incorporated herein by reference)</w:t>
        </w:r>
      </w:hyperlink>
    </w:p>
    <w:p>
      <w:pPr>
        <w:spacing w:after="0" w:line="23" w:lineRule="exact"/>
        <w:rPr>
          <w:sz w:val="20"/>
          <w:szCs w:val="20"/>
          <w:color w:val="auto"/>
        </w:rPr>
      </w:pPr>
    </w:p>
    <w:p>
      <w:pPr>
        <w:ind w:right="800"/>
        <w:spacing w:after="0" w:line="227" w:lineRule="auto"/>
        <w:rPr>
          <w:rFonts w:ascii="Arial" w:cs="Arial" w:eastAsia="Arial" w:hAnsi="Arial"/>
          <w:sz w:val="18"/>
          <w:szCs w:val="18"/>
          <w:u w:val="single" w:color="auto"/>
          <w:color w:val="0000FF"/>
        </w:rPr>
      </w:pPr>
      <w:hyperlink r:id="rId54">
        <w:r>
          <w:rPr>
            <w:rFonts w:ascii="Arial" w:cs="Arial" w:eastAsia="Arial" w:hAnsi="Arial"/>
            <w:sz w:val="18"/>
            <w:szCs w:val="18"/>
            <w:u w:val="single" w:color="auto"/>
            <w:color w:val="0000FF"/>
          </w:rPr>
          <w:t>Amended and Restated 2005 Equity Compensation Plan of LiveRamp Holdings, Inc. (previously filed on October 2,</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2018, Registration No. 333-219839, and incorporated by herein reference)</w:t>
        </w:r>
      </w:hyperlink>
    </w:p>
    <w:p>
      <w:pPr>
        <w:spacing w:after="0" w:line="13" w:lineRule="exact"/>
        <w:rPr>
          <w:sz w:val="20"/>
          <w:szCs w:val="20"/>
          <w:color w:val="auto"/>
        </w:rPr>
      </w:pPr>
    </w:p>
    <w:p>
      <w:pPr>
        <w:ind w:right="620"/>
        <w:spacing w:after="0" w:line="219" w:lineRule="auto"/>
        <w:rPr>
          <w:rFonts w:ascii="Arial" w:cs="Arial" w:eastAsia="Arial" w:hAnsi="Arial"/>
          <w:sz w:val="18"/>
          <w:szCs w:val="18"/>
          <w:u w:val="single" w:color="auto"/>
          <w:color w:val="0000FF"/>
        </w:rPr>
      </w:pPr>
      <w:hyperlink r:id="rId55">
        <w:r>
          <w:rPr>
            <w:rFonts w:ascii="Arial" w:cs="Arial" w:eastAsia="Arial" w:hAnsi="Arial"/>
            <w:sz w:val="18"/>
            <w:szCs w:val="18"/>
            <w:u w:val="single" w:color="auto"/>
            <w:color w:val="0000FF"/>
          </w:rPr>
          <w:t>Acxiom Corporation Non-Qualified Deferral Plan, amended and restated effective January 1, 2009 (previously filed as</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Exhibit 10.27 to Acxiom Corporation’s Annual Report on Form 10-K for the fiscal year ended March 31, 2013, and</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incorporated herein by reference)</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060" w:space="200"/>
            <w:col w:w="9960"/>
          </w:cols>
          <w:pgMar w:left="320" w:top="927"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302"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17"/>
        </w:trPr>
        <w:tc>
          <w:tcPr>
            <w:tcW w:w="1240" w:type="dxa"/>
            <w:vAlign w:val="bottom"/>
          </w:tcPr>
          <w:p>
            <w:pPr>
              <w:jc w:val="right"/>
              <w:ind w:right="110"/>
              <w:spacing w:after="0"/>
              <w:rPr>
                <w:sz w:val="20"/>
                <w:szCs w:val="20"/>
                <w:color w:val="auto"/>
              </w:rPr>
            </w:pPr>
            <w:r>
              <w:rPr>
                <w:rFonts w:ascii="Arial" w:cs="Arial" w:eastAsia="Arial" w:hAnsi="Arial"/>
                <w:sz w:val="18"/>
                <w:szCs w:val="18"/>
                <w:color w:val="auto"/>
              </w:rPr>
              <w:t>Exhibit No.</w:t>
            </w:r>
          </w:p>
        </w:tc>
        <w:tc>
          <w:tcPr>
            <w:tcW w:w="2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3"/>
        </w:trPr>
        <w:tc>
          <w:tcPr>
            <w:tcW w:w="1240" w:type="dxa"/>
            <w:vAlign w:val="bottom"/>
          </w:tcPr>
          <w:p>
            <w:pPr>
              <w:jc w:val="right"/>
              <w:ind w:right="790"/>
              <w:spacing w:after="0" w:line="202" w:lineRule="exact"/>
              <w:rPr>
                <w:sz w:val="20"/>
                <w:szCs w:val="20"/>
                <w:color w:val="auto"/>
              </w:rPr>
            </w:pPr>
            <w:r>
              <w:rPr>
                <w:rFonts w:ascii="Arial" w:cs="Arial" w:eastAsia="Arial" w:hAnsi="Arial"/>
                <w:sz w:val="18"/>
                <w:szCs w:val="18"/>
                <w:color w:val="auto"/>
                <w:w w:val="96"/>
              </w:rPr>
              <w:t>10.5</w:t>
            </w:r>
          </w:p>
        </w:tc>
        <w:tc>
          <w:tcPr>
            <w:tcW w:w="9580" w:type="dxa"/>
            <w:vAlign w:val="bottom"/>
            <w:gridSpan w:val="10"/>
          </w:tcPr>
          <w:p>
            <w:pPr>
              <w:spacing w:after="0" w:line="202" w:lineRule="exact"/>
              <w:rPr>
                <w:rFonts w:ascii="Arial" w:cs="Arial" w:eastAsia="Arial" w:hAnsi="Arial"/>
                <w:sz w:val="18"/>
                <w:szCs w:val="18"/>
                <w:color w:val="0000FF"/>
              </w:rPr>
            </w:pPr>
            <w:hyperlink r:id="rId57">
              <w:r>
                <w:rPr>
                  <w:rFonts w:ascii="Arial" w:cs="Arial" w:eastAsia="Arial" w:hAnsi="Arial"/>
                  <w:sz w:val="18"/>
                  <w:szCs w:val="18"/>
                  <w:color w:val="0000FF"/>
                </w:rPr>
                <w:t>First Amendment to the Acxiom Corporation Non-Qualified Deferral Plan, effective July 1, 2009 (previously filed as</w:t>
              </w:r>
            </w:hyperlink>
          </w:p>
        </w:tc>
      </w:tr>
      <w:tr>
        <w:trPr>
          <w:trHeight w:val="156"/>
        </w:trPr>
        <w:tc>
          <w:tcPr>
            <w:tcW w:w="1240" w:type="dxa"/>
            <w:vAlign w:val="bottom"/>
          </w:tcPr>
          <w:p>
            <w:pPr>
              <w:spacing w:after="0"/>
              <w:rPr>
                <w:sz w:val="13"/>
                <w:szCs w:val="13"/>
                <w:color w:val="auto"/>
              </w:rPr>
            </w:pPr>
          </w:p>
        </w:tc>
        <w:tc>
          <w:tcPr>
            <w:tcW w:w="908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Exhibit 10.28 to Acxiom Corporation’s Annual Report on Form 10-K for the fiscal year ended March 31, 2013, and</w:t>
              </w:r>
            </w:hyperlink>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902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incorporated herein by reference)</w:t>
              </w:r>
            </w:hyperlink>
          </w:p>
        </w:tc>
        <w:tc>
          <w:tcPr>
            <w:tcW w:w="2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10.6</w:t>
            </w:r>
          </w:p>
        </w:tc>
        <w:tc>
          <w:tcPr>
            <w:tcW w:w="9580" w:type="dxa"/>
            <w:vAlign w:val="bottom"/>
            <w:gridSpan w:val="10"/>
          </w:tcPr>
          <w:p>
            <w:pPr>
              <w:spacing w:after="0"/>
              <w:rPr>
                <w:rFonts w:ascii="Arial" w:cs="Arial" w:eastAsia="Arial" w:hAnsi="Arial"/>
                <w:sz w:val="18"/>
                <w:szCs w:val="18"/>
                <w:color w:val="0000FF"/>
              </w:rPr>
            </w:pPr>
            <w:hyperlink r:id="rId58">
              <w:r>
                <w:rPr>
                  <w:rFonts w:ascii="Arial" w:cs="Arial" w:eastAsia="Arial" w:hAnsi="Arial"/>
                  <w:sz w:val="18"/>
                  <w:szCs w:val="18"/>
                  <w:color w:val="0000FF"/>
                </w:rPr>
                <w:t>Acxiom Corporation Non-Qualified Matching Contribution Plan, amended and restated effective January 1, 2009</w:t>
              </w:r>
            </w:hyperlink>
          </w:p>
        </w:tc>
      </w:tr>
      <w:tr>
        <w:trPr>
          <w:trHeight w:val="156"/>
        </w:trPr>
        <w:tc>
          <w:tcPr>
            <w:tcW w:w="1240" w:type="dxa"/>
            <w:vAlign w:val="bottom"/>
          </w:tcPr>
          <w:p>
            <w:pPr>
              <w:spacing w:after="0"/>
              <w:rPr>
                <w:sz w:val="13"/>
                <w:szCs w:val="13"/>
                <w:color w:val="auto"/>
              </w:rPr>
            </w:pPr>
          </w:p>
        </w:tc>
        <w:tc>
          <w:tcPr>
            <w:tcW w:w="8900" w:type="dxa"/>
            <w:vAlign w:val="bottom"/>
            <w:tcBorders>
              <w:top w:val="single" w:sz="8" w:color="0000FF"/>
            </w:tcBorders>
            <w:gridSpan w:val="4"/>
          </w:tcPr>
          <w:p>
            <w:pPr>
              <w:spacing w:after="0" w:line="157" w:lineRule="exact"/>
              <w:rPr>
                <w:rFonts w:ascii="Arial" w:cs="Arial" w:eastAsia="Arial" w:hAnsi="Arial"/>
                <w:sz w:val="18"/>
                <w:szCs w:val="18"/>
                <w:color w:val="0000FF"/>
              </w:rPr>
            </w:pPr>
            <w:hyperlink r:id="rId58">
              <w:r>
                <w:rPr>
                  <w:rFonts w:ascii="Arial" w:cs="Arial" w:eastAsia="Arial" w:hAnsi="Arial"/>
                  <w:sz w:val="18"/>
                  <w:szCs w:val="18"/>
                  <w:color w:val="0000FF"/>
                </w:rPr>
                <w:t>(previously filed as Exhibit 10.29 to Acxiom Corporation's Annual Report on Form 10-K for the fiscal year ended</w:t>
              </w:r>
            </w:hyperlink>
          </w:p>
        </w:tc>
        <w:tc>
          <w:tcPr>
            <w:tcW w:w="680" w:type="dxa"/>
            <w:vAlign w:val="bottom"/>
            <w:gridSpan w:val="6"/>
          </w:tcPr>
          <w:p>
            <w:pPr>
              <w:ind w:left="20"/>
              <w:spacing w:after="0" w:line="157" w:lineRule="exact"/>
              <w:rPr>
                <w:rFonts w:ascii="Arial" w:cs="Arial" w:eastAsia="Arial" w:hAnsi="Arial"/>
                <w:sz w:val="18"/>
                <w:szCs w:val="18"/>
                <w:color w:val="0000FF"/>
              </w:rPr>
            </w:pPr>
            <w:hyperlink r:id="rId58">
              <w:r>
                <w:rPr>
                  <w:rFonts w:ascii="Arial" w:cs="Arial" w:eastAsia="Arial" w:hAnsi="Arial"/>
                  <w:sz w:val="18"/>
                  <w:szCs w:val="18"/>
                  <w:color w:val="0000FF"/>
                </w:rPr>
                <w:t>March</w:t>
              </w:r>
            </w:hyperlink>
          </w:p>
        </w:tc>
      </w:tr>
      <w:tr>
        <w:trPr>
          <w:trHeight w:val="155"/>
        </w:trPr>
        <w:tc>
          <w:tcPr>
            <w:tcW w:w="1240" w:type="dxa"/>
            <w:vAlign w:val="bottom"/>
          </w:tcPr>
          <w:p>
            <w:pPr>
              <w:spacing w:after="0"/>
              <w:rPr>
                <w:sz w:val="13"/>
                <w:szCs w:val="13"/>
                <w:color w:val="auto"/>
              </w:rPr>
            </w:pPr>
          </w:p>
        </w:tc>
        <w:tc>
          <w:tcPr>
            <w:tcW w:w="3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58">
              <w:r>
                <w:rPr>
                  <w:rFonts w:ascii="Arial" w:cs="Arial" w:eastAsia="Arial" w:hAnsi="Arial"/>
                  <w:sz w:val="18"/>
                  <w:szCs w:val="18"/>
                  <w:color w:val="0000FF"/>
                  <w:w w:val="99"/>
                </w:rPr>
                <w:t>31, 2013, and incorporated herein by reference)</w:t>
              </w:r>
            </w:hyperlink>
          </w:p>
        </w:tc>
        <w:tc>
          <w:tcPr>
            <w:tcW w:w="5600" w:type="dxa"/>
            <w:vAlign w:val="bottom"/>
            <w:tcBorders>
              <w:top w:val="single" w:sz="8" w:color="0000FF"/>
            </w:tcBorders>
            <w:gridSpan w:val="6"/>
          </w:tcPr>
          <w:p>
            <w:pPr>
              <w:spacing w:after="0"/>
              <w:rPr>
                <w:sz w:val="13"/>
                <w:szCs w:val="13"/>
                <w:color w:val="auto"/>
              </w:rPr>
            </w:pPr>
          </w:p>
        </w:tc>
        <w:tc>
          <w:tcPr>
            <w:tcW w:w="160" w:type="dxa"/>
            <w:vAlign w:val="bottom"/>
          </w:tcPr>
          <w:p>
            <w:pPr>
              <w:spacing w:after="0"/>
              <w:rPr>
                <w:sz w:val="13"/>
                <w:szCs w:val="13"/>
                <w:color w:val="auto"/>
              </w:rPr>
            </w:pPr>
          </w:p>
        </w:tc>
      </w:tr>
      <w:tr>
        <w:trPr>
          <w:trHeight w:val="209"/>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10.7</w:t>
            </w:r>
          </w:p>
        </w:tc>
        <w:tc>
          <w:tcPr>
            <w:tcW w:w="9580" w:type="dxa"/>
            <w:vAlign w:val="bottom"/>
            <w:tcBorders>
              <w:bottom w:val="single" w:sz="8" w:color="0000FF"/>
            </w:tcBorders>
            <w:gridSpan w:val="10"/>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First Amendment to the Acxiom Corporation Non-Qualified Matching Contribution Plan, effective July 1, 2009 (previously</w:t>
              </w:r>
            </w:hyperlink>
          </w:p>
        </w:tc>
      </w:tr>
      <w:tr>
        <w:trPr>
          <w:trHeight w:val="156"/>
        </w:trPr>
        <w:tc>
          <w:tcPr>
            <w:tcW w:w="1240" w:type="dxa"/>
            <w:vAlign w:val="bottom"/>
          </w:tcPr>
          <w:p>
            <w:pPr>
              <w:spacing w:after="0"/>
              <w:rPr>
                <w:sz w:val="13"/>
                <w:szCs w:val="13"/>
                <w:color w:val="auto"/>
              </w:rPr>
            </w:pPr>
          </w:p>
        </w:tc>
        <w:tc>
          <w:tcPr>
            <w:tcW w:w="9580" w:type="dxa"/>
            <w:vAlign w:val="bottom"/>
            <w:gridSpan w:val="10"/>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filed as Exhibit 10.30 to Acxiom Corporation's Annual Report on Form 10-K for the fiscal year ended March 31, 2013,</w:t>
              </w:r>
            </w:hyperlink>
          </w:p>
        </w:tc>
      </w:tr>
      <w:tr>
        <w:trPr>
          <w:trHeight w:val="156"/>
        </w:trPr>
        <w:tc>
          <w:tcPr>
            <w:tcW w:w="124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r:id="rId59">
              <w:r>
                <w:rPr>
                  <w:rFonts w:ascii="Arial" w:cs="Arial" w:eastAsia="Arial" w:hAnsi="Arial"/>
                  <w:sz w:val="18"/>
                  <w:szCs w:val="18"/>
                  <w:color w:val="0000FF"/>
                  <w:w w:val="99"/>
                </w:rPr>
                <w:t>and incorporation herein by reference)</w:t>
              </w:r>
            </w:hyperlink>
          </w:p>
        </w:tc>
        <w:tc>
          <w:tcPr>
            <w:tcW w:w="624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09"/>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10.8</w:t>
            </w:r>
          </w:p>
        </w:tc>
        <w:tc>
          <w:tcPr>
            <w:tcW w:w="9580" w:type="dxa"/>
            <w:vAlign w:val="bottom"/>
            <w:gridSpan w:val="10"/>
          </w:tcPr>
          <w:p>
            <w:pPr>
              <w:spacing w:after="0"/>
              <w:rPr>
                <w:rFonts w:ascii="Arial" w:cs="Arial" w:eastAsia="Arial" w:hAnsi="Arial"/>
                <w:sz w:val="18"/>
                <w:szCs w:val="18"/>
                <w:color w:val="0000FF"/>
              </w:rPr>
            </w:pPr>
            <w:hyperlink r:id="rId60">
              <w:r>
                <w:rPr>
                  <w:rFonts w:ascii="Arial" w:cs="Arial" w:eastAsia="Arial" w:hAnsi="Arial"/>
                  <w:sz w:val="18"/>
                  <w:szCs w:val="18"/>
                  <w:color w:val="0000FF"/>
                </w:rPr>
                <w:t>Amended and Restated 2010 Executive Cash Incentive Plan of Acxiom Corporation (previously filed as Exhibit 10.6 to</w:t>
              </w:r>
            </w:hyperlink>
          </w:p>
        </w:tc>
      </w:tr>
      <w:tr>
        <w:trPr>
          <w:trHeight w:val="155"/>
        </w:trPr>
        <w:tc>
          <w:tcPr>
            <w:tcW w:w="1240" w:type="dxa"/>
            <w:vAlign w:val="bottom"/>
          </w:tcPr>
          <w:p>
            <w:pPr>
              <w:spacing w:after="0"/>
              <w:rPr>
                <w:sz w:val="13"/>
                <w:szCs w:val="13"/>
                <w:color w:val="auto"/>
              </w:rPr>
            </w:pPr>
          </w:p>
        </w:tc>
        <w:tc>
          <w:tcPr>
            <w:tcW w:w="9380" w:type="dxa"/>
            <w:vAlign w:val="bottom"/>
            <w:tcBorders>
              <w:top w:val="single" w:sz="8" w:color="0000FF"/>
            </w:tcBorders>
            <w:gridSpan w:val="8"/>
          </w:tcPr>
          <w:p>
            <w:pPr>
              <w:spacing w:after="0" w:line="154" w:lineRule="exact"/>
              <w:rPr>
                <w:rFonts w:ascii="Arial" w:cs="Arial" w:eastAsia="Arial" w:hAnsi="Arial"/>
                <w:sz w:val="17"/>
                <w:szCs w:val="17"/>
                <w:u w:val="single" w:color="auto"/>
                <w:color w:val="0000FF"/>
              </w:rPr>
            </w:pPr>
            <w:hyperlink r:id="rId60">
              <w:r>
                <w:rPr>
                  <w:rFonts w:ascii="Arial" w:cs="Arial" w:eastAsia="Arial" w:hAnsi="Arial"/>
                  <w:sz w:val="17"/>
                  <w:szCs w:val="17"/>
                  <w:u w:val="single" w:color="auto"/>
                  <w:color w:val="0000FF"/>
                </w:rPr>
                <w:t>Acxiom Corporation’s Annual Report on Form 10-K for the fiscal year ended March 31, 2015, Commission File No. 0-</w:t>
              </w:r>
            </w:hyperlink>
          </w:p>
        </w:tc>
        <w:tc>
          <w:tcPr>
            <w:tcW w:w="200" w:type="dxa"/>
            <w:vAlign w:val="bottom"/>
            <w:gridSpan w:val="2"/>
          </w:tcPr>
          <w:p>
            <w:pPr>
              <w:spacing w:after="0"/>
              <w:rPr>
                <w:sz w:val="13"/>
                <w:szCs w:val="13"/>
                <w:color w:val="auto"/>
              </w:rPr>
            </w:pPr>
          </w:p>
        </w:tc>
      </w:tr>
    </w:tbl>
    <w:p>
      <w:pPr>
        <w:ind w:left="1240"/>
        <w:spacing w:after="0"/>
        <w:rPr>
          <w:rFonts w:ascii="Arial" w:cs="Arial" w:eastAsia="Arial" w:hAnsi="Arial"/>
          <w:sz w:val="18"/>
          <w:szCs w:val="18"/>
          <w:u w:val="single" w:color="auto"/>
          <w:color w:val="0000FF"/>
        </w:rPr>
      </w:pPr>
      <w:hyperlink r:id="rId60">
        <w:r>
          <w:rPr>
            <w:rFonts w:ascii="Arial" w:cs="Arial" w:eastAsia="Arial" w:hAnsi="Arial"/>
            <w:sz w:val="18"/>
            <w:szCs w:val="18"/>
            <w:u w:val="single" w:color="auto"/>
            <w:color w:val="0000FF"/>
          </w:rPr>
          <w:t>13163, and incorporated herein by reference)</w:t>
        </w:r>
      </w:hyperlink>
    </w:p>
    <w:p>
      <w:pPr>
        <w:sectPr>
          <w:pgSz w:w="11900" w:h="16838" w:orient="portrait"/>
          <w:cols w:equalWidth="0" w:num="1">
            <w:col w:w="10840"/>
          </w:cols>
          <w:pgMar w:left="340" w:top="1003" w:right="719" w:bottom="1440" w:gutter="0" w:footer="0" w:header="0"/>
        </w:sectPr>
      </w:pP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right="20"/>
        <w:spacing w:after="0" w:line="241" w:lineRule="auto"/>
        <w:rPr>
          <w:rFonts w:ascii="Arial" w:cs="Arial" w:eastAsia="Arial" w:hAnsi="Arial"/>
          <w:sz w:val="17"/>
          <w:szCs w:val="17"/>
          <w:u w:val="single" w:color="auto"/>
          <w:color w:val="0000FF"/>
        </w:rPr>
      </w:pPr>
      <w:hyperlink r:id="rId61">
        <w:r>
          <w:rPr>
            <w:rFonts w:ascii="Arial" w:cs="Arial" w:eastAsia="Arial" w:hAnsi="Arial"/>
            <w:sz w:val="17"/>
            <w:szCs w:val="17"/>
            <w:u w:val="single" w:color="auto"/>
            <w:color w:val="0000FF"/>
          </w:rPr>
          <w:t>Amended and Restated 2010 Executive Officer Severance Policy (previously filed as Exhibit 10.9 to LiveRamp Holdings,</w:t>
        </w:r>
      </w:hyperlink>
      <w:r>
        <w:rPr>
          <w:rFonts w:ascii="Arial" w:cs="Arial" w:eastAsia="Arial" w:hAnsi="Arial"/>
          <w:sz w:val="17"/>
          <w:szCs w:val="17"/>
          <w:u w:val="single" w:color="auto"/>
          <w:color w:val="0000FF"/>
        </w:rPr>
        <w:t xml:space="preserve"> </w:t>
      </w:r>
      <w:hyperlink r:id="rId61">
        <w:r>
          <w:rPr>
            <w:rFonts w:ascii="Arial" w:cs="Arial" w:eastAsia="Arial" w:hAnsi="Arial"/>
            <w:sz w:val="17"/>
            <w:szCs w:val="17"/>
            <w:u w:val="single" w:color="auto"/>
            <w:color w:val="0000FF"/>
          </w:rPr>
          <w:t>Inc.'s Annual Report on Form 10-K for the fiscal year ended March 31, 2019, and incorporated herein by reference)</w:t>
        </w:r>
      </w:hyperlink>
    </w:p>
    <w:p>
      <w:pPr>
        <w:spacing w:after="0" w:line="217" w:lineRule="auto"/>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2011 Nonqualified Equity Compensation Plan of LiveRamp Holdings, Inc. (previously filed on October 2, 2018, as Exhibit</w:t>
        </w:r>
      </w:hyperlink>
    </w:p>
    <w:p>
      <w:pPr>
        <w:spacing w:after="0" w:line="1" w:lineRule="exact"/>
        <w:rPr>
          <w:sz w:val="20"/>
          <w:szCs w:val="20"/>
          <w:color w:val="auto"/>
        </w:rPr>
      </w:pPr>
    </w:p>
    <w:p>
      <w:pPr>
        <w:spacing w:after="0"/>
        <w:rPr>
          <w:rFonts w:ascii="Arial" w:cs="Arial" w:eastAsia="Arial" w:hAnsi="Arial"/>
          <w:sz w:val="18"/>
          <w:szCs w:val="18"/>
          <w:u w:val="single" w:color="auto"/>
          <w:color w:val="0000FF"/>
        </w:rPr>
      </w:pPr>
      <w:hyperlink r:id="rId62">
        <w:r>
          <w:rPr>
            <w:rFonts w:ascii="Arial" w:cs="Arial" w:eastAsia="Arial" w:hAnsi="Arial"/>
            <w:sz w:val="18"/>
            <w:szCs w:val="18"/>
            <w:u w:val="single" w:color="auto"/>
            <w:color w:val="0000FF"/>
          </w:rPr>
          <w:t>10.1 to Registration No. 333-214927, and incorporated herein by reference)</w:t>
        </w:r>
      </w:hyperlink>
    </w:p>
    <w:p>
      <w:pPr>
        <w:spacing w:after="0" w:line="23" w:lineRule="exact"/>
        <w:rPr>
          <w:sz w:val="20"/>
          <w:szCs w:val="20"/>
          <w:color w:val="auto"/>
        </w:rPr>
      </w:pPr>
    </w:p>
    <w:p>
      <w:pPr>
        <w:ind w:right="100"/>
        <w:spacing w:after="0" w:line="227"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LiveRamp, Inc. 2006 Equity Incentive Plan (previously filed on October 2, 2018, as Exhibit 99.1 to Registration No. 333-</w:t>
        </w:r>
      </w:hyperlink>
      <w:hyperlink r:id="rId63">
        <w:r>
          <w:rPr>
            <w:rFonts w:ascii="Arial" w:cs="Arial" w:eastAsia="Arial" w:hAnsi="Arial"/>
            <w:sz w:val="18"/>
            <w:szCs w:val="18"/>
            <w:u w:val="single" w:color="auto"/>
            <w:color w:val="0000FF"/>
          </w:rPr>
          <w:t>197463, and incorporated herein by reference)</w:t>
        </w:r>
      </w:hyperlink>
    </w:p>
    <w:p>
      <w:pPr>
        <w:spacing w:after="0" w:line="13" w:lineRule="exact"/>
        <w:rPr>
          <w:sz w:val="20"/>
          <w:szCs w:val="20"/>
          <w:color w:val="auto"/>
        </w:rPr>
      </w:pPr>
    </w:p>
    <w:p>
      <w:pPr>
        <w:ind w:right="220"/>
        <w:spacing w:after="0" w:line="227" w:lineRule="auto"/>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Arbor Equity Compensation Plan (previously filed on October 2, 2018, as Exhibit 10.2 to Registration No. 333-214926,</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and incorporated herein by reference)</w:t>
        </w:r>
      </w:hyperlink>
    </w:p>
    <w:p>
      <w:pPr>
        <w:spacing w:after="0" w:line="13" w:lineRule="exact"/>
        <w:rPr>
          <w:sz w:val="20"/>
          <w:szCs w:val="20"/>
          <w:color w:val="auto"/>
        </w:rPr>
      </w:pPr>
    </w:p>
    <w:p>
      <w:pPr>
        <w:ind w:right="80"/>
        <w:spacing w:after="0" w:line="219" w:lineRule="auto"/>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Form of Restricted Stock Unit Award under the Arbor Equity Compensation Plan (previously filed as Exhibit 10.19 to the</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Company's Annual Report on Form 10-K for the fiscal year March 31, 2017, Commission File No. 0-13163, and</w:t>
        </w:r>
      </w:hyperlink>
      <w:r>
        <w:rPr>
          <w:rFonts w:ascii="Arial" w:cs="Arial" w:eastAsia="Arial" w:hAnsi="Arial"/>
          <w:sz w:val="18"/>
          <w:szCs w:val="18"/>
          <w:u w:val="single" w:color="auto"/>
          <w:color w:val="0000FF"/>
        </w:rPr>
        <w:t xml:space="preserve"> </w:t>
      </w:r>
      <w:hyperlink r:id="rId65">
        <w:r>
          <w:rPr>
            <w:rFonts w:ascii="Arial" w:cs="Arial" w:eastAsia="Arial" w:hAnsi="Arial"/>
            <w:sz w:val="18"/>
            <w:szCs w:val="18"/>
            <w:u w:val="single" w:color="auto"/>
            <w:color w:val="0000FF"/>
          </w:rPr>
          <w:t>incorporated herein by reference)</w:t>
        </w:r>
      </w:hyperlink>
    </w:p>
    <w:p>
      <w:pPr>
        <w:spacing w:after="0" w:line="14" w:lineRule="exact"/>
        <w:rPr>
          <w:rFonts w:ascii="Arial" w:cs="Arial" w:eastAsia="Arial" w:hAnsi="Arial"/>
          <w:sz w:val="18"/>
          <w:szCs w:val="18"/>
          <w:u w:val="single" w:color="auto"/>
          <w:color w:val="0000FF"/>
        </w:rPr>
      </w:pPr>
    </w:p>
    <w:p>
      <w:pPr>
        <w:sectPr>
          <w:pgSz w:w="11900" w:h="16838" w:orient="portrait"/>
          <w:cols w:equalWidth="0" w:num="2">
            <w:col w:w="520" w:space="720"/>
            <w:col w:w="9600"/>
          </w:cols>
          <w:pgMar w:left="340" w:top="1003" w:right="719" w:bottom="1440" w:gutter="0" w:footer="0" w:header="0"/>
          <w:type w:val="continuous"/>
        </w:sectPr>
      </w:pPr>
    </w:p>
    <w:p>
      <w:pPr>
        <w:spacing w:after="0" w:line="1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10.14</w:t>
      </w:r>
    </w:p>
    <w:p>
      <w:pPr>
        <w:spacing w:after="0" w:line="19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10.15</w:t>
      </w:r>
    </w:p>
    <w:p>
      <w:pPr>
        <w:spacing w:after="0" w:line="19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10.16</w:t>
      </w:r>
    </w:p>
    <w:p>
      <w:pPr>
        <w:spacing w:after="0" w:line="19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10.17</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600"/>
        <w:spacing w:after="0" w:line="227"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Circulate Equity Compensation Plan (previously filed on October 2, 2018, as Exhibit 10.4 to Registration No. 333-</w:t>
        </w:r>
      </w:hyperlink>
      <w:hyperlink r:id="rId66">
        <w:r>
          <w:rPr>
            <w:rFonts w:ascii="Arial" w:cs="Arial" w:eastAsia="Arial" w:hAnsi="Arial"/>
            <w:sz w:val="18"/>
            <w:szCs w:val="18"/>
            <w:u w:val="single" w:color="auto"/>
            <w:color w:val="0000FF"/>
          </w:rPr>
          <w:t>214926, and incorporated herein by reference)</w:t>
        </w:r>
      </w:hyperlink>
    </w:p>
    <w:p>
      <w:pPr>
        <w:spacing w:after="0" w:line="13" w:lineRule="exact"/>
        <w:rPr>
          <w:sz w:val="20"/>
          <w:szCs w:val="20"/>
          <w:color w:val="auto"/>
        </w:rPr>
      </w:pPr>
    </w:p>
    <w:p>
      <w:pPr>
        <w:ind w:right="240"/>
        <w:spacing w:after="0" w:line="227"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2018 Equity Compensation Plan of Pacific Data Partners LLC (previously filed on October 2, 2018, as Exhibit 99.10 to</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Registration No. 333-227540, and incorporated herein by reference)</w:t>
        </w:r>
      </w:hyperlink>
    </w:p>
    <w:p>
      <w:pPr>
        <w:spacing w:after="0" w:line="13" w:lineRule="exact"/>
        <w:rPr>
          <w:sz w:val="20"/>
          <w:szCs w:val="20"/>
          <w:color w:val="auto"/>
        </w:rPr>
      </w:pPr>
    </w:p>
    <w:p>
      <w:pPr>
        <w:ind w:right="900"/>
        <w:spacing w:after="0" w:line="227" w:lineRule="auto"/>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Data Plus Math Corporation 2016 Equity Incentive Plan (previously filed on August 1, 2019, as Exhibit 10.1 to</w:t>
        </w:r>
      </w:hyperlink>
      <w:r>
        <w:rPr>
          <w:rFonts w:ascii="Arial" w:cs="Arial" w:eastAsia="Arial" w:hAnsi="Arial"/>
          <w:sz w:val="18"/>
          <w:szCs w:val="18"/>
          <w:u w:val="single" w:color="auto"/>
          <w:color w:val="0000FF"/>
        </w:rPr>
        <w:t xml:space="preserve"> </w:t>
      </w:r>
      <w:hyperlink r:id="rId68">
        <w:r>
          <w:rPr>
            <w:rFonts w:ascii="Arial" w:cs="Arial" w:eastAsia="Arial" w:hAnsi="Arial"/>
            <w:sz w:val="18"/>
            <w:szCs w:val="18"/>
            <w:u w:val="single" w:color="auto"/>
            <w:color w:val="0000FF"/>
          </w:rPr>
          <w:t>Registration No. 333-232963, and incorporated herein by reference)</w:t>
        </w:r>
      </w:hyperlink>
    </w:p>
    <w:p>
      <w:pPr>
        <w:spacing w:after="0" w:line="13" w:lineRule="exact"/>
        <w:rPr>
          <w:sz w:val="20"/>
          <w:szCs w:val="20"/>
          <w:color w:val="auto"/>
        </w:rPr>
      </w:pPr>
    </w:p>
    <w:p>
      <w:pPr>
        <w:ind w:right="460"/>
        <w:spacing w:after="0" w:line="219" w:lineRule="auto"/>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Form of Stock Option Grant Agreement under the Amended and Restated 2005 Equity Compensation Plan of the</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Company (previously filed as Exhibit 10.16 to Acxiom Corporation’s Annual Report on Form 10-K for the fiscal year</w:t>
        </w:r>
      </w:hyperlink>
      <w:r>
        <w:rPr>
          <w:rFonts w:ascii="Arial" w:cs="Arial" w:eastAsia="Arial" w:hAnsi="Arial"/>
          <w:sz w:val="18"/>
          <w:szCs w:val="18"/>
          <w:u w:val="single" w:color="auto"/>
          <w:color w:val="0000FF"/>
        </w:rPr>
        <w:t xml:space="preserve"> </w:t>
      </w:r>
      <w:hyperlink r:id="rId69">
        <w:r>
          <w:rPr>
            <w:rFonts w:ascii="Arial" w:cs="Arial" w:eastAsia="Arial" w:hAnsi="Arial"/>
            <w:sz w:val="18"/>
            <w:szCs w:val="18"/>
            <w:u w:val="single" w:color="auto"/>
            <w:color w:val="0000FF"/>
          </w:rPr>
          <w:t>March 31, 2017, Commission File No. 0-13163, and incorporated herein by reference).</w:t>
        </w:r>
      </w:hyperlink>
    </w:p>
    <w:p>
      <w:pPr>
        <w:spacing w:after="0" w:line="14" w:lineRule="exact"/>
        <w:rPr>
          <w:rFonts w:ascii="Arial" w:cs="Arial" w:eastAsia="Arial" w:hAnsi="Arial"/>
          <w:sz w:val="18"/>
          <w:szCs w:val="18"/>
          <w:u w:val="single" w:color="auto"/>
          <w:color w:val="0000FF"/>
        </w:rPr>
      </w:pPr>
    </w:p>
    <w:p>
      <w:pPr>
        <w:sectPr>
          <w:pgSz w:w="11900" w:h="16838" w:orient="portrait"/>
          <w:cols w:equalWidth="0" w:num="2">
            <w:col w:w="520" w:space="720"/>
            <w:col w:w="9600"/>
          </w:cols>
          <w:pgMar w:left="340" w:top="1003" w:right="719" w:bottom="1440" w:gutter="0" w:footer="0" w:header="0"/>
          <w:type w:val="continuous"/>
        </w:sectPr>
      </w:pPr>
    </w:p>
    <w:p>
      <w:pPr>
        <w:spacing w:after="0" w:line="1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10.18</w:t>
      </w:r>
    </w:p>
    <w:p>
      <w:pPr>
        <w:spacing w:after="0" w:line="19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10.19</w:t>
      </w:r>
    </w:p>
    <w:p>
      <w:pPr>
        <w:spacing w:after="0" w:line="19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10.20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180"/>
        <w:spacing w:after="0" w:line="227" w:lineRule="auto"/>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Form of Restricted Stock Unit Award Agreement under the Amended and Restated 2005 Equity Compensation Plan of</w:t>
        </w:r>
      </w:hyperlink>
      <w:r>
        <w:rPr>
          <w:rFonts w:ascii="Arial" w:cs="Arial" w:eastAsia="Arial" w:hAnsi="Arial"/>
          <w:sz w:val="18"/>
          <w:szCs w:val="18"/>
          <w:u w:val="single" w:color="auto"/>
          <w:color w:val="0000FF"/>
        </w:rPr>
        <w:t xml:space="preserve"> </w:t>
      </w:r>
      <w:hyperlink w:anchor="page108">
        <w:r>
          <w:rPr>
            <w:rFonts w:ascii="Arial" w:cs="Arial" w:eastAsia="Arial" w:hAnsi="Arial"/>
            <w:sz w:val="18"/>
            <w:szCs w:val="18"/>
            <w:u w:val="single" w:color="auto"/>
            <w:color w:val="0000FF"/>
          </w:rPr>
          <w:t>the Company</w:t>
        </w:r>
      </w:hyperlink>
    </w:p>
    <w:p>
      <w:pPr>
        <w:spacing w:after="0" w:line="13" w:lineRule="exact"/>
        <w:rPr>
          <w:sz w:val="20"/>
          <w:szCs w:val="20"/>
          <w:color w:val="auto"/>
        </w:rPr>
      </w:pPr>
    </w:p>
    <w:p>
      <w:pPr>
        <w:ind w:right="160"/>
        <w:spacing w:after="0" w:line="227" w:lineRule="auto"/>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Form of Performance Unit Award Agreement under the Amended and Restated 2005 Equity Compensation Plan of the</w:t>
        </w:r>
      </w:hyperlink>
      <w:r>
        <w:rPr>
          <w:rFonts w:ascii="Arial" w:cs="Arial" w:eastAsia="Arial" w:hAnsi="Arial"/>
          <w:sz w:val="18"/>
          <w:szCs w:val="18"/>
          <w:u w:val="single" w:color="auto"/>
          <w:color w:val="0000FF"/>
        </w:rPr>
        <w:t xml:space="preserve"> </w:t>
      </w:r>
      <w:hyperlink w:anchor="page118">
        <w:r>
          <w:rPr>
            <w:rFonts w:ascii="Arial" w:cs="Arial" w:eastAsia="Arial" w:hAnsi="Arial"/>
            <w:sz w:val="18"/>
            <w:szCs w:val="18"/>
            <w:u w:val="single" w:color="auto"/>
            <w:color w:val="0000FF"/>
          </w:rPr>
          <w:t>Company</w:t>
        </w:r>
      </w:hyperlink>
    </w:p>
    <w:p>
      <w:pPr>
        <w:spacing w:after="0" w:line="13" w:lineRule="exact"/>
        <w:rPr>
          <w:sz w:val="20"/>
          <w:szCs w:val="20"/>
          <w:color w:val="auto"/>
        </w:rPr>
      </w:pPr>
    </w:p>
    <w:p>
      <w:pPr>
        <w:ind w:right="440"/>
        <w:spacing w:after="0" w:line="219" w:lineRule="auto"/>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Form of Restricted Stock Unit Award under the 2011 Nonqualified Equity Compensation Plan of the Company</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(previously filed as Exhibit 10.18 to Acxiom Corporation’s Annual Report on Form 10-K for the fiscal year March 31,</w:t>
        </w:r>
      </w:hyperlink>
      <w:r>
        <w:rPr>
          <w:rFonts w:ascii="Arial" w:cs="Arial" w:eastAsia="Arial" w:hAnsi="Arial"/>
          <w:sz w:val="18"/>
          <w:szCs w:val="18"/>
          <w:u w:val="single" w:color="auto"/>
          <w:color w:val="0000FF"/>
        </w:rPr>
        <w:t xml:space="preserve"> </w:t>
      </w:r>
      <w:hyperlink r:id="rId70">
        <w:r>
          <w:rPr>
            <w:rFonts w:ascii="Arial" w:cs="Arial" w:eastAsia="Arial" w:hAnsi="Arial"/>
            <w:sz w:val="18"/>
            <w:szCs w:val="18"/>
            <w:u w:val="single" w:color="auto"/>
            <w:color w:val="0000FF"/>
          </w:rPr>
          <w:t>2017, Commission File No. 0-13163, and incorporated herein by reference).</w:t>
        </w:r>
      </w:hyperlink>
    </w:p>
    <w:p>
      <w:pPr>
        <w:spacing w:after="0" w:line="14" w:lineRule="exact"/>
        <w:rPr>
          <w:rFonts w:ascii="Arial" w:cs="Arial" w:eastAsia="Arial" w:hAnsi="Arial"/>
          <w:sz w:val="18"/>
          <w:szCs w:val="18"/>
          <w:u w:val="single" w:color="auto"/>
          <w:color w:val="0000FF"/>
        </w:rPr>
      </w:pPr>
    </w:p>
    <w:p>
      <w:pPr>
        <w:sectPr>
          <w:pgSz w:w="11900" w:h="16838" w:orient="portrait"/>
          <w:cols w:equalWidth="0" w:num="2">
            <w:col w:w="520" w:space="720"/>
            <w:col w:w="9600"/>
          </w:cols>
          <w:pgMar w:left="340" w:top="1003" w:right="719" w:bottom="1440" w:gutter="0" w:footer="0" w:header="0"/>
          <w:type w:val="continuous"/>
        </w:sectPr>
      </w:pPr>
    </w:p>
    <w:p>
      <w:pPr>
        <w:jc w:val="both"/>
        <w:ind w:left="1240" w:right="300" w:hanging="1241"/>
        <w:spacing w:after="0" w:line="219" w:lineRule="auto"/>
        <w:tabs>
          <w:tab w:leader="none" w:pos="12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71">
        <w:r>
          <w:rPr>
            <w:rFonts w:ascii="Arial" w:cs="Arial" w:eastAsia="Arial" w:hAnsi="Arial"/>
            <w:sz w:val="18"/>
            <w:szCs w:val="18"/>
            <w:u w:val="single" w:color="auto"/>
            <w:color w:val="0000FF"/>
          </w:rPr>
          <w:t>Employment Agreement by and between the Company and Scott E. Howe dated as of February 14, 2018 (previously</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filed as Exhibit 10.22 to Acxiom Corporation's Annual Report on Form 10-K for the fiscal year ended March 31, 2018,</w:t>
        </w:r>
      </w:hyperlink>
      <w:r>
        <w:rPr>
          <w:rFonts w:ascii="Arial" w:cs="Arial" w:eastAsia="Arial" w:hAnsi="Arial"/>
          <w:sz w:val="18"/>
          <w:szCs w:val="18"/>
          <w:u w:val="single" w:color="auto"/>
          <w:color w:val="0000FF"/>
        </w:rPr>
        <w:t xml:space="preserve"> </w:t>
      </w:r>
      <w:hyperlink r:id="rId71">
        <w:r>
          <w:rPr>
            <w:rFonts w:ascii="Arial" w:cs="Arial" w:eastAsia="Arial" w:hAnsi="Arial"/>
            <w:sz w:val="18"/>
            <w:szCs w:val="18"/>
            <w:u w:val="single" w:color="auto"/>
            <w:color w:val="0000FF"/>
          </w:rPr>
          <w:t>Commission File No. 0-13163, and incorporated herein by reference).</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2" w:lineRule="exact"/>
        <w:rPr>
          <w:rFonts w:ascii="Arial" w:cs="Arial" w:eastAsia="Arial" w:hAnsi="Arial"/>
          <w:sz w:val="18"/>
          <w:szCs w:val="18"/>
          <w:u w:val="single" w:color="auto"/>
          <w:color w:val="0000FF"/>
        </w:rPr>
      </w:pPr>
    </w:p>
    <w:p>
      <w:pPr>
        <w:jc w:val="center"/>
        <w:ind w:right="-359"/>
        <w:spacing w:after="0"/>
        <w:rPr>
          <w:sz w:val="20"/>
          <w:szCs w:val="20"/>
          <w:color w:val="auto"/>
        </w:rPr>
      </w:pPr>
      <w:r>
        <w:rPr>
          <w:rFonts w:ascii="Arial" w:cs="Arial" w:eastAsia="Arial" w:hAnsi="Arial"/>
          <w:sz w:val="18"/>
          <w:szCs w:val="18"/>
          <w:color w:val="auto"/>
        </w:rPr>
        <w:t>39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40" w:top="1003" w:right="71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17"/>
        </w:trPr>
        <w:tc>
          <w:tcPr>
            <w:tcW w:w="1240" w:type="dxa"/>
            <w:vAlign w:val="bottom"/>
          </w:tcPr>
          <w:p>
            <w:pPr>
              <w:jc w:val="right"/>
              <w:ind w:right="110"/>
              <w:spacing w:after="0"/>
              <w:rPr>
                <w:sz w:val="20"/>
                <w:szCs w:val="20"/>
                <w:color w:val="auto"/>
              </w:rPr>
            </w:pPr>
            <w:r>
              <w:rPr>
                <w:rFonts w:ascii="Arial" w:cs="Arial" w:eastAsia="Arial" w:hAnsi="Arial"/>
                <w:sz w:val="18"/>
                <w:szCs w:val="18"/>
                <w:color w:val="auto"/>
              </w:rPr>
              <w:t>Exhibit No.</w:t>
            </w:r>
          </w:p>
        </w:tc>
        <w:tc>
          <w:tcPr>
            <w:tcW w:w="49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240" w:type="dxa"/>
            <w:vAlign w:val="bottom"/>
          </w:tcPr>
          <w:p>
            <w:pPr>
              <w:jc w:val="right"/>
              <w:ind w:right="690"/>
              <w:spacing w:after="0" w:line="202" w:lineRule="exact"/>
              <w:rPr>
                <w:sz w:val="20"/>
                <w:szCs w:val="20"/>
                <w:color w:val="auto"/>
              </w:rPr>
            </w:pPr>
            <w:r>
              <w:rPr>
                <w:rFonts w:ascii="Arial" w:cs="Arial" w:eastAsia="Arial" w:hAnsi="Arial"/>
                <w:sz w:val="18"/>
                <w:szCs w:val="18"/>
                <w:color w:val="auto"/>
                <w:w w:val="97"/>
              </w:rPr>
              <w:t>10.22</w:t>
            </w:r>
          </w:p>
        </w:tc>
        <w:tc>
          <w:tcPr>
            <w:tcW w:w="9620" w:type="dxa"/>
            <w:vAlign w:val="bottom"/>
            <w:gridSpan w:val="6"/>
          </w:tcPr>
          <w:p>
            <w:pPr>
              <w:spacing w:after="0" w:line="202"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Employment Agreement by and between the Company and Warren C. Jenson dated as of February 14, 2018 (previously</w:t>
              </w:r>
            </w:hyperlink>
          </w:p>
        </w:tc>
      </w:tr>
      <w:tr>
        <w:trPr>
          <w:trHeight w:val="156"/>
        </w:trPr>
        <w:tc>
          <w:tcPr>
            <w:tcW w:w="1240" w:type="dxa"/>
            <w:vAlign w:val="bottom"/>
          </w:tcPr>
          <w:p>
            <w:pPr>
              <w:spacing w:after="0"/>
              <w:rPr>
                <w:sz w:val="13"/>
                <w:szCs w:val="13"/>
                <w:color w:val="auto"/>
              </w:rPr>
            </w:pPr>
          </w:p>
        </w:tc>
        <w:tc>
          <w:tcPr>
            <w:tcW w:w="960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73">
              <w:r>
                <w:rPr>
                  <w:rFonts w:ascii="Arial" w:cs="Arial" w:eastAsia="Arial" w:hAnsi="Arial"/>
                  <w:sz w:val="18"/>
                  <w:szCs w:val="18"/>
                  <w:color w:val="0000FF"/>
                </w:rPr>
                <w:t>filed as Exhibit 10.23 to Acxiom Corporation's Annual Report on Form 10-K for the fiscal year ended March 31, 2018,</w:t>
              </w:r>
            </w:hyperlink>
          </w:p>
        </w:tc>
        <w:tc>
          <w:tcPr>
            <w:tcW w:w="20" w:type="dxa"/>
            <w:vAlign w:val="bottom"/>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49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r:id="rId73">
              <w:r>
                <w:rPr>
                  <w:rFonts w:ascii="Arial" w:cs="Arial" w:eastAsia="Arial" w:hAnsi="Arial"/>
                  <w:sz w:val="18"/>
                  <w:szCs w:val="18"/>
                  <w:color w:val="0000FF"/>
                  <w:w w:val="99"/>
                </w:rPr>
                <w:t>Commission File No. 0-13163,and incorporated by reference).</w:t>
              </w:r>
            </w:hyperlink>
          </w:p>
        </w:tc>
        <w:tc>
          <w:tcPr>
            <w:tcW w:w="43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9"/>
        </w:trPr>
        <w:tc>
          <w:tcPr>
            <w:tcW w:w="1240" w:type="dxa"/>
            <w:vAlign w:val="bottom"/>
          </w:tcPr>
          <w:p>
            <w:pPr>
              <w:jc w:val="right"/>
              <w:ind w:right="690"/>
              <w:spacing w:after="0"/>
              <w:rPr>
                <w:sz w:val="20"/>
                <w:szCs w:val="20"/>
                <w:color w:val="auto"/>
              </w:rPr>
            </w:pPr>
            <w:r>
              <w:rPr>
                <w:rFonts w:ascii="Arial" w:cs="Arial" w:eastAsia="Arial" w:hAnsi="Arial"/>
                <w:sz w:val="18"/>
                <w:szCs w:val="18"/>
                <w:color w:val="auto"/>
                <w:w w:val="97"/>
              </w:rPr>
              <w:t>10.23</w:t>
            </w:r>
          </w:p>
        </w:tc>
        <w:tc>
          <w:tcPr>
            <w:tcW w:w="9620" w:type="dxa"/>
            <w:vAlign w:val="bottom"/>
            <w:gridSpan w:val="6"/>
          </w:tcPr>
          <w:p>
            <w:pPr>
              <w:spacing w:after="0"/>
              <w:rPr>
                <w:rFonts w:ascii="Arial" w:cs="Arial" w:eastAsia="Arial" w:hAnsi="Arial"/>
                <w:sz w:val="18"/>
                <w:szCs w:val="18"/>
                <w:color w:val="0000FF"/>
              </w:rPr>
            </w:pPr>
            <w:hyperlink r:id="rId74">
              <w:r>
                <w:rPr>
                  <w:rFonts w:ascii="Arial" w:cs="Arial" w:eastAsia="Arial" w:hAnsi="Arial"/>
                  <w:sz w:val="18"/>
                  <w:szCs w:val="18"/>
                  <w:color w:val="0000FF"/>
                </w:rPr>
                <w:t>Form of Director Indemnity Agreement (previously filed as Exhibit 10.26 to Acxiom Corporation's Annual Report on Form</w:t>
              </w:r>
            </w:hyperlink>
          </w:p>
        </w:tc>
      </w:tr>
      <w:tr>
        <w:trPr>
          <w:trHeight w:val="209"/>
        </w:trPr>
        <w:tc>
          <w:tcPr>
            <w:tcW w:w="1240" w:type="dxa"/>
            <w:vAlign w:val="bottom"/>
          </w:tcPr>
          <w:p>
            <w:pPr>
              <w:spacing w:after="0"/>
              <w:rPr>
                <w:sz w:val="18"/>
                <w:szCs w:val="18"/>
                <w:color w:val="auto"/>
              </w:rPr>
            </w:pPr>
          </w:p>
        </w:tc>
        <w:tc>
          <w:tcPr>
            <w:tcW w:w="9580" w:type="dxa"/>
            <w:vAlign w:val="bottom"/>
            <w:tcBorders>
              <w:top w:val="single" w:sz="8" w:color="0000FF"/>
            </w:tcBorders>
            <w:gridSpan w:val="4"/>
          </w:tcPr>
          <w:p>
            <w:pPr>
              <w:spacing w:after="0"/>
              <w:rPr>
                <w:rFonts w:ascii="Arial" w:cs="Arial" w:eastAsia="Arial" w:hAnsi="Arial"/>
                <w:sz w:val="18"/>
                <w:szCs w:val="18"/>
                <w:u w:val="single" w:color="auto"/>
                <w:color w:val="0000FF"/>
              </w:rPr>
            </w:pPr>
            <w:hyperlink r:id="rId74">
              <w:r>
                <w:rPr>
                  <w:rFonts w:ascii="Arial" w:cs="Arial" w:eastAsia="Arial" w:hAnsi="Arial"/>
                  <w:sz w:val="18"/>
                  <w:szCs w:val="18"/>
                  <w:u w:val="single" w:color="auto"/>
                  <w:color w:val="0000FF"/>
                </w:rPr>
                <w:t>10-K for the fiscal year ended March 31, 2018, Commission File No. 0-13163,and incorporated by reference).</w:t>
              </w:r>
            </w:hyperlink>
          </w:p>
        </w:tc>
        <w:tc>
          <w:tcPr>
            <w:tcW w:w="40" w:type="dxa"/>
            <w:vAlign w:val="bottom"/>
            <w:gridSpan w:val="2"/>
          </w:tcPr>
          <w:p>
            <w:pPr>
              <w:spacing w:after="0"/>
              <w:rPr>
                <w:sz w:val="18"/>
                <w:szCs w:val="18"/>
                <w:color w:val="auto"/>
              </w:rPr>
            </w:pPr>
          </w:p>
        </w:tc>
      </w:tr>
      <w:tr>
        <w:trPr>
          <w:trHeight w:val="176"/>
        </w:trPr>
        <w:tc>
          <w:tcPr>
            <w:tcW w:w="1240" w:type="dxa"/>
            <w:vAlign w:val="bottom"/>
          </w:tcPr>
          <w:p>
            <w:pPr>
              <w:jc w:val="right"/>
              <w:ind w:right="690"/>
              <w:spacing w:after="0" w:line="176" w:lineRule="exact"/>
              <w:rPr>
                <w:sz w:val="20"/>
                <w:szCs w:val="20"/>
                <w:color w:val="auto"/>
              </w:rPr>
            </w:pPr>
            <w:r>
              <w:rPr>
                <w:rFonts w:ascii="Arial" w:cs="Arial" w:eastAsia="Arial" w:hAnsi="Arial"/>
                <w:sz w:val="18"/>
                <w:szCs w:val="18"/>
                <w:color w:val="auto"/>
                <w:w w:val="97"/>
              </w:rPr>
              <w:t>10.24</w:t>
            </w:r>
          </w:p>
        </w:tc>
        <w:tc>
          <w:tcPr>
            <w:tcW w:w="9620" w:type="dxa"/>
            <w:vAlign w:val="bottom"/>
            <w:gridSpan w:val="6"/>
          </w:tcPr>
          <w:p>
            <w:pPr>
              <w:spacing w:after="0" w:line="176" w:lineRule="exact"/>
              <w:rPr>
                <w:rFonts w:ascii="Arial" w:cs="Arial" w:eastAsia="Arial" w:hAnsi="Arial"/>
                <w:sz w:val="18"/>
                <w:szCs w:val="18"/>
                <w:color w:val="0000FF"/>
              </w:rPr>
            </w:pPr>
            <w:hyperlink r:id="rId75">
              <w:r>
                <w:rPr>
                  <w:rFonts w:ascii="Arial" w:cs="Arial" w:eastAsia="Arial" w:hAnsi="Arial"/>
                  <w:sz w:val="18"/>
                  <w:szCs w:val="18"/>
                  <w:color w:val="0000FF"/>
                </w:rPr>
                <w:t>Form of Officer and Key Employee Indemnity Agreement (previously filed as Exhibit 10.25 to LiveRamp Holdings, Inc.</w:t>
              </w:r>
            </w:hyperlink>
          </w:p>
        </w:tc>
      </w:tr>
      <w:tr>
        <w:trPr>
          <w:trHeight w:val="209"/>
        </w:trPr>
        <w:tc>
          <w:tcPr>
            <w:tcW w:w="1240" w:type="dxa"/>
            <w:vAlign w:val="bottom"/>
          </w:tcPr>
          <w:p>
            <w:pPr>
              <w:spacing w:after="0"/>
              <w:rPr>
                <w:sz w:val="18"/>
                <w:szCs w:val="18"/>
                <w:color w:val="auto"/>
              </w:rPr>
            </w:pPr>
          </w:p>
        </w:tc>
        <w:tc>
          <w:tcPr>
            <w:tcW w:w="936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r:id="rId75">
              <w:r>
                <w:rPr>
                  <w:rFonts w:ascii="Arial" w:cs="Arial" w:eastAsia="Arial" w:hAnsi="Arial"/>
                  <w:sz w:val="18"/>
                  <w:szCs w:val="18"/>
                  <w:u w:val="single" w:color="auto"/>
                  <w:color w:val="0000FF"/>
                </w:rPr>
                <w:t>Annual Report on Form 10-K for the fiscal year ended March 31, 2019, and incorporated herein by reference)</w:t>
              </w:r>
            </w:hyperlink>
          </w:p>
        </w:tc>
        <w:tc>
          <w:tcPr>
            <w:tcW w:w="260" w:type="dxa"/>
            <w:vAlign w:val="bottom"/>
            <w:gridSpan w:val="3"/>
          </w:tcPr>
          <w:p>
            <w:pPr>
              <w:spacing w:after="0"/>
              <w:rPr>
                <w:sz w:val="18"/>
                <w:szCs w:val="18"/>
                <w:color w:val="auto"/>
              </w:rPr>
            </w:pPr>
          </w:p>
        </w:tc>
      </w:tr>
    </w:tbl>
    <w:p>
      <w:pPr>
        <w:ind w:left="1240" w:hanging="1234"/>
        <w:spacing w:after="0"/>
        <w:tabs>
          <w:tab w:leader="none" w:pos="1240" w:val="left"/>
        </w:tabs>
        <w:numPr>
          <w:ilvl w:val="0"/>
          <w:numId w:val="18"/>
        </w:numPr>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Subsidiaries of LiveRamp Holdings, Inc.</w:t>
        </w:r>
      </w:hyperlink>
    </w:p>
    <w:p>
      <w:pPr>
        <w:spacing w:after="0" w:line="50" w:lineRule="exact"/>
        <w:rPr>
          <w:sz w:val="20"/>
          <w:szCs w:val="20"/>
          <w:color w:val="auto"/>
        </w:rPr>
      </w:pPr>
    </w:p>
    <w:p>
      <w:pPr>
        <w:ind w:left="1240" w:hanging="1234"/>
        <w:spacing w:after="0"/>
        <w:tabs>
          <w:tab w:leader="none" w:pos="1240" w:val="left"/>
        </w:tabs>
        <w:numPr>
          <w:ilvl w:val="0"/>
          <w:numId w:val="19"/>
        </w:numPr>
        <w:rPr>
          <w:rFonts w:ascii="Arial" w:cs="Arial" w:eastAsia="Arial" w:hAnsi="Arial"/>
          <w:sz w:val="18"/>
          <w:szCs w:val="18"/>
          <w:u w:val="single" w:color="auto"/>
          <w:color w:val="0000FF"/>
        </w:rPr>
      </w:pPr>
      <w:hyperlink w:anchor="page129">
        <w:r>
          <w:rPr>
            <w:rFonts w:ascii="Arial" w:cs="Arial" w:eastAsia="Arial" w:hAnsi="Arial"/>
            <w:sz w:val="18"/>
            <w:szCs w:val="18"/>
            <w:u w:val="single" w:color="auto"/>
            <w:color w:val="0000FF"/>
          </w:rPr>
          <w:t>Consent of KPMG LLP</w:t>
        </w:r>
      </w:hyperlink>
    </w:p>
    <w:p>
      <w:pPr>
        <w:spacing w:after="0" w:line="49" w:lineRule="exact"/>
        <w:rPr>
          <w:rFonts w:ascii="Arial" w:cs="Arial" w:eastAsia="Arial" w:hAnsi="Arial"/>
          <w:sz w:val="18"/>
          <w:szCs w:val="18"/>
          <w:u w:val="single" w:color="auto"/>
          <w:color w:val="0000FF"/>
        </w:rPr>
      </w:pPr>
    </w:p>
    <w:p>
      <w:pPr>
        <w:ind w:left="1240" w:hanging="1234"/>
        <w:spacing w:after="0"/>
        <w:tabs>
          <w:tab w:leader="none" w:pos="1240" w:val="left"/>
        </w:tabs>
        <w:numPr>
          <w:ilvl w:val="0"/>
          <w:numId w:val="19"/>
        </w:numPr>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Powers of Attorney</w:t>
        </w:r>
      </w:hyperlink>
    </w:p>
    <w:p>
      <w:pPr>
        <w:spacing w:after="0" w:line="19"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31.1</w:t>
            </w:r>
          </w:p>
        </w:tc>
        <w:tc>
          <w:tcPr>
            <w:tcW w:w="9520" w:type="dxa"/>
            <w:vAlign w:val="bottom"/>
            <w:gridSpan w:val="10"/>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Certification of Chief Executive Officer (principal executive officer) pursuant to SEC Rule 13a-14(a)/15d-14(a), as</w:t>
              </w:r>
            </w:hyperlink>
          </w:p>
        </w:tc>
      </w:tr>
      <w:tr>
        <w:trPr>
          <w:trHeight w:val="156"/>
        </w:trPr>
        <w:tc>
          <w:tcPr>
            <w:tcW w:w="1240" w:type="dxa"/>
            <w:vAlign w:val="bottom"/>
          </w:tcPr>
          <w:p>
            <w:pPr>
              <w:spacing w:after="0"/>
              <w:rPr>
                <w:sz w:val="13"/>
                <w:szCs w:val="13"/>
                <w:color w:val="auto"/>
              </w:rPr>
            </w:pPr>
          </w:p>
        </w:tc>
        <w:tc>
          <w:tcPr>
            <w:tcW w:w="62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131">
              <w:r>
                <w:rPr>
                  <w:rFonts w:ascii="Arial" w:cs="Arial" w:eastAsia="Arial" w:hAnsi="Arial"/>
                  <w:sz w:val="18"/>
                  <w:szCs w:val="18"/>
                  <w:color w:val="0000FF"/>
                  <w:w w:val="99"/>
                </w:rPr>
                <w:t>adopted pursuant to Sections 302 and 404 of the Sarbanes-Oxley Act of 2002</w:t>
              </w:r>
            </w:hyperlink>
          </w:p>
        </w:tc>
        <w:tc>
          <w:tcPr>
            <w:tcW w:w="2760" w:type="dxa"/>
            <w:vAlign w:val="bottom"/>
            <w:tcBorders>
              <w:top w:val="single" w:sz="8" w:color="0000FF"/>
            </w:tcBorders>
            <w:gridSpan w:val="2"/>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31.2</w:t>
            </w:r>
          </w:p>
        </w:tc>
        <w:tc>
          <w:tcPr>
            <w:tcW w:w="9520" w:type="dxa"/>
            <w:vAlign w:val="bottom"/>
            <w:gridSpan w:val="10"/>
          </w:tcPr>
          <w:p>
            <w:pPr>
              <w:spacing w:after="0"/>
              <w:rPr>
                <w:rFonts w:ascii="Arial" w:cs="Arial" w:eastAsia="Arial" w:hAnsi="Arial"/>
                <w:sz w:val="18"/>
                <w:szCs w:val="18"/>
                <w:color w:val="0000FF"/>
              </w:rPr>
            </w:pPr>
            <w:hyperlink w:anchor="page132">
              <w:r>
                <w:rPr>
                  <w:rFonts w:ascii="Arial" w:cs="Arial" w:eastAsia="Arial" w:hAnsi="Arial"/>
                  <w:sz w:val="18"/>
                  <w:szCs w:val="18"/>
                  <w:u w:val="single" w:color="auto"/>
                  <w:color w:val="0000FF"/>
                </w:rPr>
                <w:t>Certification of President, Chief Financial Officer and Executive Managing Director of International</w:t>
              </w:r>
              <w:r>
                <w:rPr>
                  <w:rFonts w:ascii="Arial" w:cs="Arial" w:eastAsia="Arial" w:hAnsi="Arial"/>
                  <w:sz w:val="18"/>
                  <w:szCs w:val="18"/>
                  <w:color w:val="0000FF"/>
                </w:rPr>
                <w:t xml:space="preserve"> (principal financial</w:t>
              </w:r>
            </w:hyperlink>
          </w:p>
        </w:tc>
      </w:tr>
      <w:tr>
        <w:trPr>
          <w:trHeight w:val="156"/>
        </w:trPr>
        <w:tc>
          <w:tcPr>
            <w:tcW w:w="1240" w:type="dxa"/>
            <w:vAlign w:val="bottom"/>
          </w:tcPr>
          <w:p>
            <w:pPr>
              <w:spacing w:after="0"/>
              <w:rPr>
                <w:sz w:val="13"/>
                <w:szCs w:val="13"/>
                <w:color w:val="auto"/>
              </w:rPr>
            </w:pPr>
          </w:p>
        </w:tc>
        <w:tc>
          <w:tcPr>
            <w:tcW w:w="7820" w:type="dxa"/>
            <w:vAlign w:val="bottom"/>
            <w:gridSpan w:val="4"/>
          </w:tcPr>
          <w:p>
            <w:pPr>
              <w:spacing w:after="0" w:line="157" w:lineRule="exact"/>
              <w:rPr>
                <w:rFonts w:ascii="Arial" w:cs="Arial" w:eastAsia="Arial" w:hAnsi="Arial"/>
                <w:sz w:val="18"/>
                <w:szCs w:val="18"/>
                <w:color w:val="0000FF"/>
                <w:w w:val="98"/>
              </w:rPr>
            </w:pPr>
            <w:hyperlink w:anchor="page132">
              <w:r>
                <w:rPr>
                  <w:rFonts w:ascii="Arial" w:cs="Arial" w:eastAsia="Arial" w:hAnsi="Arial"/>
                  <w:sz w:val="18"/>
                  <w:szCs w:val="18"/>
                  <w:color w:val="0000FF"/>
                  <w:w w:val="98"/>
                </w:rPr>
                <w:t>and accounting officer) pursuant to SEC Rule 13a-14(a)/15d-14(a), as adopted pursuant to Sections</w:t>
              </w:r>
            </w:hyperlink>
          </w:p>
        </w:tc>
        <w:tc>
          <w:tcPr>
            <w:tcW w:w="1440" w:type="dxa"/>
            <w:vAlign w:val="bottom"/>
            <w:tcBorders>
              <w:top w:val="single" w:sz="8" w:color="0000FF"/>
            </w:tcBorders>
            <w:gridSpan w:val="3"/>
          </w:tcPr>
          <w:p>
            <w:pPr>
              <w:ind w:left="180"/>
              <w:spacing w:after="0" w:line="157" w:lineRule="exact"/>
              <w:rPr>
                <w:rFonts w:ascii="Arial" w:cs="Arial" w:eastAsia="Arial" w:hAnsi="Arial"/>
                <w:sz w:val="18"/>
                <w:szCs w:val="18"/>
                <w:color w:val="0000FF"/>
              </w:rPr>
            </w:pPr>
            <w:hyperlink w:anchor="page132">
              <w:r>
                <w:rPr>
                  <w:rFonts w:ascii="Arial" w:cs="Arial" w:eastAsia="Arial" w:hAnsi="Arial"/>
                  <w:sz w:val="18"/>
                  <w:szCs w:val="18"/>
                  <w:color w:val="0000FF"/>
                </w:rPr>
                <w:t>302 and 404 of</w:t>
              </w:r>
            </w:hyperlink>
          </w:p>
        </w:tc>
        <w:tc>
          <w:tcPr>
            <w:tcW w:w="260" w:type="dxa"/>
            <w:vAlign w:val="bottom"/>
            <w:gridSpan w:val="3"/>
          </w:tcPr>
          <w:p>
            <w:pPr>
              <w:spacing w:after="0" w:line="157" w:lineRule="exact"/>
              <w:rPr>
                <w:rFonts w:ascii="Arial" w:cs="Arial" w:eastAsia="Arial" w:hAnsi="Arial"/>
                <w:sz w:val="18"/>
                <w:szCs w:val="18"/>
                <w:color w:val="0000FF"/>
                <w:w w:val="95"/>
              </w:rPr>
            </w:pPr>
            <w:hyperlink w:anchor="page132">
              <w:r>
                <w:rPr>
                  <w:rFonts w:ascii="Arial" w:cs="Arial" w:eastAsia="Arial" w:hAnsi="Arial"/>
                  <w:sz w:val="18"/>
                  <w:szCs w:val="18"/>
                  <w:color w:val="0000FF"/>
                  <w:w w:val="95"/>
                </w:rPr>
                <w:t>the</w:t>
              </w:r>
            </w:hyperlink>
          </w:p>
        </w:tc>
      </w:tr>
      <w:tr>
        <w:trPr>
          <w:trHeight w:val="156"/>
        </w:trPr>
        <w:tc>
          <w:tcPr>
            <w:tcW w:w="1240" w:type="dxa"/>
            <w:vAlign w:val="bottom"/>
          </w:tcPr>
          <w:p>
            <w:pPr>
              <w:spacing w:after="0"/>
              <w:rPr>
                <w:sz w:val="13"/>
                <w:szCs w:val="13"/>
                <w:color w:val="auto"/>
              </w:rPr>
            </w:pPr>
          </w:p>
        </w:tc>
        <w:tc>
          <w:tcPr>
            <w:tcW w:w="2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9"/>
              </w:rPr>
            </w:pPr>
            <w:hyperlink w:anchor="page132">
              <w:r>
                <w:rPr>
                  <w:rFonts w:ascii="Arial" w:cs="Arial" w:eastAsia="Arial" w:hAnsi="Arial"/>
                  <w:sz w:val="18"/>
                  <w:szCs w:val="18"/>
                  <w:color w:val="0000FF"/>
                  <w:w w:val="99"/>
                </w:rPr>
                <w:t>Sarbanes-Oxley Act of 2002</w:t>
              </w:r>
            </w:hyperlink>
          </w:p>
        </w:tc>
        <w:tc>
          <w:tcPr>
            <w:tcW w:w="72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32.1</w:t>
            </w:r>
          </w:p>
        </w:tc>
        <w:tc>
          <w:tcPr>
            <w:tcW w:w="9520" w:type="dxa"/>
            <w:vAlign w:val="bottom"/>
            <w:gridSpan w:val="10"/>
          </w:tcPr>
          <w:p>
            <w:pPr>
              <w:spacing w:after="0"/>
              <w:rPr>
                <w:rFonts w:ascii="Arial" w:cs="Arial" w:eastAsia="Arial" w:hAnsi="Arial"/>
                <w:sz w:val="18"/>
                <w:szCs w:val="18"/>
                <w:color w:val="0000FF"/>
              </w:rPr>
            </w:pPr>
            <w:hyperlink w:anchor="page133">
              <w:r>
                <w:rPr>
                  <w:rFonts w:ascii="Arial" w:cs="Arial" w:eastAsia="Arial" w:hAnsi="Arial"/>
                  <w:sz w:val="18"/>
                  <w:szCs w:val="18"/>
                  <w:color w:val="0000FF"/>
                </w:rPr>
                <w:t>Certification of Chief Executive Officer (principal executive officer) pursuant to 18 U.S.C. Section 1350, as adopted</w:t>
              </w:r>
            </w:hyperlink>
          </w:p>
        </w:tc>
      </w:tr>
      <w:tr>
        <w:trPr>
          <w:trHeight w:val="156"/>
        </w:trPr>
        <w:tc>
          <w:tcPr>
            <w:tcW w:w="1240" w:type="dxa"/>
            <w:vAlign w:val="bottom"/>
          </w:tcPr>
          <w:p>
            <w:pPr>
              <w:spacing w:after="0"/>
              <w:rPr>
                <w:sz w:val="13"/>
                <w:szCs w:val="13"/>
                <w:color w:val="auto"/>
              </w:rPr>
            </w:pPr>
          </w:p>
        </w:tc>
        <w:tc>
          <w:tcPr>
            <w:tcW w:w="91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33">
              <w:r>
                <w:rPr>
                  <w:rFonts w:ascii="Arial" w:cs="Arial" w:eastAsia="Arial" w:hAnsi="Arial"/>
                  <w:sz w:val="18"/>
                  <w:szCs w:val="18"/>
                  <w:color w:val="0000FF"/>
                </w:rPr>
                <w:t>pursuant to Section 906 of the Sarbanes-Oxley Act of 2002</w:t>
              </w:r>
            </w:hyperlink>
          </w:p>
        </w:tc>
        <w:tc>
          <w:tcPr>
            <w:tcW w:w="180" w:type="dxa"/>
            <w:vAlign w:val="bottom"/>
            <w:gridSpan w:val="2"/>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4700" w:type="dxa"/>
            <w:vAlign w:val="bottom"/>
            <w:gridSpan w:val="2"/>
            <w:shd w:val="clear" w:color="auto" w:fill="0000FF"/>
          </w:tcPr>
          <w:p>
            <w:pPr>
              <w:spacing w:after="0" w:line="20" w:lineRule="exact"/>
              <w:rPr>
                <w:sz w:val="1"/>
                <w:szCs w:val="1"/>
                <w:color w:val="auto"/>
              </w:rPr>
            </w:pPr>
          </w:p>
        </w:tc>
        <w:tc>
          <w:tcPr>
            <w:tcW w:w="45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r>
      <w:tr>
        <w:trPr>
          <w:trHeight w:val="209"/>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32.2</w:t>
            </w:r>
          </w:p>
        </w:tc>
        <w:tc>
          <w:tcPr>
            <w:tcW w:w="928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134">
              <w:r>
                <w:rPr>
                  <w:rFonts w:ascii="Arial" w:cs="Arial" w:eastAsia="Arial" w:hAnsi="Arial"/>
                  <w:sz w:val="18"/>
                  <w:szCs w:val="18"/>
                  <w:color w:val="0000FF"/>
                  <w:w w:val="99"/>
                </w:rPr>
                <w:t>Certification of President, Chief Financial Officer and Executive Managing Director of International (principal financial</w:t>
              </w:r>
            </w:hyperlink>
          </w:p>
        </w:tc>
        <w:tc>
          <w:tcPr>
            <w:tcW w:w="240" w:type="dxa"/>
            <w:vAlign w:val="bottom"/>
            <w:gridSpan w:val="2"/>
          </w:tcPr>
          <w:p>
            <w:pPr>
              <w:spacing w:after="0"/>
              <w:rPr>
                <w:sz w:val="18"/>
                <w:szCs w:val="18"/>
                <w:color w:val="auto"/>
              </w:rPr>
            </w:pPr>
          </w:p>
        </w:tc>
      </w:tr>
      <w:tr>
        <w:trPr>
          <w:trHeight w:val="155"/>
        </w:trPr>
        <w:tc>
          <w:tcPr>
            <w:tcW w:w="1240" w:type="dxa"/>
            <w:vAlign w:val="bottom"/>
          </w:tcPr>
          <w:p>
            <w:pPr>
              <w:spacing w:after="0"/>
              <w:rPr>
                <w:sz w:val="13"/>
                <w:szCs w:val="13"/>
                <w:color w:val="auto"/>
              </w:rPr>
            </w:pPr>
          </w:p>
        </w:tc>
        <w:tc>
          <w:tcPr>
            <w:tcW w:w="9520" w:type="dxa"/>
            <w:vAlign w:val="bottom"/>
            <w:gridSpan w:val="10"/>
          </w:tcPr>
          <w:p>
            <w:pPr>
              <w:spacing w:after="0" w:line="154" w:lineRule="exact"/>
              <w:rPr>
                <w:rFonts w:ascii="Arial" w:cs="Arial" w:eastAsia="Arial" w:hAnsi="Arial"/>
                <w:sz w:val="17"/>
                <w:szCs w:val="17"/>
                <w:u w:val="single" w:color="auto"/>
                <w:color w:val="0000FF"/>
              </w:rPr>
            </w:pPr>
            <w:hyperlink w:anchor="page134">
              <w:r>
                <w:rPr>
                  <w:rFonts w:ascii="Arial" w:cs="Arial" w:eastAsia="Arial" w:hAnsi="Arial"/>
                  <w:sz w:val="17"/>
                  <w:szCs w:val="17"/>
                  <w:u w:val="single" w:color="auto"/>
                  <w:color w:val="0000FF"/>
                </w:rPr>
                <w:t>and accounting officer) pursuant to 18 U.S.C. Section 1350, as adopted pursuant to Section 906 of the Sarbanes-Oxley</w:t>
              </w:r>
            </w:hyperlink>
          </w:p>
        </w:tc>
      </w:tr>
    </w:tbl>
    <w:p>
      <w:pPr>
        <w:ind w:left="1240"/>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Act of 2002</w:t>
        </w:r>
      </w:hyperlink>
    </w:p>
    <w:p>
      <w:pPr>
        <w:spacing w:after="0" w:line="23" w:lineRule="exact"/>
        <w:rPr>
          <w:sz w:val="20"/>
          <w:szCs w:val="20"/>
          <w:color w:val="auto"/>
        </w:rPr>
      </w:pPr>
    </w:p>
    <w:p>
      <w:pPr>
        <w:ind w:left="1240" w:right="60" w:hanging="1234"/>
        <w:spacing w:after="0" w:line="210" w:lineRule="auto"/>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financial information from our Annual Report on Form 10-K for the fiscal year ended March 31, 2020, formatted in inline XBRL: (i) Consolidated Balance Sheets as of March 31, 2020 and 2019; (ii) Consolidated Statements of Operations for the fiscal years ended March 31, 2020, 2019, 2018; (iii) Consolidated Statements of Comprehensive Income (Loss) for the fiscal years ended March 31, 2020, 2019 and 2018; (iv) Consolidated Statements of Stockholders’ Equity for the fiscal years ended March 31, 2020, 2019 and 2018; (v) Consolidated Statements of Cash Flows for the fiscal years ended March 31, 2020, 2019 and 2018; and (vi) Notes to the Consolidated Financial Statements, tagged in detail.</w:t>
      </w:r>
    </w:p>
    <w:p>
      <w:pPr>
        <w:spacing w:after="0" w:line="28"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40" w:top="1003" w:right="719" w:bottom="1440" w:gutter="0" w:footer="0" w:header="0"/>
        </w:sectPr>
      </w:pPr>
    </w:p>
    <w:bookmarkStart w:id="40" w:name="page41"/>
    <w:bookmarkEnd w:id="40"/>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LIVERAMP HOLDINGS, INC.</w:t>
      </w:r>
    </w:p>
    <w:p>
      <w:pPr>
        <w:spacing w:after="0" w:line="293" w:lineRule="exact"/>
        <w:rPr>
          <w:sz w:val="20"/>
          <w:szCs w:val="20"/>
          <w:color w:val="auto"/>
        </w:rPr>
      </w:pPr>
    </w:p>
    <w:p>
      <w:pPr>
        <w:ind w:left="40"/>
        <w:spacing w:after="0"/>
        <w:tabs>
          <w:tab w:leader="none" w:pos="5220" w:val="left"/>
          <w:tab w:leader="none" w:pos="5860" w:val="left"/>
        </w:tabs>
        <w:rPr>
          <w:sz w:val="20"/>
          <w:szCs w:val="20"/>
          <w:color w:val="auto"/>
        </w:rPr>
      </w:pPr>
      <w:r>
        <w:rPr>
          <w:rFonts w:ascii="Arial" w:cs="Arial" w:eastAsia="Arial" w:hAnsi="Arial"/>
          <w:sz w:val="18"/>
          <w:szCs w:val="18"/>
          <w:color w:val="auto"/>
        </w:rPr>
        <w:t>Date: May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Warren C. Jenson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6350</wp:posOffset>
            </wp:positionV>
            <wp:extent cx="34029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3402965"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Warren C. Jenson</w:t>
      </w:r>
    </w:p>
    <w:p>
      <w:pPr>
        <w:spacing w:after="0" w:line="4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President, Chief Financial Officer and Executive Managing</w:t>
      </w:r>
    </w:p>
    <w:p>
      <w:pPr>
        <w:ind w:left="5880"/>
        <w:spacing w:after="0"/>
        <w:rPr>
          <w:sz w:val="20"/>
          <w:szCs w:val="20"/>
          <w:color w:val="auto"/>
        </w:rPr>
      </w:pPr>
      <w:r>
        <w:rPr>
          <w:rFonts w:ascii="Arial" w:cs="Arial" w:eastAsia="Arial" w:hAnsi="Arial"/>
          <w:sz w:val="18"/>
          <w:szCs w:val="18"/>
          <w:color w:val="auto"/>
        </w:rPr>
        <w:t>Director of International</w:t>
      </w:r>
    </w:p>
    <w:p>
      <w:pPr>
        <w:spacing w:after="0" w:line="3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41" w:name="page42"/>
    <w:bookmarkEnd w:id="41"/>
    <w:p>
      <w:pPr>
        <w:ind w:right="180"/>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0142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201422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John L. Battelle*</w:t>
            </w: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22, 2020</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John L. Battelle</w:t>
            </w:r>
          </w:p>
        </w:tc>
        <w:tc>
          <w:tcPr>
            <w:tcW w:w="6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318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Timothy R. Cadogan*</w:t>
            </w:r>
          </w:p>
        </w:tc>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May 22, 2020</w:t>
            </w:r>
          </w:p>
        </w:tc>
      </w:tr>
      <w:tr>
        <w:trPr>
          <w:trHeight w:val="256"/>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Timothy R. Cadogan</w:t>
            </w:r>
          </w:p>
        </w:tc>
        <w:tc>
          <w:tcPr>
            <w:tcW w:w="63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70"/>
        </w:trPr>
        <w:tc>
          <w:tcPr>
            <w:tcW w:w="318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Vivian Chow*</w:t>
            </w: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22, 2020</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Vivian Chow</w:t>
            </w:r>
          </w:p>
        </w:tc>
        <w:tc>
          <w:tcPr>
            <w:tcW w:w="6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318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T. Dillard II*</w:t>
            </w:r>
          </w:p>
        </w:tc>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May 22, 2020</w:t>
            </w:r>
          </w:p>
        </w:tc>
      </w:tr>
      <w:tr>
        <w:trPr>
          <w:trHeight w:val="25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T. Dillard II</w:t>
            </w:r>
          </w:p>
        </w:tc>
        <w:tc>
          <w:tcPr>
            <w:tcW w:w="63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70"/>
        </w:trPr>
        <w:tc>
          <w:tcPr>
            <w:tcW w:w="318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Richard P. Fox*</w:t>
            </w: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22, 2020</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Richard P. Fox</w:t>
            </w:r>
          </w:p>
        </w:tc>
        <w:tc>
          <w:tcPr>
            <w:tcW w:w="6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318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William J. Henderson*</w:t>
            </w:r>
          </w:p>
        </w:tc>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May 22, 2020</w:t>
            </w:r>
          </w:p>
        </w:tc>
      </w:tr>
      <w:tr>
        <w:trPr>
          <w:trHeight w:val="25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William J. Henderson</w:t>
            </w:r>
          </w:p>
        </w:tc>
        <w:tc>
          <w:tcPr>
            <w:tcW w:w="63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70"/>
        </w:trPr>
        <w:tc>
          <w:tcPr>
            <w:tcW w:w="318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Scott E. Howe*</w:t>
            </w: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 CEO (principal executive officer)</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22, 2020</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Scott E. Howe</w:t>
            </w:r>
          </w:p>
        </w:tc>
        <w:tc>
          <w:tcPr>
            <w:tcW w:w="6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7"/>
        </w:trPr>
        <w:tc>
          <w:tcPr>
            <w:tcW w:w="3180" w:type="dxa"/>
            <w:vAlign w:val="bottom"/>
            <w:shd w:val="clear" w:color="auto" w:fill="CCEEFF"/>
          </w:tcPr>
          <w:p>
            <w:pPr>
              <w:spacing w:after="0"/>
              <w:rPr>
                <w:sz w:val="24"/>
                <w:szCs w:val="24"/>
                <w:color w:val="auto"/>
              </w:rPr>
            </w:pPr>
          </w:p>
        </w:tc>
        <w:tc>
          <w:tcPr>
            <w:tcW w:w="6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5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Clark M. Kokich*</w:t>
            </w:r>
          </w:p>
        </w:tc>
        <w:tc>
          <w:tcPr>
            <w:tcW w:w="63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Director (Non-Executive Chairman of the Board)</w:t>
            </w:r>
          </w:p>
        </w:tc>
        <w:tc>
          <w:tcPr>
            <w:tcW w:w="168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May 22, 2020</w:t>
            </w:r>
          </w:p>
        </w:tc>
      </w:tr>
      <w:tr>
        <w:trPr>
          <w:trHeight w:val="25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Clark M. Kokich</w:t>
            </w:r>
          </w:p>
        </w:tc>
        <w:tc>
          <w:tcPr>
            <w:tcW w:w="63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70"/>
        </w:trPr>
        <w:tc>
          <w:tcPr>
            <w:tcW w:w="3180" w:type="dxa"/>
            <w:vAlign w:val="bottom"/>
          </w:tcPr>
          <w:p>
            <w:pPr>
              <w:spacing w:after="0"/>
              <w:rPr>
                <w:sz w:val="23"/>
                <w:szCs w:val="23"/>
                <w:color w:val="auto"/>
              </w:rPr>
            </w:pPr>
          </w:p>
        </w:tc>
        <w:tc>
          <w:tcPr>
            <w:tcW w:w="636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50"/>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 Debora B. Tomlin*</w:t>
            </w:r>
          </w:p>
        </w:tc>
        <w:tc>
          <w:tcPr>
            <w:tcW w:w="6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Director</w:t>
            </w:r>
          </w:p>
        </w:tc>
        <w:tc>
          <w:tcPr>
            <w:tcW w:w="16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May 22, 2020</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Debora B. Tomlin</w:t>
            </w:r>
          </w:p>
        </w:tc>
        <w:tc>
          <w:tcPr>
            <w:tcW w:w="636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23"/>
        </w:trPr>
        <w:tc>
          <w:tcPr>
            <w:tcW w:w="3180" w:type="dxa"/>
            <w:vAlign w:val="bottom"/>
            <w:shd w:val="clear" w:color="auto" w:fill="CCEEFF"/>
          </w:tcPr>
          <w:p>
            <w:pPr>
              <w:spacing w:after="0"/>
              <w:rPr>
                <w:sz w:val="19"/>
                <w:szCs w:val="19"/>
                <w:color w:val="auto"/>
              </w:rPr>
            </w:pPr>
          </w:p>
        </w:tc>
        <w:tc>
          <w:tcPr>
            <w:tcW w:w="63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29"/>
        </w:trPr>
        <w:tc>
          <w:tcPr>
            <w:tcW w:w="3180" w:type="dxa"/>
            <w:vAlign w:val="bottom"/>
          </w:tcPr>
          <w:p>
            <w:pPr>
              <w:spacing w:after="0"/>
              <w:rPr>
                <w:sz w:val="19"/>
                <w:szCs w:val="19"/>
                <w:color w:val="auto"/>
              </w:rPr>
            </w:pPr>
          </w:p>
        </w:tc>
        <w:tc>
          <w:tcPr>
            <w:tcW w:w="6360" w:type="dxa"/>
            <w:vAlign w:val="bottom"/>
          </w:tcPr>
          <w:p>
            <w:pPr>
              <w:ind w:left="120"/>
              <w:spacing w:after="0"/>
              <w:rPr>
                <w:sz w:val="20"/>
                <w:szCs w:val="20"/>
                <w:color w:val="auto"/>
              </w:rPr>
            </w:pPr>
            <w:r>
              <w:rPr>
                <w:rFonts w:ascii="Arial" w:cs="Arial" w:eastAsia="Arial" w:hAnsi="Arial"/>
                <w:sz w:val="18"/>
                <w:szCs w:val="18"/>
                <w:color w:val="auto"/>
              </w:rPr>
              <w:t>President, CFO &amp; Executive MD of International (principal financial and</w:t>
            </w:r>
          </w:p>
        </w:tc>
        <w:tc>
          <w:tcPr>
            <w:tcW w:w="1680" w:type="dxa"/>
            <w:vAlign w:val="bottom"/>
          </w:tcPr>
          <w:p>
            <w:pPr>
              <w:spacing w:after="0"/>
              <w:rPr>
                <w:sz w:val="19"/>
                <w:szCs w:val="19"/>
                <w:color w:val="auto"/>
              </w:rPr>
            </w:pPr>
          </w:p>
        </w:tc>
      </w:tr>
      <w:tr>
        <w:trPr>
          <w:trHeight w:val="217"/>
        </w:trPr>
        <w:tc>
          <w:tcPr>
            <w:tcW w:w="3180" w:type="dxa"/>
            <w:vAlign w:val="bottom"/>
          </w:tcPr>
          <w:p>
            <w:pPr>
              <w:ind w:left="20"/>
              <w:spacing w:after="0"/>
              <w:rPr>
                <w:sz w:val="20"/>
                <w:szCs w:val="20"/>
                <w:color w:val="auto"/>
              </w:rPr>
            </w:pPr>
            <w:r>
              <w:rPr>
                <w:rFonts w:ascii="Arial" w:cs="Arial" w:eastAsia="Arial" w:hAnsi="Arial"/>
                <w:sz w:val="18"/>
                <w:szCs w:val="18"/>
                <w:color w:val="auto"/>
              </w:rPr>
              <w:t>/s/ Warren C. Jenson</w:t>
            </w:r>
          </w:p>
        </w:tc>
        <w:tc>
          <w:tcPr>
            <w:tcW w:w="6360" w:type="dxa"/>
            <w:vAlign w:val="bottom"/>
          </w:tcPr>
          <w:p>
            <w:pPr>
              <w:ind w:left="120"/>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ind w:left="560"/>
              <w:spacing w:after="0"/>
              <w:rPr>
                <w:sz w:val="20"/>
                <w:szCs w:val="20"/>
                <w:color w:val="auto"/>
              </w:rPr>
            </w:pPr>
            <w:r>
              <w:rPr>
                <w:rFonts w:ascii="Arial" w:cs="Arial" w:eastAsia="Arial" w:hAnsi="Arial"/>
                <w:sz w:val="18"/>
                <w:szCs w:val="18"/>
                <w:color w:val="auto"/>
              </w:rPr>
              <w:t>May 22,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1517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Warren C. Jenson</w:t>
      </w:r>
    </w:p>
    <w:p>
      <w:pPr>
        <w:sectPr>
          <w:pgSz w:w="11900" w:h="16838" w:orient="portrait"/>
          <w:cols w:equalWidth="0" w:num="1">
            <w:col w:w="11220"/>
          </w:cols>
          <w:pgMar w:left="320" w:top="9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 Catherine L. Hughes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Catherine L. Hughes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Attorney-in-Fact</w:t>
      </w:r>
    </w:p>
    <w:p>
      <w:pPr>
        <w:spacing w:after="0" w:line="200" w:lineRule="exact"/>
        <w:rPr>
          <w:sz w:val="20"/>
          <w:szCs w:val="20"/>
          <w:color w:val="auto"/>
        </w:rPr>
      </w:pPr>
    </w:p>
    <w:p>
      <w:pPr>
        <w:sectPr>
          <w:pgSz w:w="11900" w:h="16838" w:orient="portrait"/>
          <w:cols w:equalWidth="0" w:num="2">
            <w:col w:w="360" w:space="420"/>
            <w:col w:w="10440"/>
          </w:cols>
          <w:pgMar w:left="320" w:top="94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type w:val="continuous"/>
        </w:sectPr>
      </w:pPr>
    </w:p>
    <w:bookmarkStart w:id="42" w:name="page43"/>
    <w:bookmarkEnd w:id="42"/>
    <w:p>
      <w:pPr>
        <w:jc w:val="center"/>
        <w:ind w:right="-299"/>
        <w:spacing w:after="0"/>
        <w:rPr>
          <w:sz w:val="20"/>
          <w:szCs w:val="20"/>
          <w:color w:val="auto"/>
        </w:rPr>
      </w:pPr>
      <w:r>
        <w:rPr>
          <w:rFonts w:ascii="Arial" w:cs="Arial" w:eastAsia="Arial" w:hAnsi="Arial"/>
          <w:sz w:val="18"/>
          <w:szCs w:val="18"/>
          <w:b w:val="1"/>
          <w:bCs w:val="1"/>
          <w:u w:val="single" w:color="auto"/>
          <w:color w:val="auto"/>
        </w:rPr>
        <w:t>LIVERAMP HOLDINGS, INC.</w:t>
      </w:r>
    </w:p>
    <w:p>
      <w:pPr>
        <w:spacing w:after="0" w:line="3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INDEX TO FINANCIAL SUPPLEMENT</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TO ANNUAL REPORT ON FORM 10-K</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FOR THE YEAR ENDED MARCH 31,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Borders>
              <w:bottom w:val="single" w:sz="8" w:color="auto"/>
            </w:tcBorders>
            <w:gridSpan w:val="4"/>
          </w:tcPr>
          <w:p>
            <w:pPr>
              <w:ind w:left="540"/>
              <w:spacing w:after="0"/>
              <w:rPr>
                <w:sz w:val="20"/>
                <w:szCs w:val="20"/>
                <w:color w:val="auto"/>
              </w:rPr>
            </w:pPr>
            <w:r>
              <w:rPr>
                <w:rFonts w:ascii="Arial" w:cs="Arial" w:eastAsia="Arial" w:hAnsi="Arial"/>
                <w:sz w:val="18"/>
                <w:szCs w:val="18"/>
                <w:color w:val="0000FF"/>
              </w:rPr>
              <w:t>F-Page</w:t>
            </w:r>
          </w:p>
        </w:tc>
      </w:tr>
      <w:tr>
        <w:trPr>
          <w:trHeight w:val="189"/>
        </w:trPr>
        <w:tc>
          <w:tcPr>
            <w:tcW w:w="9240" w:type="dxa"/>
            <w:vAlign w:val="bottom"/>
            <w:gridSpan w:val="10"/>
          </w:tcPr>
          <w:p>
            <w:pPr>
              <w:spacing w:after="0" w:line="189" w:lineRule="exact"/>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Selected Financial Data</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0000FF"/>
            </w:tcBorders>
            <w:gridSpan w:val="2"/>
          </w:tcPr>
          <w:p>
            <w:pPr>
              <w:jc w:val="right"/>
              <w:ind w:right="20"/>
              <w:spacing w:after="0" w:line="189" w:lineRule="exact"/>
              <w:rPr>
                <w:rFonts w:ascii="Arial" w:cs="Arial" w:eastAsia="Arial" w:hAnsi="Arial"/>
                <w:sz w:val="18"/>
                <w:szCs w:val="18"/>
                <w:color w:val="0000FF"/>
                <w:w w:val="96"/>
              </w:rPr>
            </w:pPr>
            <w:hyperlink w:anchor="page44">
              <w:r>
                <w:rPr>
                  <w:rFonts w:ascii="Arial" w:cs="Arial" w:eastAsia="Arial" w:hAnsi="Arial"/>
                  <w:sz w:val="18"/>
                  <w:szCs w:val="18"/>
                  <w:color w:val="0000FF"/>
                  <w:w w:val="96"/>
                </w:rPr>
                <w:t>F-2</w:t>
              </w:r>
            </w:hyperlink>
          </w:p>
        </w:tc>
      </w:tr>
      <w:tr>
        <w:trPr>
          <w:trHeight w:val="210"/>
        </w:trPr>
        <w:tc>
          <w:tcPr>
            <w:tcW w:w="9240" w:type="dxa"/>
            <w:vAlign w:val="bottom"/>
            <w:gridSpan w:val="10"/>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Management’s Discussion and Analysis of Financial Condition and Results of Operations</w:t>
              </w:r>
            </w:hyperlink>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0000FF"/>
            </w:tcBorders>
            <w:gridSpan w:val="2"/>
          </w:tcPr>
          <w:p>
            <w:pPr>
              <w:jc w:val="right"/>
              <w:ind w:right="20"/>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F-3</w:t>
              </w:r>
            </w:hyperlink>
          </w:p>
        </w:tc>
      </w:tr>
      <w:tr>
        <w:trPr>
          <w:trHeight w:val="209"/>
        </w:trPr>
        <w:tc>
          <w:tcPr>
            <w:tcW w:w="9240" w:type="dxa"/>
            <w:vAlign w:val="bottom"/>
            <w:gridSpan w:val="10"/>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Report of Independent Registered Public Accounting Firm</w:t>
              </w:r>
            </w:hyperlink>
          </w:p>
        </w:tc>
        <w:tc>
          <w:tcPr>
            <w:tcW w:w="1260" w:type="dxa"/>
            <w:vAlign w:val="bottom"/>
          </w:tcPr>
          <w:p>
            <w:pPr>
              <w:spacing w:after="0"/>
              <w:rPr>
                <w:sz w:val="18"/>
                <w:szCs w:val="18"/>
                <w:color w:val="auto"/>
              </w:rPr>
            </w:pPr>
          </w:p>
        </w:tc>
        <w:tc>
          <w:tcPr>
            <w:tcW w:w="400" w:type="dxa"/>
            <w:vAlign w:val="bottom"/>
            <w:gridSpan w:val="3"/>
          </w:tcPr>
          <w:p>
            <w:pPr>
              <w:jc w:val="right"/>
              <w:ind w:right="20"/>
              <w:spacing w:after="0"/>
              <w:rPr>
                <w:rFonts w:ascii="Arial" w:cs="Arial" w:eastAsia="Arial" w:hAnsi="Arial"/>
                <w:sz w:val="18"/>
                <w:szCs w:val="18"/>
                <w:color w:val="0000FF"/>
                <w:w w:val="97"/>
              </w:rPr>
            </w:pPr>
            <w:hyperlink w:anchor="page61">
              <w:r>
                <w:rPr>
                  <w:rFonts w:ascii="Arial" w:cs="Arial" w:eastAsia="Arial" w:hAnsi="Arial"/>
                  <w:sz w:val="18"/>
                  <w:szCs w:val="18"/>
                  <w:color w:val="0000FF"/>
                  <w:w w:val="97"/>
                </w:rPr>
                <w:t>F-20</w:t>
              </w:r>
            </w:hyperlink>
          </w:p>
        </w:tc>
      </w:tr>
      <w:tr>
        <w:trPr>
          <w:trHeight w:val="264"/>
        </w:trPr>
        <w:tc>
          <w:tcPr>
            <w:tcW w:w="9240" w:type="dxa"/>
            <w:vAlign w:val="bottom"/>
            <w:gridSpan w:val="10"/>
          </w:tcPr>
          <w:p>
            <w:pPr>
              <w:spacing w:after="0"/>
              <w:rPr>
                <w:sz w:val="20"/>
                <w:szCs w:val="20"/>
                <w:color w:val="auto"/>
              </w:rPr>
            </w:pPr>
            <w:r>
              <w:rPr>
                <w:rFonts w:ascii="Arial" w:cs="Arial" w:eastAsia="Arial" w:hAnsi="Arial"/>
                <w:sz w:val="18"/>
                <w:szCs w:val="18"/>
                <w:color w:val="auto"/>
              </w:rPr>
              <w:t>Annual Financial Statements:</w:t>
            </w:r>
          </w:p>
        </w:tc>
        <w:tc>
          <w:tcPr>
            <w:tcW w:w="1260" w:type="dxa"/>
            <w:vAlign w:val="bottom"/>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80" w:type="dxa"/>
            <w:vAlign w:val="bottom"/>
            <w:tcBorders>
              <w:top w:val="single" w:sz="8" w:color="0000FF"/>
            </w:tcBorders>
          </w:tcPr>
          <w:p>
            <w:pPr>
              <w:spacing w:after="0"/>
              <w:rPr>
                <w:sz w:val="22"/>
                <w:szCs w:val="22"/>
                <w:color w:val="auto"/>
              </w:rPr>
            </w:pPr>
          </w:p>
        </w:tc>
        <w:tc>
          <w:tcPr>
            <w:tcW w:w="20" w:type="dxa"/>
            <w:vAlign w:val="bottom"/>
          </w:tcPr>
          <w:p>
            <w:pPr>
              <w:spacing w:after="0"/>
              <w:rPr>
                <w:sz w:val="22"/>
                <w:szCs w:val="22"/>
                <w:color w:val="auto"/>
              </w:rPr>
            </w:pPr>
          </w:p>
        </w:tc>
      </w:tr>
      <w:tr>
        <w:trPr>
          <w:trHeight w:val="202"/>
        </w:trPr>
        <w:tc>
          <w:tcPr>
            <w:tcW w:w="320" w:type="dxa"/>
            <w:vAlign w:val="bottom"/>
          </w:tcPr>
          <w:p>
            <w:pPr>
              <w:spacing w:after="0"/>
              <w:rPr>
                <w:sz w:val="17"/>
                <w:szCs w:val="17"/>
                <w:color w:val="auto"/>
              </w:rPr>
            </w:pPr>
          </w:p>
        </w:tc>
        <w:tc>
          <w:tcPr>
            <w:tcW w:w="8920" w:type="dxa"/>
            <w:vAlign w:val="bottom"/>
            <w:gridSpan w:val="9"/>
          </w:tcPr>
          <w:p>
            <w:pPr>
              <w:ind w:left="20"/>
              <w:spacing w:after="0" w:line="202" w:lineRule="exact"/>
              <w:rPr>
                <w:rFonts w:ascii="Arial" w:cs="Arial" w:eastAsia="Arial" w:hAnsi="Arial"/>
                <w:sz w:val="18"/>
                <w:szCs w:val="18"/>
                <w:u w:val="single" w:color="auto"/>
                <w:color w:val="0000FF"/>
              </w:rPr>
            </w:pPr>
            <w:hyperlink w:anchor="page65">
              <w:r>
                <w:rPr>
                  <w:rFonts w:ascii="Arial" w:cs="Arial" w:eastAsia="Arial" w:hAnsi="Arial"/>
                  <w:sz w:val="18"/>
                  <w:szCs w:val="18"/>
                  <w:u w:val="single" w:color="auto"/>
                  <w:color w:val="0000FF"/>
                </w:rPr>
                <w:t>Consolidated Balance Sheets as of March 31, 2020 and 2019</w:t>
              </w:r>
            </w:hyperlink>
          </w:p>
        </w:tc>
        <w:tc>
          <w:tcPr>
            <w:tcW w:w="1260" w:type="dxa"/>
            <w:vAlign w:val="bottom"/>
          </w:tcPr>
          <w:p>
            <w:pPr>
              <w:spacing w:after="0"/>
              <w:rPr>
                <w:sz w:val="17"/>
                <w:szCs w:val="17"/>
                <w:color w:val="auto"/>
              </w:rPr>
            </w:pPr>
          </w:p>
        </w:tc>
        <w:tc>
          <w:tcPr>
            <w:tcW w:w="400" w:type="dxa"/>
            <w:vAlign w:val="bottom"/>
            <w:tcBorders>
              <w:bottom w:val="single" w:sz="8" w:color="0000FF"/>
            </w:tcBorders>
            <w:gridSpan w:val="3"/>
          </w:tcPr>
          <w:p>
            <w:pPr>
              <w:jc w:val="right"/>
              <w:ind w:right="20"/>
              <w:spacing w:after="0" w:line="202" w:lineRule="exact"/>
              <w:rPr>
                <w:rFonts w:ascii="Arial" w:cs="Arial" w:eastAsia="Arial" w:hAnsi="Arial"/>
                <w:sz w:val="18"/>
                <w:szCs w:val="18"/>
                <w:color w:val="0000FF"/>
                <w:w w:val="97"/>
              </w:rPr>
            </w:pPr>
            <w:hyperlink w:anchor="page65">
              <w:r>
                <w:rPr>
                  <w:rFonts w:ascii="Arial" w:cs="Arial" w:eastAsia="Arial" w:hAnsi="Arial"/>
                  <w:sz w:val="18"/>
                  <w:szCs w:val="18"/>
                  <w:color w:val="0000FF"/>
                  <w:w w:val="97"/>
                </w:rPr>
                <w:t>F-23</w:t>
              </w:r>
            </w:hyperlink>
          </w:p>
        </w:tc>
      </w:tr>
      <w:tr>
        <w:trPr>
          <w:trHeight w:val="210"/>
        </w:trPr>
        <w:tc>
          <w:tcPr>
            <w:tcW w:w="320" w:type="dxa"/>
            <w:vAlign w:val="bottom"/>
          </w:tcPr>
          <w:p>
            <w:pPr>
              <w:spacing w:after="0"/>
              <w:rPr>
                <w:sz w:val="18"/>
                <w:szCs w:val="18"/>
                <w:color w:val="auto"/>
              </w:rPr>
            </w:pPr>
          </w:p>
        </w:tc>
        <w:tc>
          <w:tcPr>
            <w:tcW w:w="8920" w:type="dxa"/>
            <w:vAlign w:val="bottom"/>
            <w:gridSpan w:val="9"/>
          </w:tcPr>
          <w:p>
            <w:pPr>
              <w:ind w:left="20"/>
              <w:spacing w:after="0"/>
              <w:rPr>
                <w:rFonts w:ascii="Arial" w:cs="Arial" w:eastAsia="Arial" w:hAnsi="Arial"/>
                <w:sz w:val="18"/>
                <w:szCs w:val="18"/>
                <w:color w:val="0000FF"/>
              </w:rPr>
            </w:pPr>
            <w:hyperlink w:anchor="page65">
              <w:r>
                <w:rPr>
                  <w:rFonts w:ascii="Arial" w:cs="Arial" w:eastAsia="Arial" w:hAnsi="Arial"/>
                  <w:sz w:val="18"/>
                  <w:szCs w:val="18"/>
                  <w:u w:val="single" w:color="auto"/>
                  <w:color w:val="0000FF"/>
                </w:rPr>
                <w:t xml:space="preserve">Consolidated Statements of Operations for the years ended March 31, </w:t>
              </w:r>
            </w:hyperlink>
            <w:r>
              <w:rPr>
                <w:rFonts w:ascii="Arial" w:cs="Arial" w:eastAsia="Arial" w:hAnsi="Arial"/>
                <w:sz w:val="18"/>
                <w:szCs w:val="18"/>
                <w:color w:val="0000FF"/>
              </w:rPr>
              <w:t xml:space="preserve">2020, </w:t>
            </w:r>
            <w:hyperlink w:anchor="page65">
              <w:r>
                <w:rPr>
                  <w:rFonts w:ascii="Arial" w:cs="Arial" w:eastAsia="Arial" w:hAnsi="Arial"/>
                  <w:sz w:val="18"/>
                  <w:szCs w:val="18"/>
                  <w:color w:val="0000FF"/>
                </w:rPr>
                <w:t>2019 and 2018</w:t>
              </w:r>
            </w:hyperlink>
          </w:p>
        </w:tc>
        <w:tc>
          <w:tcPr>
            <w:tcW w:w="1260" w:type="dxa"/>
            <w:vAlign w:val="bottom"/>
          </w:tcPr>
          <w:p>
            <w:pPr>
              <w:spacing w:after="0"/>
              <w:rPr>
                <w:sz w:val="18"/>
                <w:szCs w:val="18"/>
                <w:color w:val="auto"/>
              </w:rPr>
            </w:pPr>
          </w:p>
        </w:tc>
        <w:tc>
          <w:tcPr>
            <w:tcW w:w="400" w:type="dxa"/>
            <w:vAlign w:val="bottom"/>
            <w:gridSpan w:val="3"/>
          </w:tcPr>
          <w:p>
            <w:pPr>
              <w:jc w:val="right"/>
              <w:ind w:right="20"/>
              <w:spacing w:after="0"/>
              <w:rPr>
                <w:rFonts w:ascii="Arial" w:cs="Arial" w:eastAsia="Arial" w:hAnsi="Arial"/>
                <w:sz w:val="18"/>
                <w:szCs w:val="18"/>
                <w:color w:val="0000FF"/>
                <w:w w:val="97"/>
              </w:rPr>
            </w:pPr>
            <w:hyperlink w:anchor="page65">
              <w:r>
                <w:rPr>
                  <w:rFonts w:ascii="Arial" w:cs="Arial" w:eastAsia="Arial" w:hAnsi="Arial"/>
                  <w:sz w:val="18"/>
                  <w:szCs w:val="18"/>
                  <w:color w:val="0000FF"/>
                  <w:w w:val="97"/>
                </w:rPr>
                <w:t>F-24</w:t>
              </w:r>
            </w:hyperlink>
          </w:p>
        </w:tc>
      </w:tr>
      <w:tr>
        <w:trPr>
          <w:trHeight w:val="20"/>
        </w:trPr>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60" w:type="dxa"/>
            <w:vAlign w:val="bottom"/>
            <w:tcBorders>
              <w:right w:val="single" w:sz="8" w:color="0000FF"/>
            </w:tcBorders>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920" w:type="dxa"/>
            <w:vAlign w:val="bottom"/>
            <w:gridSpan w:val="9"/>
          </w:tcPr>
          <w:p>
            <w:pPr>
              <w:ind w:left="20"/>
              <w:spacing w:after="0"/>
              <w:rPr>
                <w:rFonts w:ascii="Arial" w:cs="Arial" w:eastAsia="Arial" w:hAnsi="Arial"/>
                <w:sz w:val="18"/>
                <w:szCs w:val="18"/>
                <w:color w:val="0000FF"/>
              </w:rPr>
            </w:pPr>
            <w:hyperlink w:anchor="page66">
              <w:r>
                <w:rPr>
                  <w:rFonts w:ascii="Arial" w:cs="Arial" w:eastAsia="Arial" w:hAnsi="Arial"/>
                  <w:sz w:val="18"/>
                  <w:szCs w:val="18"/>
                  <w:u w:val="single" w:color="auto"/>
                  <w:color w:val="0000FF"/>
                </w:rPr>
                <w:t>Consolidated Statements of Comprehensive Income (Loss) for the years ended March 31, 2020,</w:t>
              </w:r>
              <w:r>
                <w:rPr>
                  <w:rFonts w:ascii="Arial" w:cs="Arial" w:eastAsia="Arial" w:hAnsi="Arial"/>
                  <w:sz w:val="18"/>
                  <w:szCs w:val="18"/>
                  <w:color w:val="0000FF"/>
                </w:rPr>
                <w:t xml:space="preserve"> 2019 and</w:t>
              </w:r>
            </w:hyperlink>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56"/>
        </w:trPr>
        <w:tc>
          <w:tcPr>
            <w:tcW w:w="320" w:type="dxa"/>
            <w:vAlign w:val="bottom"/>
          </w:tcPr>
          <w:p>
            <w:pPr>
              <w:spacing w:after="0"/>
              <w:rPr>
                <w:sz w:val="13"/>
                <w:szCs w:val="13"/>
                <w:color w:val="auto"/>
              </w:rPr>
            </w:pPr>
          </w:p>
        </w:tc>
        <w:tc>
          <w:tcPr>
            <w:tcW w:w="460" w:type="dxa"/>
            <w:vAlign w:val="bottom"/>
            <w:tcBorders>
              <w:bottom w:val="single" w:sz="8" w:color="0000FF"/>
            </w:tcBorders>
          </w:tcPr>
          <w:p>
            <w:pPr>
              <w:ind w:left="20"/>
              <w:spacing w:after="0" w:line="157" w:lineRule="exact"/>
              <w:rPr>
                <w:rFonts w:ascii="Arial" w:cs="Arial" w:eastAsia="Arial" w:hAnsi="Arial"/>
                <w:sz w:val="18"/>
                <w:szCs w:val="18"/>
                <w:color w:val="0000FF"/>
              </w:rPr>
            </w:pPr>
            <w:hyperlink w:anchor="page66">
              <w:r>
                <w:rPr>
                  <w:rFonts w:ascii="Arial" w:cs="Arial" w:eastAsia="Arial" w:hAnsi="Arial"/>
                  <w:sz w:val="18"/>
                  <w:szCs w:val="18"/>
                  <w:color w:val="0000FF"/>
                </w:rPr>
                <w:t>2018</w:t>
              </w:r>
            </w:hyperlink>
          </w:p>
        </w:tc>
        <w:tc>
          <w:tcPr>
            <w:tcW w:w="6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Borders>
              <w:bottom w:val="single" w:sz="8" w:color="0000FF"/>
            </w:tcBorders>
            <w:gridSpan w:val="2"/>
          </w:tcPr>
          <w:p>
            <w:pPr>
              <w:jc w:val="right"/>
              <w:spacing w:after="0" w:line="157" w:lineRule="exact"/>
              <w:rPr>
                <w:rFonts w:ascii="Arial" w:cs="Arial" w:eastAsia="Arial" w:hAnsi="Arial"/>
                <w:sz w:val="18"/>
                <w:szCs w:val="18"/>
                <w:color w:val="0000FF"/>
                <w:w w:val="97"/>
              </w:rPr>
            </w:pPr>
            <w:hyperlink w:anchor="page66">
              <w:r>
                <w:rPr>
                  <w:rFonts w:ascii="Arial" w:cs="Arial" w:eastAsia="Arial" w:hAnsi="Arial"/>
                  <w:sz w:val="18"/>
                  <w:szCs w:val="18"/>
                  <w:color w:val="0000FF"/>
                  <w:w w:val="97"/>
                </w:rPr>
                <w:t>F-25</w:t>
              </w:r>
            </w:hyperlink>
          </w:p>
        </w:tc>
        <w:tc>
          <w:tcPr>
            <w:tcW w:w="20" w:type="dxa"/>
            <w:vAlign w:val="bottom"/>
          </w:tcPr>
          <w:p>
            <w:pPr>
              <w:spacing w:after="0"/>
              <w:rPr>
                <w:sz w:val="13"/>
                <w:szCs w:val="13"/>
                <w:color w:val="auto"/>
              </w:rPr>
            </w:pPr>
          </w:p>
        </w:tc>
      </w:tr>
      <w:tr>
        <w:trPr>
          <w:trHeight w:val="209"/>
        </w:trPr>
        <w:tc>
          <w:tcPr>
            <w:tcW w:w="320" w:type="dxa"/>
            <w:vAlign w:val="bottom"/>
          </w:tcPr>
          <w:p>
            <w:pPr>
              <w:spacing w:after="0"/>
              <w:rPr>
                <w:sz w:val="18"/>
                <w:szCs w:val="18"/>
                <w:color w:val="auto"/>
              </w:rPr>
            </w:pPr>
          </w:p>
        </w:tc>
        <w:tc>
          <w:tcPr>
            <w:tcW w:w="8920" w:type="dxa"/>
            <w:vAlign w:val="bottom"/>
            <w:gridSpan w:val="9"/>
          </w:tcPr>
          <w:p>
            <w:pPr>
              <w:ind w:left="20"/>
              <w:spacing w:after="0"/>
              <w:rPr>
                <w:rFonts w:ascii="Arial" w:cs="Arial" w:eastAsia="Arial" w:hAnsi="Arial"/>
                <w:sz w:val="18"/>
                <w:szCs w:val="18"/>
                <w:color w:val="0000FF"/>
              </w:rPr>
            </w:pPr>
            <w:hyperlink w:anchor="page67">
              <w:r>
                <w:rPr>
                  <w:rFonts w:ascii="Arial" w:cs="Arial" w:eastAsia="Arial" w:hAnsi="Arial"/>
                  <w:sz w:val="18"/>
                  <w:szCs w:val="18"/>
                  <w:u w:val="single" w:color="auto"/>
                  <w:color w:val="0000FF"/>
                </w:rPr>
                <w:t xml:space="preserve">Consolidated Statements of Stockholders’ Equity for the years ended March 31, </w:t>
              </w:r>
            </w:hyperlink>
            <w:r>
              <w:rPr>
                <w:rFonts w:ascii="Arial" w:cs="Arial" w:eastAsia="Arial" w:hAnsi="Arial"/>
                <w:sz w:val="18"/>
                <w:szCs w:val="18"/>
                <w:color w:val="0000FF"/>
              </w:rPr>
              <w:t xml:space="preserve">2020, </w:t>
            </w:r>
            <w:hyperlink w:anchor="page67">
              <w:r>
                <w:rPr>
                  <w:rFonts w:ascii="Arial" w:cs="Arial" w:eastAsia="Arial" w:hAnsi="Arial"/>
                  <w:sz w:val="18"/>
                  <w:szCs w:val="18"/>
                  <w:color w:val="0000FF"/>
                </w:rPr>
                <w:t>2019 and 2018</w:t>
              </w:r>
            </w:hyperlink>
          </w:p>
        </w:tc>
        <w:tc>
          <w:tcPr>
            <w:tcW w:w="1260" w:type="dxa"/>
            <w:vAlign w:val="bottom"/>
          </w:tcPr>
          <w:p>
            <w:pPr>
              <w:spacing w:after="0"/>
              <w:rPr>
                <w:sz w:val="18"/>
                <w:szCs w:val="18"/>
                <w:color w:val="auto"/>
              </w:rPr>
            </w:pPr>
          </w:p>
        </w:tc>
        <w:tc>
          <w:tcPr>
            <w:tcW w:w="400" w:type="dxa"/>
            <w:vAlign w:val="bottom"/>
            <w:gridSpan w:val="3"/>
          </w:tcPr>
          <w:p>
            <w:pPr>
              <w:jc w:val="right"/>
              <w:ind w:right="20"/>
              <w:spacing w:after="0"/>
              <w:rPr>
                <w:rFonts w:ascii="Arial" w:cs="Arial" w:eastAsia="Arial" w:hAnsi="Arial"/>
                <w:sz w:val="18"/>
                <w:szCs w:val="18"/>
                <w:color w:val="0000FF"/>
                <w:w w:val="97"/>
              </w:rPr>
            </w:pPr>
            <w:hyperlink w:anchor="page67">
              <w:r>
                <w:rPr>
                  <w:rFonts w:ascii="Arial" w:cs="Arial" w:eastAsia="Arial" w:hAnsi="Arial"/>
                  <w:sz w:val="18"/>
                  <w:szCs w:val="18"/>
                  <w:color w:val="0000FF"/>
                  <w:w w:val="97"/>
                </w:rPr>
                <w:t>F-26</w:t>
              </w:r>
            </w:hyperlink>
          </w:p>
        </w:tc>
      </w:tr>
      <w:tr>
        <w:trPr>
          <w:trHeight w:val="20"/>
        </w:trPr>
        <w:tc>
          <w:tcPr>
            <w:tcW w:w="32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920" w:type="dxa"/>
            <w:vAlign w:val="bottom"/>
            <w:gridSpan w:val="9"/>
          </w:tcPr>
          <w:p>
            <w:pPr>
              <w:ind w:left="20"/>
              <w:spacing w:after="0"/>
              <w:rPr>
                <w:rFonts w:ascii="Arial" w:cs="Arial" w:eastAsia="Arial" w:hAnsi="Arial"/>
                <w:sz w:val="18"/>
                <w:szCs w:val="18"/>
                <w:color w:val="0000FF"/>
              </w:rPr>
            </w:pPr>
            <w:hyperlink w:anchor="page69">
              <w:r>
                <w:rPr>
                  <w:rFonts w:ascii="Arial" w:cs="Arial" w:eastAsia="Arial" w:hAnsi="Arial"/>
                  <w:sz w:val="18"/>
                  <w:szCs w:val="18"/>
                  <w:u w:val="single" w:color="auto"/>
                  <w:color w:val="0000FF"/>
                </w:rPr>
                <w:t xml:space="preserve">Consolidated Statements of Cash Flows for the years ended March 31, </w:t>
              </w:r>
            </w:hyperlink>
            <w:r>
              <w:rPr>
                <w:rFonts w:ascii="Arial" w:cs="Arial" w:eastAsia="Arial" w:hAnsi="Arial"/>
                <w:sz w:val="18"/>
                <w:szCs w:val="18"/>
                <w:color w:val="0000FF"/>
              </w:rPr>
              <w:t xml:space="preserve">2020, </w:t>
            </w:r>
            <w:hyperlink w:anchor="page69">
              <w:r>
                <w:rPr>
                  <w:rFonts w:ascii="Arial" w:cs="Arial" w:eastAsia="Arial" w:hAnsi="Arial"/>
                  <w:sz w:val="18"/>
                  <w:szCs w:val="18"/>
                  <w:color w:val="0000FF"/>
                </w:rPr>
                <w:t>2019 and 2018</w:t>
              </w:r>
            </w:hyperlink>
          </w:p>
        </w:tc>
        <w:tc>
          <w:tcPr>
            <w:tcW w:w="1260" w:type="dxa"/>
            <w:vAlign w:val="bottom"/>
          </w:tcPr>
          <w:p>
            <w:pPr>
              <w:spacing w:after="0"/>
              <w:rPr>
                <w:sz w:val="18"/>
                <w:szCs w:val="18"/>
                <w:color w:val="auto"/>
              </w:rPr>
            </w:pPr>
          </w:p>
        </w:tc>
        <w:tc>
          <w:tcPr>
            <w:tcW w:w="400" w:type="dxa"/>
            <w:vAlign w:val="bottom"/>
            <w:gridSpan w:val="3"/>
          </w:tcPr>
          <w:p>
            <w:pPr>
              <w:jc w:val="right"/>
              <w:ind w:right="20"/>
              <w:spacing w:after="0"/>
              <w:rPr>
                <w:rFonts w:ascii="Arial" w:cs="Arial" w:eastAsia="Arial" w:hAnsi="Arial"/>
                <w:sz w:val="18"/>
                <w:szCs w:val="18"/>
                <w:color w:val="0000FF"/>
                <w:w w:val="97"/>
              </w:rPr>
            </w:pPr>
            <w:hyperlink w:anchor="page69">
              <w:r>
                <w:rPr>
                  <w:rFonts w:ascii="Arial" w:cs="Arial" w:eastAsia="Arial" w:hAnsi="Arial"/>
                  <w:sz w:val="18"/>
                  <w:szCs w:val="18"/>
                  <w:color w:val="0000FF"/>
                  <w:w w:val="97"/>
                </w:rPr>
                <w:t>F-28</w:t>
              </w:r>
            </w:hyperlink>
          </w:p>
        </w:tc>
      </w:tr>
      <w:tr>
        <w:trPr>
          <w:trHeight w:val="210"/>
        </w:trPr>
        <w:tc>
          <w:tcPr>
            <w:tcW w:w="6840" w:type="dxa"/>
            <w:vAlign w:val="bottom"/>
            <w:gridSpan w:val="3"/>
          </w:tcPr>
          <w:p>
            <w:pPr>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Notes to Consolidated Financial Statements</w:t>
              </w:r>
            </w:hyperlink>
          </w:p>
        </w:tc>
        <w:tc>
          <w:tcPr>
            <w:tcW w:w="940" w:type="dxa"/>
            <w:vAlign w:val="bottom"/>
            <w:tcBorders>
              <w:top w:val="single" w:sz="8" w:color="0000FF"/>
            </w:tcBorders>
            <w:gridSpan w:val="3"/>
          </w:tcPr>
          <w:p>
            <w:pPr>
              <w:spacing w:after="0"/>
              <w:rPr>
                <w:sz w:val="18"/>
                <w:szCs w:val="18"/>
                <w:color w:val="auto"/>
              </w:rPr>
            </w:pPr>
          </w:p>
        </w:tc>
        <w:tc>
          <w:tcPr>
            <w:tcW w:w="1460" w:type="dxa"/>
            <w:vAlign w:val="bottom"/>
            <w:gridSpan w:val="4"/>
          </w:tcPr>
          <w:p>
            <w:pPr>
              <w:spacing w:after="0"/>
              <w:rPr>
                <w:sz w:val="18"/>
                <w:szCs w:val="18"/>
                <w:color w:val="auto"/>
              </w:rPr>
            </w:pPr>
          </w:p>
        </w:tc>
        <w:tc>
          <w:tcPr>
            <w:tcW w:w="1260" w:type="dxa"/>
            <w:vAlign w:val="bottom"/>
          </w:tcPr>
          <w:p>
            <w:pPr>
              <w:spacing w:after="0"/>
              <w:rPr>
                <w:sz w:val="18"/>
                <w:szCs w:val="18"/>
                <w:color w:val="auto"/>
              </w:rPr>
            </w:pPr>
          </w:p>
        </w:tc>
        <w:tc>
          <w:tcPr>
            <w:tcW w:w="3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97"/>
              </w:rPr>
            </w:pPr>
            <w:hyperlink w:anchor="page72">
              <w:r>
                <w:rPr>
                  <w:rFonts w:ascii="Arial" w:cs="Arial" w:eastAsia="Arial" w:hAnsi="Arial"/>
                  <w:sz w:val="18"/>
                  <w:szCs w:val="18"/>
                  <w:color w:val="0000FF"/>
                  <w:w w:val="97"/>
                </w:rPr>
                <w:t>F-30</w:t>
              </w:r>
            </w:hyperlink>
          </w:p>
        </w:tc>
        <w:tc>
          <w:tcPr>
            <w:tcW w:w="20" w:type="dxa"/>
            <w:vAlign w:val="bottom"/>
            <w:tcBorders>
              <w:bottom w:val="single" w:sz="8" w:color="0000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-1448435</wp:posOffset>
            </wp:positionV>
            <wp:extent cx="31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40" w:top="927" w:right="659" w:bottom="1440" w:gutter="0" w:footer="0" w:header="0"/>
        </w:sectPr>
      </w:pPr>
    </w:p>
    <w:bookmarkStart w:id="43" w:name="page44"/>
    <w:bookmarkEnd w:id="43"/>
    <w:p>
      <w:pPr>
        <w:jc w:val="center"/>
        <w:ind w:right="-59"/>
        <w:spacing w:after="0"/>
        <w:rPr>
          <w:sz w:val="20"/>
          <w:szCs w:val="20"/>
          <w:color w:val="auto"/>
        </w:rPr>
      </w:pPr>
      <w:r>
        <w:rPr>
          <w:rFonts w:ascii="Arial" w:cs="Arial" w:eastAsia="Arial" w:hAnsi="Arial"/>
          <w:sz w:val="18"/>
          <w:szCs w:val="18"/>
          <w:b w:val="1"/>
          <w:bCs w:val="1"/>
          <w:u w:val="single" w:color="auto"/>
          <w:color w:val="auto"/>
        </w:rPr>
        <w:t>LIVERAMP HOLDINGS,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SELECTED FINANCIAL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March 31,</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 of operations data:</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140" w:type="dxa"/>
            <w:vAlign w:val="bottom"/>
          </w:tcPr>
          <w:p>
            <w:pPr>
              <w:ind w:left="2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380,572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285,620</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220,101</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174,760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166,551</w:t>
            </w:r>
          </w:p>
        </w:tc>
        <w:tc>
          <w:tcPr>
            <w:tcW w:w="0" w:type="dxa"/>
            <w:vAlign w:val="bottom"/>
          </w:tcPr>
          <w:p>
            <w:pPr>
              <w:spacing w:after="0"/>
              <w:rPr>
                <w:sz w:val="1"/>
                <w:szCs w:val="1"/>
                <w:color w:val="auto"/>
              </w:rPr>
            </w:pP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(125,261)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(133,947)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(67,299)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(85,576)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(109,211)</w:t>
            </w:r>
          </w:p>
        </w:tc>
        <w:tc>
          <w:tcPr>
            <w:tcW w:w="0" w:type="dxa"/>
            <w:vAlign w:val="bottom"/>
          </w:tcPr>
          <w:p>
            <w:pPr>
              <w:spacing w:after="0"/>
              <w:rPr>
                <w:sz w:val="1"/>
                <w:szCs w:val="1"/>
                <w:color w:val="auto"/>
              </w:rPr>
            </w:pPr>
          </w:p>
        </w:tc>
      </w:tr>
      <w:tr>
        <w:trPr>
          <w:trHeight w:val="229"/>
        </w:trPr>
        <w:tc>
          <w:tcPr>
            <w:tcW w:w="4140" w:type="dxa"/>
            <w:vAlign w:val="bottom"/>
          </w:tcPr>
          <w:p>
            <w:pPr>
              <w:ind w:left="220"/>
              <w:spacing w:after="0"/>
              <w:rPr>
                <w:sz w:val="20"/>
                <w:szCs w:val="20"/>
                <w:color w:val="auto"/>
              </w:rPr>
            </w:pPr>
            <w:r>
              <w:rPr>
                <w:rFonts w:ascii="Arial" w:cs="Arial" w:eastAsia="Arial" w:hAnsi="Arial"/>
                <w:sz w:val="18"/>
                <w:szCs w:val="18"/>
                <w:color w:val="auto"/>
              </w:rPr>
              <w:t>Earnings from discontinued operations, net of</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1,162,494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90,779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89,684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115,914</w:t>
            </w:r>
          </w:p>
        </w:tc>
        <w:tc>
          <w:tcPr>
            <w:tcW w:w="0" w:type="dxa"/>
            <w:vAlign w:val="bottom"/>
          </w:tcPr>
          <w:p>
            <w:pPr>
              <w:spacing w:after="0"/>
              <w:rPr>
                <w:sz w:val="1"/>
                <w:szCs w:val="1"/>
                <w:color w:val="auto"/>
              </w:rPr>
            </w:pPr>
          </w:p>
        </w:tc>
      </w:tr>
      <w:tr>
        <w:trPr>
          <w:trHeight w:val="282"/>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(124,511)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1,028,547</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23,480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4,108</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 from discontinued operations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82"/>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(loss)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50"/>
        </w:trPr>
        <w:tc>
          <w:tcPr>
            <w:tcW w:w="4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earnings from discontinued operations</w:t>
            </w: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82"/>
        </w:trPr>
        <w:tc>
          <w:tcPr>
            <w:tcW w:w="4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LiveRamp has not paid cash dividends for any of the periods reported.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As of March 31,</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r>
      <w:tr>
        <w:trPr>
          <w:trHeight w:val="243"/>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sheet data:</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0"/>
        </w:trPr>
        <w:tc>
          <w:tcPr>
            <w:tcW w:w="4120" w:type="dxa"/>
            <w:vAlign w:val="bottom"/>
          </w:tcPr>
          <w:p>
            <w:pPr>
              <w:ind w:left="220"/>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896,393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1,192,076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360,589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368,946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376,010</w:t>
            </w:r>
          </w:p>
        </w:tc>
      </w:tr>
      <w:tr>
        <w:trPr>
          <w:trHeight w:val="263"/>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161,382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95,118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178,599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230,640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224,000</w:t>
            </w:r>
          </w:p>
        </w:tc>
      </w:tr>
      <w:tr>
        <w:trPr>
          <w:trHeight w:val="250"/>
        </w:trPr>
        <w:tc>
          <w:tcPr>
            <w:tcW w:w="412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1,301,889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1,472,911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1,209,497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1,234,965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1,149,849</w:t>
            </w:r>
          </w:p>
        </w:tc>
      </w:tr>
      <w:tr>
        <w:trPr>
          <w:trHeight w:val="263"/>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excluding current installments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227,837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189,241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157,897</w:t>
            </w:r>
          </w:p>
        </w:tc>
      </w:tr>
      <w:tr>
        <w:trPr>
          <w:trHeight w:val="243"/>
        </w:trPr>
        <w:tc>
          <w:tcPr>
            <w:tcW w:w="4120" w:type="dxa"/>
            <w:vAlign w:val="bottom"/>
          </w:tcPr>
          <w:p>
            <w:pPr>
              <w:ind w:left="220"/>
              <w:spacing w:after="0"/>
              <w:rPr>
                <w:sz w:val="20"/>
                <w:szCs w:val="20"/>
                <w:color w:val="auto"/>
              </w:rPr>
            </w:pPr>
            <w:r>
              <w:rPr>
                <w:rFonts w:ascii="Arial" w:cs="Arial" w:eastAsia="Arial" w:hAnsi="Arial"/>
                <w:sz w:val="18"/>
                <w:szCs w:val="18"/>
                <w:color w:val="auto"/>
              </w:rPr>
              <w:t>Total equity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1,087,512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1,330,832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749,095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738,980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3"/>
              <w:spacing w:after="0"/>
              <w:rPr>
                <w:sz w:val="20"/>
                <w:szCs w:val="20"/>
                <w:color w:val="auto"/>
              </w:rPr>
            </w:pPr>
            <w:r>
              <w:rPr>
                <w:rFonts w:ascii="Arial" w:cs="Arial" w:eastAsia="Arial" w:hAnsi="Arial"/>
                <w:sz w:val="18"/>
                <w:szCs w:val="18"/>
                <w:color w:val="auto"/>
              </w:rPr>
              <w:t>698,968</w:t>
            </w:r>
          </w:p>
        </w:tc>
      </w:tr>
    </w:tbl>
    <w:p>
      <w:pPr>
        <w:spacing w:after="0" w:line="33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The selected financial data for the periods reported above has been derived from the consolidated financial statements and, unless otherwise indicated, reflect the Company’s continuing operations. Refer to Note 6 – Discontinued Operations for additional information regarding discontinued operations.</w:t>
      </w:r>
    </w:p>
    <w:p>
      <w:pPr>
        <w:spacing w:after="0" w:line="202"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This information should be read in conjunction with “Management’s Discussion and Analysis of Financial Condition and Results of Operations” and the consolidated financial statements and related notes contained in this report. The historical results are not necessarily indicative of results to be expected in any future period.</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0"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involve risks and uncertainties. Factors that could cause or contribute to these differences include those discussed below and elsewhere in this Annual Report on Form 10-K, particularly in the section titled "Item 1A. Risk Factors".</w:t>
      </w:r>
    </w:p>
    <w:p>
      <w:pPr>
        <w:spacing w:after="0" w:line="2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begin Management’s Discussion and Analysis of Financial Condition and Results of Operations with an introduction and overview, including our operating segment, sources of revenue, summary results and notable events. This overview is followed by a summary of our critical accounting policies and estimates that we believe are important to understanding the assumptions and judgments incorporated in our reported financial results. We then provide a more detailed analysis of our results of operations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Introduction and Overview</w:t>
      </w:r>
    </w:p>
    <w:p>
      <w:pPr>
        <w:spacing w:after="0" w:line="27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September 20, 2018, we implemented a holding company reorganization, as a result of which Acxiom Holdings, Inc. became the successor issuer to Acxiom Corporation. On October 1, 2018, we changed our name to LiveRamp Holdings, Inc. ("LiveRamp"). References to "we", "us", "our" or the "Company" for events that occurred prior to September 20, 2018 refer to Acxiom Corporation and its subsidiaries; for events that occurred from September 20, 2018 to October 1, 2018, to Acxiom Holdings, Inc. and its subsidiaries; and after October 1, 2018, to LiveRamp Holdings, Inc. and its subsidiaries.</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LiveRamp is a global technology company with a vision of making it safe and easy for companies to use data effectively. We provide a best-in-class enterprise data connectivity platform that helps organizations better leverage customer data within and outside their four walls. Powered by core identity capabilities and an extensive network, LiveRamp enables companies and their partners to better connect, control, and activate data to transform customer experiences and generate more valuable business outcomes.</w:t>
      </w:r>
    </w:p>
    <w:p>
      <w:pPr>
        <w:spacing w:after="0" w:line="2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client base from locations in the United States, Europe, and the Asia-Pacific (“APAC”) region. Our direct client list includes many of the world’s largest and best-known brands across most major industry verticals, including but not limited to financial, insurance and investment services, retail, automotive, telecommunications, high tech, consumer packaged goods, healthcare, travel, entertainment, non-profit, and government. Through our extensive reseller and partnership network, we serve thousands of additional companies, establishing LiveRamp as a foundational and neutral enabler of the customer experience economy.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w:t>
      </w:r>
    </w:p>
    <w:p>
      <w:pPr>
        <w:spacing w:after="0" w:line="2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Company operates as one operating segment. An operating segment is defined as a component of an enterprise for which separate financial information is evaluated regularly by the chief operating decision maker. Our chief operating decision maker evaluates our financial information and resources and assesses the performance of these resources on a consolidated basis. Since we operate as one operating segment, all required financial segment information can be found in the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25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 xml:space="preserve">LiveRamp recognizes revenue from the following sources: (i) </w:t>
      </w:r>
      <w:r>
        <w:rPr>
          <w:rFonts w:ascii="Arial" w:cs="Arial" w:eastAsia="Arial" w:hAnsi="Arial"/>
          <w:sz w:val="18"/>
          <w:szCs w:val="18"/>
          <w:b w:val="1"/>
          <w:bCs w:val="1"/>
          <w:color w:val="auto"/>
        </w:rPr>
        <w:t>subscription revenue,</w:t>
      </w:r>
      <w:r>
        <w:rPr>
          <w:rFonts w:ascii="Arial" w:cs="Arial" w:eastAsia="Arial" w:hAnsi="Arial"/>
          <w:sz w:val="18"/>
          <w:szCs w:val="18"/>
          <w:color w:val="auto"/>
        </w:rPr>
        <w:t xml:space="preserve"> which consists primarily of subscription fees from clients accessing our platform; and (ii) </w:t>
      </w:r>
      <w:r>
        <w:rPr>
          <w:rFonts w:ascii="Arial" w:cs="Arial" w:eastAsia="Arial" w:hAnsi="Arial"/>
          <w:sz w:val="18"/>
          <w:szCs w:val="18"/>
          <w:b w:val="1"/>
          <w:bCs w:val="1"/>
          <w:color w:val="auto"/>
        </w:rPr>
        <w:t>marketplace and other revenue</w:t>
      </w:r>
      <w:r>
        <w:rPr>
          <w:rFonts w:ascii="Arial" w:cs="Arial" w:eastAsia="Arial" w:hAnsi="Arial"/>
          <w:sz w:val="18"/>
          <w:szCs w:val="18"/>
          <w:color w:val="auto"/>
        </w:rPr>
        <w:t>, which primarily consists of revenue-sharing fees generated from data transactions through our LiveRamp Data Marketplace, and transactional usage-based revenue from arrangements with certain publishers and addressable TV providers. Our platform subscription pricing is tiered based on data volume supported by our platform.</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 LiveRamp Platform</w:t>
      </w:r>
    </w:p>
    <w:p>
      <w:pPr>
        <w:spacing w:after="0" w:line="27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depicted in the graphic below, we power the industry’s leading enterprise data connectivity platform. We enable organizations to access and leverage data more effectively across the applications they use to interact with their customers. A core component of our platform is the omnichannel, deterministic identity graph that sits at its center. Leveraging this knowledgebase, the LiveRamp platform resolves a customer’s data (first-, second-, or third-party) to consumer identifiers that represent real people in a way that protects consumer privacy. This omnichannel view of the consumer can then be activated across any of the 550 plus partners in our ecosystem in order to support a variety of people-based marketing solutions, including:</w:t>
      </w:r>
    </w:p>
    <w:p>
      <w:pPr>
        <w:spacing w:after="0" w:line="213" w:lineRule="exact"/>
        <w:rPr>
          <w:sz w:val="20"/>
          <w:szCs w:val="20"/>
          <w:color w:val="auto"/>
        </w:rPr>
      </w:pPr>
    </w:p>
    <w:p>
      <w:pPr>
        <w:ind w:left="660" w:right="220" w:hanging="328"/>
        <w:spacing w:after="0" w:line="274" w:lineRule="auto"/>
        <w:tabs>
          <w:tab w:leader="none" w:pos="43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Onboarding</w:t>
      </w:r>
      <w:r>
        <w:rPr>
          <w:rFonts w:ascii="Arial" w:cs="Arial" w:eastAsia="Arial" w:hAnsi="Arial"/>
          <w:sz w:val="17"/>
          <w:szCs w:val="17"/>
          <w:color w:val="auto"/>
        </w:rPr>
        <w:t>. We enable customers to leverage their first-party data in the digital and TV ecosystems through a safe and secure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matching process called data onboarding. Our technology ingests a customer’s first-party data, removes all offline data (personally identifiable information or "PII"), and replaces them with de-identified IDs called IdentityLink™, a true people-based identifier.</w:t>
      </w:r>
    </w:p>
    <w:p>
      <w:pPr>
        <w:ind w:left="660" w:right="180"/>
        <w:spacing w:after="0" w:line="261" w:lineRule="auto"/>
        <w:rPr>
          <w:rFonts w:ascii="Arial" w:cs="Arial" w:eastAsia="Arial" w:hAnsi="Arial"/>
          <w:sz w:val="17"/>
          <w:szCs w:val="17"/>
          <w:color w:val="auto"/>
        </w:rPr>
      </w:pPr>
      <w:r>
        <w:rPr>
          <w:rFonts w:ascii="Arial" w:cs="Arial" w:eastAsia="Arial" w:hAnsi="Arial"/>
          <w:sz w:val="18"/>
          <w:szCs w:val="18"/>
          <w:color w:val="auto"/>
        </w:rPr>
        <w:t>IdentityLink can then be distributed through direct integrations to the top platforms in the digital ecosystem, including leading DMPs and DSPs, publishers and social networks, personalization tools, and connected TV services.</w:t>
      </w:r>
    </w:p>
    <w:p>
      <w:pPr>
        <w:spacing w:after="0" w:line="202" w:lineRule="exact"/>
        <w:rPr>
          <w:rFonts w:ascii="Arial" w:cs="Arial" w:eastAsia="Arial" w:hAnsi="Arial"/>
          <w:sz w:val="17"/>
          <w:szCs w:val="17"/>
          <w:color w:val="auto"/>
        </w:rPr>
      </w:pPr>
    </w:p>
    <w:p>
      <w:pPr>
        <w:ind w:left="660" w:right="40" w:hanging="328"/>
        <w:spacing w:after="0" w:line="255" w:lineRule="auto"/>
        <w:tabs>
          <w:tab w:leader="none" w:pos="43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Identity Resolution</w:t>
      </w:r>
      <w:r>
        <w:rPr>
          <w:rFonts w:ascii="Arial" w:cs="Arial" w:eastAsia="Arial" w:hAnsi="Arial"/>
          <w:sz w:val="18"/>
          <w:szCs w:val="18"/>
          <w:color w:val="auto"/>
        </w:rPr>
        <w:t>. We provide enterprise-level identity resolution with accuracy, reach, privacy, flexibility and scale. Our identity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capabilities are built from two complementary graphs, combining offline data and online data and providing the highest level of accuracy while still being privacy-compliant. LiveRamp technology for PII gives brands and platforms the ability to connect and update what they know about consumers, resolving PII across enterprise databases and systems to deliver better customer experiences in a privacy-conscious manner. Our digital identity graph associates anonymous device IDs, cookie IDs and other online customer IDs from premium publishers, platforms or data providers, around an IdentityLink. This allows marketers to perform the personalized segmentation, targeting, and measurement use cases that require a consistent view of the user in non-identifiable spaces.</w:t>
      </w:r>
    </w:p>
    <w:p>
      <w:pPr>
        <w:spacing w:after="0" w:line="211" w:lineRule="exact"/>
        <w:rPr>
          <w:rFonts w:ascii="Arial" w:cs="Arial" w:eastAsia="Arial" w:hAnsi="Arial"/>
          <w:sz w:val="18"/>
          <w:szCs w:val="18"/>
          <w:color w:val="auto"/>
        </w:rPr>
      </w:pPr>
    </w:p>
    <w:p>
      <w:pPr>
        <w:ind w:left="660" w:right="320" w:hanging="328"/>
        <w:spacing w:after="0" w:line="257" w:lineRule="auto"/>
        <w:tabs>
          <w:tab w:leader="none" w:pos="43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Networks. </w:t>
      </w:r>
      <w:r>
        <w:rPr>
          <w:rFonts w:ascii="Arial" w:cs="Arial" w:eastAsia="Arial" w:hAnsi="Arial"/>
          <w:sz w:val="18"/>
          <w:szCs w:val="18"/>
          <w:color w:val="auto"/>
        </w:rPr>
        <w:t>We enable the search, discovery and distribution of data, with access to trusted industry leading third-party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globally. The LiveRamp platform allows users to organize, group and access customer data, connected via IdentityLink, to benefit from better campaign targeting and audience intelligence. Our platform also provides the tools for data providers to manage the organization, access, and operation of their data and services available across platforms, publishers, agencies, brands, and data companies. Providers and buyers can also choose to leverage our neutral data marketplace (see below for discussion on the LiveRamp Data Marketplace), featuring 150 providers across all verticals and data types.</w:t>
      </w:r>
    </w:p>
    <w:p>
      <w:pPr>
        <w:spacing w:after="0" w:line="209" w:lineRule="exact"/>
        <w:rPr>
          <w:rFonts w:ascii="Arial" w:cs="Arial" w:eastAsia="Arial" w:hAnsi="Arial"/>
          <w:sz w:val="18"/>
          <w:szCs w:val="18"/>
          <w:color w:val="auto"/>
        </w:rPr>
      </w:pPr>
    </w:p>
    <w:p>
      <w:pPr>
        <w:ind w:left="660" w:right="280" w:hanging="328"/>
        <w:spacing w:after="0" w:line="262" w:lineRule="auto"/>
        <w:tabs>
          <w:tab w:leader="none" w:pos="43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Measurement &amp; Analytics. </w:t>
      </w:r>
      <w:r>
        <w:rPr>
          <w:rFonts w:ascii="Arial" w:cs="Arial" w:eastAsia="Arial" w:hAnsi="Arial"/>
          <w:sz w:val="18"/>
          <w:szCs w:val="18"/>
          <w:color w:val="auto"/>
        </w:rPr>
        <w:t>We power highly accurate and complete measurement with the measurement vendors and partners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use. Our platform allows customers to combine disparate data files (typically ad exposure and customer events, like transactions), replacing customer identifiers with IdentityLink. Customers then can use that aggregated view of each consumer for measurement of reach and frequency, sales lift, closed loop offline to online conversion and cross-channel attribution.</w:t>
      </w:r>
    </w:p>
    <w:p>
      <w:pPr>
        <w:spacing w:after="0" w:line="203" w:lineRule="exact"/>
        <w:rPr>
          <w:rFonts w:ascii="Arial" w:cs="Arial" w:eastAsia="Arial" w:hAnsi="Arial"/>
          <w:sz w:val="18"/>
          <w:szCs w:val="18"/>
          <w:color w:val="auto"/>
        </w:rPr>
      </w:pPr>
    </w:p>
    <w:p>
      <w:pPr>
        <w:jc w:val="both"/>
        <w:ind w:left="660" w:right="240" w:hanging="328"/>
        <w:spacing w:after="0" w:line="262" w:lineRule="auto"/>
        <w:tabs>
          <w:tab w:leader="none" w:pos="43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Analytics Environments. </w:t>
      </w:r>
      <w:r>
        <w:rPr>
          <w:rFonts w:ascii="Arial" w:cs="Arial" w:eastAsia="Arial" w:hAnsi="Arial"/>
          <w:sz w:val="18"/>
          <w:szCs w:val="18"/>
          <w:color w:val="auto"/>
        </w:rPr>
        <w:t>We also help enable in-house data science analytics, providing an end-to-end customized measurement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 designed for marketers looking to create an omnichannel view of the customer journey. Leveraging our identity graph, we help organizations control and aggregate all their customer data to interrogate, explore, analyze and report within our data science environment, that powers the deep functionality of a data lake.</w:t>
      </w:r>
    </w:p>
    <w:p>
      <w:pPr>
        <w:spacing w:after="0" w:line="203" w:lineRule="exact"/>
        <w:rPr>
          <w:rFonts w:ascii="Arial" w:cs="Arial" w:eastAsia="Arial" w:hAnsi="Arial"/>
          <w:sz w:val="18"/>
          <w:szCs w:val="18"/>
          <w:color w:val="auto"/>
        </w:rPr>
      </w:pPr>
    </w:p>
    <w:p>
      <w:pPr>
        <w:ind w:left="420" w:hanging="88"/>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Consent Management. </w:t>
      </w:r>
      <w:r>
        <w:rPr>
          <w:rFonts w:ascii="Arial" w:cs="Arial" w:eastAsia="Arial" w:hAnsi="Arial"/>
          <w:sz w:val="18"/>
          <w:szCs w:val="18"/>
          <w:color w:val="auto"/>
        </w:rPr>
        <w:t>Our Consent Management Platform ("CMP") empowers consumers to maintain their privacy while facilitating</w:t>
      </w:r>
    </w:p>
    <w:p>
      <w:pPr>
        <w:spacing w:after="0" w:line="31" w:lineRule="exact"/>
        <w:rPr>
          <w:rFonts w:ascii="Arial" w:cs="Arial" w:eastAsia="Arial" w:hAnsi="Arial"/>
          <w:sz w:val="18"/>
          <w:szCs w:val="18"/>
          <w:color w:val="auto"/>
        </w:rPr>
      </w:pPr>
    </w:p>
    <w:p>
      <w:pPr>
        <w:ind w:left="660" w:right="460"/>
        <w:spacing w:after="0" w:line="256" w:lineRule="auto"/>
        <w:rPr>
          <w:rFonts w:ascii="Arial" w:cs="Arial" w:eastAsia="Arial" w:hAnsi="Arial"/>
          <w:sz w:val="18"/>
          <w:szCs w:val="18"/>
          <w:color w:val="auto"/>
        </w:rPr>
      </w:pPr>
      <w:r>
        <w:rPr>
          <w:rFonts w:ascii="Arial" w:cs="Arial" w:eastAsia="Arial" w:hAnsi="Arial"/>
          <w:sz w:val="18"/>
          <w:szCs w:val="18"/>
          <w:color w:val="auto"/>
        </w:rPr>
        <w:t>business for brands and publishers. Our CMP informs website visitors about the data being collected on them and how it will be used. We provide the tools to give consumers control and choice over their personal data, publishers the solutions to operate sustainable business models, and brands the ability to advertise more relevantly and effectively.</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1631315</wp:posOffset>
            </wp:positionH>
            <wp:positionV relativeFrom="page">
              <wp:posOffset>603250</wp:posOffset>
            </wp:positionV>
            <wp:extent cx="4286250" cy="4980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4286250" cy="4980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Consumer privacy and data protection, what we call Data Ethics, are at the center of how we design our products and services. Accordingly, the LiveRamp platform operates with technical, operational, and personnel controls designed to keep our customers’ data private and secure.</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solutions are sold to enterprise marketers and the companies they partner with to execute their marketing, including agencies, marketing technology providers, publishers and data providers. Today, we work with over 780 direct customers world-wide, including approximately 22% of the Fortune 500, and serve thousands of additional customers indirectly through our reseller partnership arrangements.</w:t>
      </w:r>
    </w:p>
    <w:p>
      <w:pPr>
        <w:spacing w:after="0" w:line="207" w:lineRule="exact"/>
        <w:rPr>
          <w:sz w:val="20"/>
          <w:szCs w:val="20"/>
          <w:color w:val="auto"/>
        </w:rPr>
      </w:pPr>
    </w:p>
    <w:p>
      <w:pPr>
        <w:ind w:left="660" w:right="60" w:hanging="328"/>
        <w:spacing w:after="0" w:line="268" w:lineRule="auto"/>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Brands and Agencies. </w:t>
      </w:r>
      <w:r>
        <w:rPr>
          <w:rFonts w:ascii="Arial" w:cs="Arial" w:eastAsia="Arial" w:hAnsi="Arial"/>
          <w:sz w:val="18"/>
          <w:szCs w:val="18"/>
          <w:color w:val="auto"/>
        </w:rPr>
        <w:t>We work with over 430 of the largest brands and agencies in the world, helping them execute people-based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by creating an omni-channel understanding of the consumer and activating that understanding across their choice of best-of-breed digital marketing platforms.</w:t>
      </w:r>
    </w:p>
    <w:p>
      <w:pPr>
        <w:spacing w:after="0" w:line="197" w:lineRule="exact"/>
        <w:rPr>
          <w:rFonts w:ascii="Arial" w:cs="Arial" w:eastAsia="Arial" w:hAnsi="Arial"/>
          <w:sz w:val="18"/>
          <w:szCs w:val="18"/>
          <w:color w:val="auto"/>
        </w:rPr>
      </w:pPr>
    </w:p>
    <w:p>
      <w:pPr>
        <w:ind w:left="660" w:right="120" w:hanging="328"/>
        <w:spacing w:after="0" w:line="268" w:lineRule="auto"/>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Technology Providers. </w:t>
      </w:r>
      <w:r>
        <w:rPr>
          <w:rFonts w:ascii="Arial" w:cs="Arial" w:eastAsia="Arial" w:hAnsi="Arial"/>
          <w:sz w:val="18"/>
          <w:szCs w:val="18"/>
          <w:color w:val="auto"/>
        </w:rPr>
        <w:t>We provide marketing technology providers with the identity foundation required to offer people-based targeting, measurement and personalization within their platforms. This adds value for brands by increasing reach, as well as the speed at which they can activate their marketing data.</w:t>
      </w:r>
    </w:p>
    <w:p>
      <w:pPr>
        <w:spacing w:after="0" w:line="197" w:lineRule="exact"/>
        <w:rPr>
          <w:rFonts w:ascii="Arial" w:cs="Arial" w:eastAsia="Arial" w:hAnsi="Arial"/>
          <w:sz w:val="18"/>
          <w:szCs w:val="18"/>
          <w:color w:val="auto"/>
        </w:rPr>
      </w:pPr>
    </w:p>
    <w:p>
      <w:pPr>
        <w:ind w:left="660" w:right="600" w:hanging="328"/>
        <w:spacing w:after="0" w:line="287" w:lineRule="auto"/>
        <w:tabs>
          <w:tab w:leader="none" w:pos="43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Publishers. </w:t>
      </w:r>
      <w:r>
        <w:rPr>
          <w:rFonts w:ascii="Arial" w:cs="Arial" w:eastAsia="Arial" w:hAnsi="Arial"/>
          <w:sz w:val="18"/>
          <w:szCs w:val="18"/>
          <w:color w:val="auto"/>
        </w:rPr>
        <w:t>We enable publishers of any size to offer people-based marketing on their properties. This adds value for brands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direct access to their customers and prospects in the publisher's premium inventory.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ind w:left="660" w:hanging="328"/>
        <w:spacing w:after="0" w:line="262" w:lineRule="auto"/>
        <w:tabs>
          <w:tab w:leader="none" w:pos="43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Data Owners. </w:t>
      </w:r>
      <w:r>
        <w:rPr>
          <w:rFonts w:ascii="Arial" w:cs="Arial" w:eastAsia="Arial" w:hAnsi="Arial"/>
          <w:sz w:val="18"/>
          <w:szCs w:val="18"/>
          <w:color w:val="auto"/>
        </w:rPr>
        <w:t>Leveraging our vast network of integrations, we allow data owners to easily connect to the digital ecosystem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monetize their own data. Data can be distributed to clients or made available through the </w:t>
      </w:r>
      <w:r>
        <w:rPr>
          <w:rFonts w:ascii="Arial" w:cs="Arial" w:eastAsia="Arial" w:hAnsi="Arial"/>
          <w:sz w:val="18"/>
          <w:szCs w:val="18"/>
          <w:b w:val="1"/>
          <w:bCs w:val="1"/>
          <w:color w:val="auto"/>
        </w:rPr>
        <w:t>LiveRamp Data Marketplace</w:t>
      </w:r>
      <w:r>
        <w:rPr>
          <w:rFonts w:ascii="Arial" w:cs="Arial" w:eastAsia="Arial" w:hAnsi="Arial"/>
          <w:sz w:val="18"/>
          <w:szCs w:val="18"/>
          <w:color w:val="auto"/>
        </w:rPr>
        <w:t xml:space="preserve"> feature. This adds value for brands as it allows them to augment their understanding of consumers and increase both their reach against and understanding of customers and prospects.</w:t>
      </w:r>
    </w:p>
    <w:p>
      <w:pPr>
        <w:spacing w:after="0" w:line="22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generally charge for IdentityLink on an annual subscription basis. Our subscription pricing is based primarily on data volume supported by our platform.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Marketplace</w:t>
      </w:r>
    </w:p>
    <w:p>
      <w:pPr>
        <w:spacing w:after="0" w:line="26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As we have scaled the LiveRamp network and technology, we have found additional ways to leverage our platform, deliver more value to clients and create incremental revenue streams. Leveraging our common identity system and broad integration network, the LiveRamp Data Marketplace is a solution that seamlessly connects data owners’ audience data across the marketing ecosystem. The Data Marketplace allows data owners to easily monetize their data across hundreds of marketing platforms and publishers with a single contract. At the same time, it provides a single gateway where data buyers, including platforms and publishers, in addition to brands and their agencies, can access ethically sourced, high-quality third-party data from more than 150 data owners, supporting all industries and encompassing all types</w:t>
      </w:r>
    </w:p>
    <w:p>
      <w:pPr>
        <w:spacing w:after="0" w:line="17"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of data. Data providers include sources and brands exclusive to LiveRamp, emerging platforms with access to previously unavailable deterministic data, and data partnerships enabled by our platform.</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generate revenue from the Data Marketplace primarily through revenue-sharing arrangements with data owners that are monetizing their data assets on our marketplace. This revenue is typically transactional in nature, tied to data volume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auto"/>
        </w:rPr>
        <w:t>Summary Results and Notable Events</w:t>
      </w:r>
    </w:p>
    <w:p>
      <w:pPr>
        <w:spacing w:after="0" w:line="24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During fiscal 2020, the Company closed its merger with Data Plus Math Corporation ("DPM"), a media measurement company that works with brands, agencies, cable operators, streaming TV services and networks to tie cross-screen ad exposure with real-world outcomes. The Company has included the financial results of DPM in the consolidated financial statements as of the second quarter of fiscal 2020. The acquisition date fair value of the consideration for DPM was approximately $118.0 million.</w:t>
      </w:r>
    </w:p>
    <w:p>
      <w:pPr>
        <w:spacing w:after="0" w:line="231"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During fiscal 2020, the Company acquired all of the outstanding shares of Faktor B. V. ("Faktor"). Faktor is a global consent management platform that allows consumers to control how their data is collected, used, and transferred for usage to another party. The Company has included the financial results of Faktor in the consolidated financial statements as of the first quarter of fiscal 2020.The Company paid approximately $4.5 million in cash for the acquired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the Company entered into a definitive agreement to sell its Acxiom Marketing Solutions business (“AMS”) to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Interpublic Group of Companies, Inc. (“IPG”) for $2.3 billion in cash. Shareholder approval was received on September 20, 2018,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began reporting the results of operations, cash flows, and the balance sheet amounts pertaining to AMS as a component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discontinued operations in the consolidated financial statements as of the second quarter of fiscal 2019. Prior to the discontinued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classification, the AMS business was included in the AMS segment in the Company’s segment results. The sale was completed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1, 2018. At the closing of the transaction, the Company received total consideration of $2.3 billion ($2.3 billion stated sales price less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closing adjustments, transaction costs and other items of $49.0 million). Additionally, the Company applied $230.5 million of proceeds from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sale to repay outstanding Company debt and related interest. The Company reported a gain of $1.7 billion on the sale, which is included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earnings from discontinued operations, net of tax.</w:t>
      </w:r>
    </w:p>
    <w:p>
      <w:pPr>
        <w:spacing w:after="0" w:line="25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During fiscal 2019, the Company commenced a Dutch auction tender offer to purchase up to $500 million in value of shares of its common stock. On December 13, 2018, the Company accepted for purchase 11.2 million shares of its common stock at a price of $44.50 per share, for an aggregate cost of $503.4 million, including fees and expenses. These shares represented approximately 14.2% of the shares outstanding.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 financial summary of the fiscal year ended March 31, 2020 is presented below:</w:t>
      </w:r>
    </w:p>
    <w:p>
      <w:pPr>
        <w:spacing w:after="0" w:line="18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Revenues were $380.6 million, a 33.2% increase from $285.6 million in fiscal 2019.</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revenue was $152.7 million, a 26.5% increase from $120.7 million in fiscal 2019.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Gross margin increased to 59.9% from 57.7% in fiscal 2019.</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operating expenses were $408.8 million, a 12.6% increase from $363.0 million in fiscal 2019.</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revenue and operating expenses for fiscal 2020 and 2019 include the following items: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Non-cash stock compensation of $89.4 million and $102.7 million, respectively (cost of revenue and operating expenses)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Purchased intangible asset amortization of $19.0 million and $15.9 million, respectively (cost of revenue)</w:t>
      </w:r>
    </w:p>
    <w:p>
      <w:pPr>
        <w:spacing w:after="0" w:line="198"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Accelerated depreciation of $3.6 million and $3.8 million, respectively (cost of revenue and operating expenses)</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Restructuring and merger charges of $5.0 million and $19.9 million, respectively (gains, losses and other)</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Separation and transformation costs of $2.1 million in fiscal 2019 (operating expenses)</w:t>
      </w:r>
    </w:p>
    <w:p>
      <w:pPr>
        <w:spacing w:after="0" w:line="198"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loss from continuing operations was $123.9 million, a loss of $1.83 per diluted share, compared to a net loss from continuing operations of $133.9 million, or $1.79 per diluted share in fiscal 2019.</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49" w:name="page50"/>
    <w:bookmarkEnd w:id="49"/>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cash used by operating activities was $28.6 million compared to $2.0 million in fiscal 2019.</w:t>
      </w:r>
    </w:p>
    <w:p>
      <w:pPr>
        <w:spacing w:after="0" w:line="198"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repurchased 4.4 million shares of its common stock for $182.2 million under the Company's common stock repurchase program.</w:t>
      </w:r>
    </w:p>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summary highlights financial results as well as other significant events and transactions of the Company during the fiscal years ended March 31, 2020, 2019 and 2018. However, this summary is not intended to be a full discussion of the Company’s results. This summary should be read in conjunction with the following discussion of Results of Operations and Capital Resources and Liquidity and with the Company’s consolidated financial statements and footnotes accompanying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124" w:right="5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7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prepare our consolidated financial statements in conformity with U.S. generally accepted accounting principles (“GAAP”) as set forth in the Financial Accounting Standards Board’s (“FASB”) Accounting Standards Codification (“ASC”), and we consider the various staff accounting bulletins and other applicable guidance issued by the United States Securities and Exchange Commission (“SEC”). GAAP, as set forth within the ASC, requires management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and the disclosure of contingent assets and liabilities as of the date of the financial statements and the reported amounts of revenues and expenses during the reporting periods. Note 1 to the accompanying consolidated financial statements includes a summary of significant accounting policies used in the preparation of LiveRamp’s consolidated financial statements. Of those policies, we have identified the following as the most critical because they are both important to the portrayal of the Company’s financial condition and operating results, and they may require management to make judgments and estimates about inherently uncertain matters:</w:t>
      </w:r>
    </w:p>
    <w:p>
      <w:pPr>
        <w:spacing w:after="0" w:line="24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Revenue Recognition</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Company’s policy follows the guidance from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4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 xml:space="preserve">LiveRamp recognizes revenue from the following sources: (i) </w:t>
      </w:r>
      <w:r>
        <w:rPr>
          <w:rFonts w:ascii="Arial" w:cs="Arial" w:eastAsia="Arial" w:hAnsi="Arial"/>
          <w:sz w:val="18"/>
          <w:szCs w:val="18"/>
          <w:b w:val="1"/>
          <w:bCs w:val="1"/>
          <w:color w:val="auto"/>
        </w:rPr>
        <w:t>subscription revenue</w:t>
      </w:r>
      <w:r>
        <w:rPr>
          <w:rFonts w:ascii="Arial" w:cs="Arial" w:eastAsia="Arial" w:hAnsi="Arial"/>
          <w:sz w:val="18"/>
          <w:szCs w:val="18"/>
          <w:color w:val="auto"/>
        </w:rPr>
        <w:t xml:space="preserve">, which consists primarily of subscription fees from clients accessing our LiveRamp platform; and (ii) </w:t>
      </w:r>
      <w:r>
        <w:rPr>
          <w:rFonts w:ascii="Arial" w:cs="Arial" w:eastAsia="Arial" w:hAnsi="Arial"/>
          <w:sz w:val="18"/>
          <w:szCs w:val="18"/>
          <w:b w:val="1"/>
          <w:bCs w:val="1"/>
          <w:color w:val="auto"/>
        </w:rPr>
        <w:t>marketplace and other revenue</w:t>
      </w:r>
      <w:r>
        <w:rPr>
          <w:rFonts w:ascii="Arial" w:cs="Arial" w:eastAsia="Arial" w:hAnsi="Arial"/>
          <w:sz w:val="18"/>
          <w:szCs w:val="18"/>
          <w:color w:val="auto"/>
        </w:rPr>
        <w:t>, which primarily consists of revenue-sharing fees generated from access to data through our LiveRamp Data Marketplace, and transactional usage-based revenue from arrangements with certain publishers and addressable TV providers. Our subscription pricing is tiered based on data volume supported by our platform.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customer contract is primarily identified when the Company and a customer have executed an arrangement or arrangements that set out the terms of the relationship.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270"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part of accounting for arrangements with multiple performance obligations, we must assess whether each performance obligation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our subscriptions to the platform is distinct and access to data for revenue-sharing and usage-based arrangements are distinct because, once a customer has access to the platform, the product is fully functional and does not require any additional development, modification, or customization.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27"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transaction price is the amount of consideration we expect to be entitled to in exchange for transferring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the transaction price to the performance obligations in the contract</w:t>
      </w:r>
    </w:p>
    <w:p>
      <w:pPr>
        <w:spacing w:after="0" w:line="2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distinct performance obligation based on the standalone selling price ("SSP") of each service. We generally determine the SSP based on contractual selling prices when the obligation is sold on a standalone basis, as well as market conditions, competition, and pricing practices. As pricing and marketing strategies evolve, we may modify our pricing practices in the future, which could result in changes to SSP.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 when, or as, the performance obligations are satisfied</w:t>
      </w: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are recognized when or as control of the promised services is transferred to customers. Subscription revenue is generally recognized ratably over the subscription period beginning on the date the services are made available to customers. Marketplace and other revenue is typically transactional in nature, tied to a revenue share or volumes purchased. We report revenue from Marketplace and other similar transactions on a net basis because our performance obligation is to facilitate a transaction between data providers and end users, for which we earn a portion of the gross fee. Consequently, the portion of the gross amount billed to end users that is remitted to data providers is not reflected as revenues.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7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Company makes estimates and judgments in determining the provision for income taxes for financial statement purposes. These estimates and judgments occur in the calculation of tax credits, benefits, and deductions, and in the calculation of certain deferred tax assets and liabilities that arise from differences in the timing of recognition of revenue and expense for tax and financial statement purposes, as well as the interest and penalties related to uncertain tax positions. Significant changes in these estimates may result in an increase or decrease to the tax provision in a subsequent period. The Company assesses the likelihood that it will be able to recover its deferred tax assets. If recovery is not likely, the Company increases the provision for taxes by recording a valuation allowance against the deferred tax assets that it estimates will not ultimately be recoverable.</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The calculation of tax liabilities involves dealing with uncertainties in the application of complex tax laws and regulations. The Company recognizes liabilities for uncertain tax positions based on a two-step process 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first step is to evaluate the tax position for recognition by determining whether the weight of available evidence indicates that it is more likely than not that the position will be sustained on audit, including resolution of related appeals or litigation processes, if any. If the Company determines that a tax position will more likely than not be sustained on audit, the second step requires the Company to estimate and measure the tax benefit as the largest amount that is more than 50% likely to be realized upon ultimate settlement. It is inherently difficult and subjective to estimate such amounts, as the Company must determine the probability of various possible outcomes.</w:t>
      </w:r>
    </w:p>
    <w:p>
      <w:pPr>
        <w:spacing w:after="0" w:line="23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re-evaluates these uncertain tax positions on a quarterly basis. This evaluation is based on factors such as changes in facts or circumstances, changes in tax law, new audit activity, and effectively settled issues. Determining whether an uncertain tax position is effectively settled requires judgment. Such a change in recognition or measurement would result in the recognition of a tax benefit or an additional charge to the tax 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2" w:name="page53"/>
    <w:bookmarkEnd w:id="52"/>
    <w:p>
      <w:pPr>
        <w:spacing w:after="0" w:line="253" w:lineRule="auto"/>
        <w:rPr>
          <w:sz w:val="20"/>
          <w:szCs w:val="20"/>
          <w:color w:val="auto"/>
        </w:rPr>
      </w:pPr>
      <w:r>
        <w:rPr>
          <w:rFonts w:ascii="Arial" w:cs="Arial" w:eastAsia="Arial" w:hAnsi="Arial"/>
          <w:sz w:val="18"/>
          <w:szCs w:val="18"/>
          <w:color w:val="auto"/>
        </w:rPr>
        <w:t>On March 27, 2020, the U.S. enacted The Coronavirus Aid, Relief, and Economic Security Act (“CARES Act”). The CARES Act included several significant changes and clarifications to existing tax law, including changes to the treatment of net operating losses (“NOLs”). Under the CARES Act, NOLs arising in tax years beginning after December 31, 2017, and before January 1, 2021 may be carried back to each of the five tax years preceding the tax year of the loss. As such, the Company plans to carry back its fiscal 2020 NOL, resulting in an expected refund of approximately $32 million.</w:t>
      </w: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49" w:right="4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4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 summary of selected financial information for each of the fiscal years reported is presented below (dollars in thousands,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ind w:right="74"/>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4"/>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2020-2019</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2019-2018</w:t>
            </w:r>
          </w:p>
        </w:tc>
        <w:tc>
          <w:tcPr>
            <w:tcW w:w="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380,572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285,620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220,101</w:t>
            </w: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152,704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120,718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96,396</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227,868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164,902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123,705</w:t>
            </w: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408,790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363,048</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257,229</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(180,922)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(198,146)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(133,524)</w:t>
            </w:r>
          </w:p>
        </w:tc>
        <w:tc>
          <w:tcPr>
            <w:tcW w:w="10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 from continuing operations</w:t>
            </w: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(125,261)</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(133,947)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(67,299)</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loss per share from continuing</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(0.85)</w:t>
            </w:r>
          </w:p>
        </w:tc>
        <w:tc>
          <w:tcPr>
            <w:tcW w:w="10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operations</w:t>
            </w: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for each of the fiscal years reported is presented below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22"/>
        </w:trPr>
        <w:tc>
          <w:tcPr>
            <w:tcW w:w="4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2020-2019</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2019-2018</w:t>
            </w:r>
          </w:p>
        </w:tc>
        <w:tc>
          <w:tcPr>
            <w:tcW w:w="220" w:type="dxa"/>
            <w:vAlign w:val="bottom"/>
            <w:tcBorders>
              <w:bottom w:val="single" w:sz="8" w:color="auto"/>
            </w:tcBorders>
          </w:tcPr>
          <w:p>
            <w:pPr>
              <w:spacing w:after="0"/>
              <w:rPr>
                <w:sz w:val="19"/>
                <w:szCs w:val="19"/>
                <w:color w:val="auto"/>
              </w:rPr>
            </w:pP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63"/>
        </w:trPr>
        <w:tc>
          <w:tcPr>
            <w:tcW w:w="4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Subscription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305,679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236,718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172,079</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Marketplace and Other</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74,893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48,902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48,022</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auto"/>
            </w:tcBorders>
          </w:tcPr>
          <w:p>
            <w:pPr>
              <w:spacing w:after="0"/>
              <w:rPr>
                <w:sz w:val="21"/>
                <w:szCs w:val="21"/>
                <w:color w:val="auto"/>
              </w:rPr>
            </w:pPr>
          </w:p>
        </w:tc>
      </w:tr>
      <w:tr>
        <w:trPr>
          <w:trHeight w:val="281"/>
        </w:trPr>
        <w:tc>
          <w:tcPr>
            <w:tcW w:w="40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380,572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285,620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220,101</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Total revenues were $380.6 million in fiscal 2020, a $95.0 million, or 33.2% increase from fiscal 2019. The increase was due to Subscription growth of $69.0 million, or 29.1%, primarily due to new logo deals and upsell to existing customers. Marketplace and Other growth was $26.0 million, or 53.1%, primarily due to Data Marketplace and TV transactional growth. On a geographic basis, U.S. revenue increased $92.3 million, or 35.2%. International revenue increased $2.7 million, or 11.3%.</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Total revenues were $285.6 million in fiscal 2019, a $65.5 million, or 29.8%, increase from fiscal 2018. The increase was due to Subscription</w:t>
      </w:r>
    </w:p>
    <w:p>
      <w:pPr>
        <w:spacing w:after="0" w:line="5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growth of $64.6 million, or 37.6%, primarily due to new logo deals and upsell to existing customers. Marketplace and Other growth was $0.9 million, or 1.8% and was negatively impacted by lower revenue of $15.7 million from a revenue sharing arrangement related to a lost customer. On a geographic basis, U.S. revenue increased $64.5 million, or 32.7%. International revenue increased $1.0 million, or 4.4%. The U.S. and International results were both negatively impacted by lower revenue from the lost customer, $9.1 million for U.S. and $6.6 million for International.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cost of revenue and gross profit for each of the fiscal years reported is presented below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7"/>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7"/>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22"/>
        </w:trPr>
        <w:tc>
          <w:tcPr>
            <w:tcW w:w="38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2020-2019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2019-2018</w:t>
            </w:r>
          </w:p>
        </w:tc>
        <w:tc>
          <w:tcPr>
            <w:tcW w:w="220" w:type="dxa"/>
            <w:vAlign w:val="bottom"/>
            <w:tcBorders>
              <w:bottom w:val="single" w:sz="8" w:color="auto"/>
            </w:tcBorders>
          </w:tcPr>
          <w:p>
            <w:pPr>
              <w:spacing w:after="0"/>
              <w:rPr>
                <w:sz w:val="19"/>
                <w:szCs w:val="19"/>
                <w:color w:val="auto"/>
              </w:rPr>
            </w:pPr>
          </w:p>
        </w:tc>
      </w:tr>
      <w:tr>
        <w:trPr>
          <w:trHeight w:val="25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152,704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120,718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96,396</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227,868</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rPr>
              <w:t>164,902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123,705</w:t>
            </w: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56.2 %</w:t>
            </w: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Cost of revenue: Includes third-party direct costs including Identity Graph data and cloud and hosting costs, as well as costs of IT, security and product operations functions. Cost of revenue also includes amortization of internally developed software and other acquisition related intangibles.</w:t>
      </w:r>
    </w:p>
    <w:p>
      <w:pPr>
        <w:sectPr>
          <w:pgSz w:w="11900" w:h="16838" w:orient="portrait"/>
          <w:cols w:equalWidth="0" w:num="1">
            <w:col w:w="11220"/>
          </w:cols>
          <w:pgMar w:left="320" w:top="927" w:right="3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type w:val="continuous"/>
        </w:sectPr>
      </w:pPr>
    </w:p>
    <w:bookmarkStart w:id="54" w:name="page55"/>
    <w:bookmarkEnd w:id="54"/>
    <w:p>
      <w:pPr>
        <w:ind w:right="180"/>
        <w:spacing w:after="0" w:line="252" w:lineRule="auto"/>
        <w:rPr>
          <w:sz w:val="20"/>
          <w:szCs w:val="20"/>
          <w:color w:val="auto"/>
        </w:rPr>
      </w:pPr>
      <w:r>
        <w:rPr>
          <w:rFonts w:ascii="Arial" w:cs="Arial" w:eastAsia="Arial" w:hAnsi="Arial"/>
          <w:sz w:val="18"/>
          <w:szCs w:val="18"/>
          <w:color w:val="auto"/>
        </w:rPr>
        <w:t>Cost of revenue was $ 152.7 million in fiscal 2020, a $32.0 million, or 26.5%, increase from fiscal 2019. Gross margins increased to 59.9% compared to 57.7% in the prior year. The gross margin increase was due primarily to revenue growth and decreased identity graph data costs of $ 1.1 million as well as $ 0.9 million in non-cash stock compensation expense. In March 2019, the Company accelerated the vesting of certain time-vesting restricted stock units that would otherwise have vested over the subsequent six months to take advantage of significant cash tax savings opportunities. These decreases were offset partially by increases in security, purchased intangible asset amortization and hosting and TV direct costs. U.S. gross margins increased to 61.4% in fiscal 2020 from 59.6% in fiscal 2019. International gross margins increased to 39.4% from 36.9%.</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 of revenue was $ 120.7 million in fiscal 2019, a $24.3 million, or 25.2%, increase from fiscal 2018. Gross margins increased to 57.7% compared to 56.2% in the prior year. The gross margin increase was due to the revenue growth, offset partially by increased identity graph data and security costs, as well as accelerated depreciation, and costs associated with the Company's migration to a new cloud based IT infrastructure. Until the third quarter of fiscal year 2019, costs associated with AbiliTec were shared with AMS. Beginning in the third quarter of fiscal 2019, LiveRamp now has a revenue arrangement with AMS for its use of AbiliTec and bears all costs for AbiliTec. U.S. gross margins increased to 59.6% in fiscal 2019 from 58.6% in fiscal 2018. International gross margins increased to 36.9% from 35.1%.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expenses for each of the fiscal years reported is presented below (dollars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ind w:left="340"/>
              <w:spacing w:after="0"/>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6"/>
                <w:szCs w:val="16"/>
                <w:color w:val="auto"/>
              </w:rPr>
            </w:pPr>
          </w:p>
        </w:tc>
      </w:tr>
      <w:tr>
        <w:trPr>
          <w:trHeight w:val="222"/>
        </w:trPr>
        <w:tc>
          <w:tcPr>
            <w:tcW w:w="40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2020-2019</w:t>
            </w:r>
          </w:p>
        </w:tc>
        <w:tc>
          <w:tcPr>
            <w:tcW w:w="2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2019-2018</w:t>
            </w:r>
          </w:p>
        </w:tc>
        <w:tc>
          <w:tcPr>
            <w:tcW w:w="220" w:type="dxa"/>
            <w:vAlign w:val="bottom"/>
            <w:tcBorders>
              <w:bottom w:val="single" w:sz="8" w:color="auto"/>
            </w:tcBorders>
          </w:tcPr>
          <w:p>
            <w:pPr>
              <w:spacing w:after="0"/>
              <w:rPr>
                <w:sz w:val="19"/>
                <w:szCs w:val="19"/>
                <w:color w:val="auto"/>
              </w:rPr>
            </w:pPr>
          </w:p>
        </w:tc>
      </w:tr>
      <w:tr>
        <w:trPr>
          <w:trHeight w:val="236"/>
        </w:trPr>
        <w:tc>
          <w:tcPr>
            <w:tcW w:w="40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63"/>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105,981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85,697</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60,713</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9"/>
              </w:rPr>
              <w:t>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0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188,905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158,540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108,639</w:t>
            </w:r>
          </w:p>
        </w:tc>
        <w:tc>
          <w:tcPr>
            <w:tcW w:w="120" w:type="dxa"/>
            <w:vAlign w:val="bottom"/>
          </w:tcPr>
          <w:p>
            <w:pPr>
              <w:spacing w:after="0"/>
              <w:rPr>
                <w:sz w:val="21"/>
                <w:szCs w:val="21"/>
                <w:color w:val="auto"/>
              </w:rPr>
            </w:pPr>
          </w:p>
        </w:tc>
        <w:tc>
          <w:tcPr>
            <w:tcW w:w="1180" w:type="dxa"/>
            <w:vAlign w:val="bottom"/>
          </w:tcPr>
          <w:p>
            <w:pPr>
              <w:jc w:val="center"/>
              <w:ind w:left="775"/>
              <w:spacing w:after="0"/>
              <w:rPr>
                <w:sz w:val="20"/>
                <w:szCs w:val="20"/>
                <w:color w:val="auto"/>
              </w:rPr>
            </w:pPr>
            <w:r>
              <w:rPr>
                <w:rFonts w:ascii="Arial" w:cs="Arial" w:eastAsia="Arial" w:hAnsi="Arial"/>
                <w:sz w:val="18"/>
                <w:szCs w:val="18"/>
                <w:color w:val="auto"/>
                <w:w w:val="99"/>
              </w:rPr>
              <w:t>19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1"/>
                <w:szCs w:val="21"/>
                <w:color w:val="auto"/>
              </w:rPr>
            </w:pPr>
          </w:p>
        </w:tc>
      </w:tr>
      <w:tr>
        <w:trPr>
          <w:trHeight w:val="263"/>
        </w:trPr>
        <w:tc>
          <w:tcPr>
            <w:tcW w:w="4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108,903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98,878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85,154</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left="775"/>
              <w:spacing w:after="0"/>
              <w:rPr>
                <w:sz w:val="20"/>
                <w:szCs w:val="20"/>
                <w:color w:val="auto"/>
              </w:rPr>
            </w:pPr>
            <w:r>
              <w:rPr>
                <w:rFonts w:ascii="Arial" w:cs="Arial" w:eastAsia="Arial" w:hAnsi="Arial"/>
                <w:sz w:val="18"/>
                <w:szCs w:val="18"/>
                <w:color w:val="auto"/>
                <w:w w:val="99"/>
              </w:rPr>
              <w:t>10</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22"/>
                <w:szCs w:val="22"/>
                <w:color w:val="auto"/>
              </w:rPr>
            </w:pPr>
          </w:p>
        </w:tc>
      </w:tr>
      <w:tr>
        <w:trPr>
          <w:trHeight w:val="250"/>
        </w:trPr>
        <w:tc>
          <w:tcPr>
            <w:tcW w:w="4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Gains, losses and other items, net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5,001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19,933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2,723</w:t>
            </w:r>
          </w:p>
        </w:tc>
        <w:tc>
          <w:tcPr>
            <w:tcW w:w="120" w:type="dxa"/>
            <w:vAlign w:val="bottom"/>
            <w:tcBorders>
              <w:bottom w:val="single" w:sz="8" w:color="CCEEFF"/>
            </w:tcBorders>
          </w:tcPr>
          <w:p>
            <w:pPr>
              <w:spacing w:after="0"/>
              <w:rPr>
                <w:sz w:val="21"/>
                <w:szCs w:val="21"/>
                <w:color w:val="auto"/>
              </w:rPr>
            </w:pPr>
          </w:p>
        </w:tc>
        <w:tc>
          <w:tcPr>
            <w:tcW w:w="1180" w:type="dxa"/>
            <w:vAlign w:val="bottom"/>
            <w:tcBorders>
              <w:bottom w:val="single" w:sz="8" w:color="auto"/>
            </w:tcBorders>
          </w:tcPr>
          <w:p>
            <w:pPr>
              <w:jc w:val="center"/>
              <w:ind w:left="775"/>
              <w:spacing w:after="0"/>
              <w:rPr>
                <w:sz w:val="20"/>
                <w:szCs w:val="20"/>
                <w:color w:val="auto"/>
              </w:rPr>
            </w:pPr>
            <w:r>
              <w:rPr>
                <w:rFonts w:ascii="Arial" w:cs="Arial" w:eastAsia="Arial" w:hAnsi="Arial"/>
                <w:sz w:val="18"/>
                <w:szCs w:val="18"/>
                <w:color w:val="auto"/>
                <w:w w:val="99"/>
              </w:rPr>
              <w:t>(75)</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Borders>
              <w:bottom w:val="single" w:sz="8" w:color="auto"/>
            </w:tcBorders>
          </w:tcPr>
          <w:p>
            <w:pPr>
              <w:spacing w:after="0"/>
              <w:rPr>
                <w:sz w:val="21"/>
                <w:szCs w:val="21"/>
                <w:color w:val="auto"/>
              </w:rPr>
            </w:pPr>
          </w:p>
        </w:tc>
      </w:tr>
      <w:tr>
        <w:trPr>
          <w:trHeight w:val="282"/>
        </w:trPr>
        <w:tc>
          <w:tcPr>
            <w:tcW w:w="4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408,790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363,048</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257,229</w:t>
            </w:r>
          </w:p>
        </w:tc>
        <w:tc>
          <w:tcPr>
            <w:tcW w:w="1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center"/>
              <w:ind w:left="775"/>
              <w:spacing w:after="0"/>
              <w:rPr>
                <w:sz w:val="20"/>
                <w:szCs w:val="20"/>
                <w:color w:val="auto"/>
              </w:rPr>
            </w:pPr>
            <w:r>
              <w:rPr>
                <w:rFonts w:ascii="Arial" w:cs="Arial" w:eastAsia="Arial" w:hAnsi="Arial"/>
                <w:sz w:val="18"/>
                <w:szCs w:val="18"/>
                <w:color w:val="auto"/>
                <w:w w:val="99"/>
              </w:rPr>
              <w:t>13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Research and development (“R&amp;D”): Includes operating expenses for the Company’s engineering and product/project management functions supporting research, new development, and related product enhancement.</w:t>
      </w:r>
    </w:p>
    <w:p>
      <w:pPr>
        <w:spacing w:after="0" w:line="19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R&amp;D expenses were $106.0 million in fiscal 2020, an increase of $20.3 million, or 23.7% compared to fiscal 2019, and were 27.8% of total revenues compared to 30.0% in fiscal 2019. The increase was primarily due to an increase in ongoing investment in LiveRamp products, offset by a decrease in non-cash stock-based compensation expense of $5.0 million due to the accelerated vesting in the prior year as previously described.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R&amp;D expenses were $85.7 million in fiscal 2019, an increase of $25.0 million, or 41.2%, compared to fiscal 2018, and were 30.0% of total revenues compared to 27.6% in fiscal 2018. The increase was due to an increase in non-cash stock compensation of $12.6 million due to the acceleration previously discussed, and ongoing investment in LiveRamp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 (“S&amp;M”): Includes operating expenses for the Company’s sales, marketing, and product marketing functions.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S&amp;M expenses were $ 188.9 million in fiscal 2020, an increase of $30.4 million, or 19.2%, compared to fiscal 2019, and are 49.6% of total revenues compared to 55.5% in fiscal 2019. The increase in S&amp;M expenses was due to increased headcount to support revenue growth initiatives and increased bad debt expense on growing revenue levels and the estimated impact of COVID-19 collection risk on certain customer industries, offset partially by a $6.0 million decrease in non-cash stock-based compensation expense. Current year S&amp;M expenses included $38.0 million of non-cash stock-based compensation expense compared to $44.0 million in the prior year as previously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55" w:name="page56"/>
    <w:bookmarkEnd w:id="55"/>
    <w:p>
      <w:pPr>
        <w:spacing w:after="0" w:line="256" w:lineRule="auto"/>
        <w:rPr>
          <w:sz w:val="20"/>
          <w:szCs w:val="20"/>
          <w:color w:val="auto"/>
        </w:rPr>
      </w:pPr>
      <w:r>
        <w:rPr>
          <w:rFonts w:ascii="Arial" w:cs="Arial" w:eastAsia="Arial" w:hAnsi="Arial"/>
          <w:sz w:val="18"/>
          <w:szCs w:val="18"/>
          <w:color w:val="auto"/>
        </w:rPr>
        <w:t>S&amp;M expenses were $ 158.5 million in fiscal 2019, an increase of $49.9 million, or 45.9%, compared to fiscal 2018, and are 55.5% of total revenues compared to 49.4% in fiscal 2018. The increase was due to an increase in non-cash stock compensation of $20.6 million due to the acceleration previously discussed, other incentive-based compensation, and headcount to support revenue growth initiatives.</w:t>
      </w:r>
    </w:p>
    <w:p>
      <w:pPr>
        <w:spacing w:after="0" w:line="22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General and administrative (G&amp;A): Represents operating expenses for the Company's finance, human resources, legal, corporate IT, and other corporate administrative functions.</w:t>
      </w:r>
    </w:p>
    <w:p>
      <w:pPr>
        <w:spacing w:after="0" w:line="19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G&amp;A expenses were $108.9 million in fiscal 2020, an increase of $10.0 million, or 10.1% compared to fiscal 2019, and were 28.6% of total revenues compared to 34.6% in fiscal 2019. Current year G&amp;A expenses included $24.4 million of non-cash stock-based compensation compared to $25.8 million in the prior year. The prior year stock-based compensation included performance awards adjustments due to the sale of AMS and award modifications (revised vesting terms) for transition associates. The remaining increase in G&amp;A expenses is primarily headcount related to support business growth.</w:t>
      </w:r>
    </w:p>
    <w:p>
      <w:pPr>
        <w:spacing w:after="0" w:line="23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G&amp;A expenses were $98.9 million in fiscal 2019, an increase of $13.7 million, or 16.1%, compared to fiscal 2018, and were 34.6% of total revenues compared to 38.7% in fiscal 2018. Fiscal 2019 expenses included $2.1 million of expenses related to business separation costs compared to $17.8 million in fiscal 2018. The prior year costs were primarily related to AMS separation planning and readiness activities. Additionally, G&amp;A expenses included $ 25.8 million of non-cash stock-based compensation compared to $11.2 million in fiscal 2018. The increase was due to PSU conversions to RSUs at 200% on the date of the AMS disposition, new LiveRamp leadership equity grants in the current year, and award modifications (revised vesting terms). The remaining increase in G&amp;A expenses is primarily headcount related to support business growth.</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Gains, losses, and other items, net: Represents restructuring costs and other adjustments.</w:t>
      </w:r>
    </w:p>
    <w:p>
      <w:pPr>
        <w:spacing w:after="0" w:line="252"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Gains, losses and other items, net were $5.0 million in fiscal 2020, a decrease of $14.9 million compared to fiscal 2019. The fiscal 2020 amount included $2.3 million in severance (transition retention costs) and other associate-related charges, a $1.1 million charge related to the restructuring of the Redwood City, California lease due primarily to the lease termination by a sub-lessee, and $1.1 million related to an early termination of a data center services agreement.</w:t>
      </w:r>
    </w:p>
    <w:p>
      <w:pPr>
        <w:spacing w:after="0" w:line="23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Gains, losses and other items, net were $19.9 million in fiscal 2019, an increase of $17.2 million compared to fiscal 2018. The fiscal 2019 amount included a $12.2 million charge related to an early termination of a data supplier contract, $6.2 million in severance and other associate-related charges, and a $1.6 million charge related to the restructuring of the Redwood City, California lease.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Operations and Operating Margin</w:t>
      </w:r>
    </w:p>
    <w:p>
      <w:pPr>
        <w:spacing w:after="0" w:line="2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Loss from operations was $180.9 million in fiscal 2020 compared to $198.1 million in fiscal 2019. Operating margin was negative 47.5% compared to negative 69.4%. The improvement was primarily due to increased gross profit from an increase in revenue, lower non-cash stock-based compensation expense related to the acceleration of certain awards in fiscal 2019, and the $12.2 million early termination of the data supplier contract in the prior year.</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Loss from operations was $198.1 million in fiscal 2019 compared to $133.5 million in fiscal 2018. Operating margin was a negative 69.4% compared to a negative 60.7% in fiscal 2018. The increase of $64.6 million was due primarily to increases in non-cash stock compensation of $49.9 million due primarily to PSU conversions to RSUs at 200% on the date of the AMS disposition, new LiveRamp leadership equity grants in the current year, award modifications (vesting terms modified to end of transition term) for transition associates, and vesting modifications for income tax planning purposes. Approximately $19.8 million of the increase in stock-based compensation was due to vesting acceleration of awards that would have otherwise vested over the next six months to take advantage of significant cash tax savings opportunities. Additionally, restructuring charges increased $12.2 million due to the early termination of a data supplier contract. These increases were partially offset by a $15.7 million decrease in separation costs included in G&amp;A.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Other Income and Income Taxes</w:t>
      </w:r>
    </w:p>
    <w:p>
      <w:pPr>
        <w:spacing w:after="0" w:line="270"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Other income was $15.4 million in fiscal 2020 compared to $18.8 million in fiscal 2019 and $ 0.5 million in fiscal 2018. Other income is primarily interest income related to invested cash proceeds from the sale of AMS in October 2018.</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Income tax benefit was $ 40.3 million on a pretax loss of $165.5 million for fiscal 2020. The effective tax rate was 24% as compared to an expected rate of 21%, or a difference of $5.5 million. The difference is due to a $9.0 million income tax expense due to nondeductible stock-based compensation, a net $1.5 million benefit related to U.S. research and development tax credits, a $4.0 million benefit related to net excess tax benefits from stock-based compensation, a $2.2 million benefit related to the release of valuation allowance against deferred tax assets, and a $7.4 million benefit related to higher income tax rates applicable to net operating loss carrybacks.</w:t>
      </w:r>
    </w:p>
    <w:p>
      <w:pPr>
        <w:spacing w:after="0" w:line="27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Income tax benefit was $ 45.4 million on pretax loss of $179.4 million for fiscal 2019. The effective tax rate was 25% as compared to an expected rate of 21%, or a difference of $7.7 million. The difference is due to a $5.3 million income tax expense due to nondeductible stock-based compensation, primarily related to the Arbor and Circulate acquisitions, a net $3.1 million benefit related to U.S. research and development tax credits, a $10.7 million benefit related to net excess tax benefits from stock-based compensation, and a $5.2 million expense related to establishing a valuation allowance against deferred tax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70"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Summary results of operations of AMS, which are included in earnings from discontinued operations, net of tax, in the Company's consolidated statements of operations for each of the fiscal years reported is presented below (dollars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20" w:type="dxa"/>
            <w:vAlign w:val="bottom"/>
            <w:tcBorders>
              <w:bottom w:val="single" w:sz="8" w:color="CCEEFF"/>
              <w:right w:val="single" w:sz="8" w:color="D9D9D9"/>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73"/>
        </w:trPr>
        <w:tc>
          <w:tcPr>
            <w:tcW w:w="66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332,185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697,305</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66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from discontinued operations before gain on disposition and</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6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8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(40,796)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133,731</w:t>
            </w:r>
          </w:p>
        </w:tc>
      </w:tr>
      <w:tr>
        <w:trPr>
          <w:trHeight w:val="250"/>
        </w:trPr>
        <w:tc>
          <w:tcPr>
            <w:tcW w:w="6620" w:type="dxa"/>
            <w:vAlign w:val="bottom"/>
          </w:tcPr>
          <w:p>
            <w:pPr>
              <w:ind w:left="20"/>
              <w:spacing w:after="0"/>
              <w:rPr>
                <w:sz w:val="20"/>
                <w:szCs w:val="20"/>
                <w:color w:val="auto"/>
              </w:rPr>
            </w:pPr>
            <w:r>
              <w:rPr>
                <w:rFonts w:ascii="Arial" w:cs="Arial" w:eastAsia="Arial" w:hAnsi="Arial"/>
                <w:sz w:val="18"/>
                <w:szCs w:val="18"/>
                <w:color w:val="auto"/>
              </w:rPr>
              <w:t>Gain on sale of discontinued operations before income taxes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1,673,636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w:t>
            </w:r>
          </w:p>
        </w:tc>
      </w:tr>
      <w:tr>
        <w:trPr>
          <w:trHeight w:val="257"/>
        </w:trPr>
        <w:tc>
          <w:tcPr>
            <w:tcW w:w="66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470,346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42,952</w:t>
            </w:r>
          </w:p>
        </w:tc>
      </w:tr>
      <w:tr>
        <w:trPr>
          <w:trHeight w:val="256"/>
        </w:trPr>
        <w:tc>
          <w:tcPr>
            <w:tcW w:w="6620" w:type="dxa"/>
            <w:vAlign w:val="bottom"/>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88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750</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1,162,494</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90,779</w:t>
            </w:r>
          </w:p>
        </w:tc>
      </w:tr>
      <w:tr>
        <w:trPr>
          <w:trHeight w:val="21"/>
        </w:trPr>
        <w:tc>
          <w:tcPr>
            <w:tcW w:w="6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31"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auto"/>
        </w:rPr>
        <w:t>Capital Resources and Liquidity</w:t>
      </w:r>
    </w:p>
    <w:p>
      <w:pPr>
        <w:spacing w:after="0" w:line="247"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The Company’s cash and cash equivalents is primarily located in the United States. Approximately $ 16.3 million of the total cash balance of $717.8 million, or approximately 2.3%, is located outside of the United States. The Company has no current plans to repatriate this cash to the United States.</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accounts receivable balances were $92.8 million at March 31, 2020, an increase of $14.2 million, compared to $78.6 million at March 31, 2019. Days sales outstanding, a measurement of the time it takes to collect receivables, were 80 days at March 31, 2020, compared to 90 days at March 31, 2019. All customer accounts are actively managed, and no losses in excess of amounts reserved are currently expected;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attention is being paid to the potential negative impact of COVID-19 on our customers’ ability to pay our accounts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at March 31, 2020 totaled $735.0 million, a $361.9 million decrease when compared to $1.1 billion at March 31, 2019.</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Management believes that the Company's existing available cash will be sufficient to meet the Company's working capital and capital expenditure requirements for the foreseeable future. However, in light of the current global COVID-19 pandemic, our liquidity position may change, including the inability to collect from our customers, inability to raise new capital via issuance of equity or debt, and disruption in completing repayments or disbursements to our creditors. We have historically and may continue to take advantage of opportunities to generate additional liquidity through capital market transactions. The outbreak of COVID-19 has caused significant disruptions to the global financial markets, which could increase the cost of capital and adversely impact our ability to raise additional capital, which could negatively affect our liquidity in the future. The amount, nature, and timing of any capital market transactions will depend on our operating performance and other circumstances; our then-current commitments and obligations; the amount, nature, and timing of our capital requirements; and overall market conditions. If we are unable to raise funds as and when we need them, we may be forced to curtail our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years reported is presented below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94"/>
        </w:trPr>
        <w:tc>
          <w:tcPr>
            <w:tcW w:w="6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5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(28,575)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rPr>
              <w:t>(14,090)</w:t>
            </w:r>
          </w:p>
        </w:tc>
      </w:tr>
      <w:tr>
        <w:trPr>
          <w:trHeight w:val="250"/>
        </w:trPr>
        <w:tc>
          <w:tcPr>
            <w:tcW w:w="66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(116,203)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(11,142)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134"/>
              <w:spacing w:after="0"/>
              <w:rPr>
                <w:sz w:val="20"/>
                <w:szCs w:val="20"/>
                <w:color w:val="auto"/>
              </w:rPr>
            </w:pPr>
            <w:r>
              <w:rPr>
                <w:rFonts w:ascii="Arial" w:cs="Arial" w:eastAsia="Arial" w:hAnsi="Arial"/>
                <w:sz w:val="18"/>
                <w:szCs w:val="18"/>
                <w:color w:val="auto"/>
              </w:rPr>
              <w:t>(14,119)</w:t>
            </w:r>
          </w:p>
        </w:tc>
      </w:tr>
      <w:tr>
        <w:trPr>
          <w:trHeight w:val="26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(201,976)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(841,508)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134"/>
              <w:spacing w:after="0"/>
              <w:rPr>
                <w:sz w:val="20"/>
                <w:szCs w:val="20"/>
                <w:color w:val="auto"/>
              </w:rPr>
            </w:pPr>
            <w:r>
              <w:rPr>
                <w:rFonts w:ascii="Arial" w:cs="Arial" w:eastAsia="Arial" w:hAnsi="Arial"/>
                <w:sz w:val="18"/>
                <w:szCs w:val="18"/>
                <w:color w:val="auto"/>
              </w:rPr>
              <w:t>(81,540)</w:t>
            </w:r>
          </w:p>
        </w:tc>
      </w:tr>
      <w:tr>
        <w:trPr>
          <w:trHeight w:val="243"/>
        </w:trPr>
        <w:tc>
          <w:tcPr>
            <w:tcW w:w="6640" w:type="dxa"/>
            <w:vAlign w:val="bottom"/>
          </w:tcPr>
          <w:p>
            <w:pPr>
              <w:ind w:left="20"/>
              <w:spacing w:after="0"/>
              <w:rPr>
                <w:sz w:val="20"/>
                <w:szCs w:val="20"/>
                <w:color w:val="auto"/>
              </w:rPr>
            </w:pPr>
            <w:r>
              <w:rPr>
                <w:rFonts w:ascii="Arial" w:cs="Arial" w:eastAsia="Arial" w:hAnsi="Arial"/>
                <w:sz w:val="18"/>
                <w:szCs w:val="18"/>
                <w:color w:val="auto"/>
              </w:rPr>
              <w:t>Net cash provided by discontinued operations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18,375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1,777,833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154"/>
              <w:spacing w:after="0"/>
              <w:rPr>
                <w:sz w:val="20"/>
                <w:szCs w:val="20"/>
                <w:color w:val="auto"/>
              </w:rPr>
            </w:pPr>
            <w:r>
              <w:rPr>
                <w:rFonts w:ascii="Arial" w:cs="Arial" w:eastAsia="Arial" w:hAnsi="Arial"/>
                <w:sz w:val="18"/>
                <w:szCs w:val="18"/>
                <w:color w:val="auto"/>
                <w:w w:val="98"/>
              </w:rPr>
              <w:t>79,649</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 - Continuing Operations</w:t>
      </w:r>
    </w:p>
    <w:p>
      <w:pPr>
        <w:spacing w:after="0" w:line="27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cash flows from operating activities are primarily influenced by growth in our operations, increases or decreases in collections from our clients and related payments to our suppliers. The timing of cash receipts from clients and payments to suppliers can significantly impact our cash flows from operating activities. Our collection and payment cycles can vary from period to period.</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2020, net cash used in operating activities of $ 28.6 million resulted primarily from net earnings adjusted for non-cash items of $2.1 million offset by an increase in cash used by operating assets and liabilities of $30.6 million. The net unfavorable change in operating assets and liabilities was primarily related to unfavorable changes in income taxes of $25.5 million, accounts receivable of $20.5 million and deferred commissions of $5.3 million partially offset by favorable changes in accounts payable and other liabilities of $23.0 million. The increase in income taxes is based on refunds available to the Company as a result of the CARES Act NOL carryback provisions. The increase in accounts receivable is primarily due to the growth in our subscription and marketplace and other revenue and the timing of cash receipts from clients. The increase in accounts payable and other liabilities is primarily due to expense growth and the timing of payments to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8" w:name="page59"/>
    <w:bookmarkEnd w:id="58"/>
    <w:p>
      <w:pPr>
        <w:ind w:right="60"/>
        <w:spacing w:after="0" w:line="252" w:lineRule="auto"/>
        <w:rPr>
          <w:sz w:val="20"/>
          <w:szCs w:val="20"/>
          <w:color w:val="auto"/>
        </w:rPr>
      </w:pPr>
      <w:r>
        <w:rPr>
          <w:rFonts w:ascii="Arial" w:cs="Arial" w:eastAsia="Arial" w:hAnsi="Arial"/>
          <w:sz w:val="18"/>
          <w:szCs w:val="18"/>
          <w:color w:val="auto"/>
        </w:rPr>
        <w:t>In fiscal 2019, net cash used in operating activities of $2.0 million resulted primarily from net earnings adjusted for non-cash items of $ 19.0 million, offset by an increase in cash used by operating assets and liabilities of $21.0 million. The net unfavorable change in operating assets and liabilities was primarily related to unfavorable changes in accounts receivable of $44.4 million, partially offset by favorable change in accounts payable and other liabilities of $25.3 million and income taxes of $5.1 million. The increase in accounts receivable was primarily due to the growth in our subscription business and the timing of cash receipts from clients and the increase in accounts payable and other liabilities was primarily due to the timing of payments to suppliers.</w:t>
      </w:r>
    </w:p>
    <w:p>
      <w:pPr>
        <w:spacing w:after="0" w:line="2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fiscal 2018, net cash used in operating activities of $14.1 million resulted primarily from net earnings adjusted for non-cash items of $0.2 million, offset by an increase in cash used by operating assets and liabilities of $14.3 million. The net unfavorable change in operating assets and liabilities was primarily related to unfavorable changes in accounts receivable of $13.7 million and accounts payable and other liabilities of $ 3.2 million, offset partially by a favorable change in income taxes of $2.3 million. The increase in accounts receivable was primarily due to the growth in our subscription business and the timing of cash receipts from clients and the decrease in accounts payable and other liabilities was primarily due to the timing of payments to suppliers.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 - Continuing Operations</w:t>
      </w:r>
    </w:p>
    <w:p>
      <w:pPr>
        <w:spacing w:after="0" w:line="27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primary investing activities have consisted of acquisitions and capital expenditures in support of our expanding headcount as a result of our growth. Capital expenditures may vary from period to period due to the timing of the expansion of our operations, the addition of new headcount, new facilities and acquisitions.</w:t>
      </w:r>
    </w:p>
    <w:p>
      <w:pPr>
        <w:spacing w:after="0" w:line="22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 fiscal 2020, net cash used in investing activities of $116.2 million primarily consisted of $11.7 million for capital expenditures, and $105.4 million for the acquisitions of DPM and Faktor.</w:t>
      </w:r>
    </w:p>
    <w:p>
      <w:pPr>
        <w:spacing w:after="0" w:line="225"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In fiscal 2019, we used $11.1 million of cash in investing activities, consisting of $7.3 million for capital expenditures, $2.5 million for payments for investments, and $1.3 million for capitalized software.</w:t>
      </w:r>
    </w:p>
    <w:p>
      <w:pPr>
        <w:spacing w:after="0" w:line="22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fiscal 2018, we used $14.1 million of cash in investing activities, consisting of $9.4 million for capital expenditures, $4.5 million for the acquisition of PDP, $3.3 million for capitalized software and $1.0 million for payments for investments, partially offset by $4.0 million net cash received from the note receivable related to the sale of Impact.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 - Continuing Operations</w:t>
      </w:r>
    </w:p>
    <w:p>
      <w:pPr>
        <w:spacing w:after="0" w:line="270" w:lineRule="exact"/>
        <w:rPr>
          <w:sz w:val="20"/>
          <w:szCs w:val="20"/>
          <w:color w:val="auto"/>
        </w:rPr>
      </w:pPr>
    </w:p>
    <w:p>
      <w:pPr>
        <w:ind w:right="980"/>
        <w:spacing w:after="0" w:line="261" w:lineRule="auto"/>
        <w:rPr>
          <w:sz w:val="20"/>
          <w:szCs w:val="20"/>
          <w:color w:val="auto"/>
        </w:rPr>
      </w:pPr>
      <w:r>
        <w:rPr>
          <w:rFonts w:ascii="Arial" w:cs="Arial" w:eastAsia="Arial" w:hAnsi="Arial"/>
          <w:sz w:val="18"/>
          <w:szCs w:val="18"/>
          <w:color w:val="auto"/>
        </w:rPr>
        <w:t>Our financing activities have consisted of acquisition of treasury stock, proceeds from our equity compensation plans, and shares repurchased for tax withholdings upon vesting of stock-based awards.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fiscal 2020, net cash used in financing activities was $202.0 million, consisting of the acquisition of treasury shares pursuant to the board of directors' approved stock repurchase plan of $182.2 million (4.4 million shares), and $24.5 million for shares repurchased for tax withholdings upon vesting of stock-based awards (0.5 million shares). These uses of cash were partially offset by proceeds of $4.7 million from the sale of common stock from our equity compensation plans.</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fiscal 2019, we used $841.5 million of cash in financing activities, consisting of $233.3 million in debt repayments related primarily to the $230.0 million payoff of our revolving credit as a result of the AMS disposition, acquisition of treasury shares from the tender offer of $503.4 million (11.2 million shares), acquisition of treasury shares pursuant to the board of directors' approved stock repurchase plan of $ 74.4 million (2.4 million shares), and $50.5 million for shares repurchased for tax withholdings upon vesting of stock-based awards (1.2 million shares). These uses of cash were partially offset by proceeds of $20.4 million from the sale of common stock from our equity compensation plans (1.3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59" w:name="page60"/>
    <w:bookmarkEnd w:id="59"/>
    <w:p>
      <w:pPr>
        <w:spacing w:after="0" w:line="261" w:lineRule="auto"/>
        <w:rPr>
          <w:sz w:val="20"/>
          <w:szCs w:val="20"/>
          <w:color w:val="auto"/>
        </w:rPr>
      </w:pPr>
      <w:r>
        <w:rPr>
          <w:rFonts w:ascii="Arial" w:cs="Arial" w:eastAsia="Arial" w:hAnsi="Arial"/>
          <w:sz w:val="18"/>
          <w:szCs w:val="18"/>
          <w:color w:val="auto"/>
        </w:rPr>
        <w:t>In fiscal 2018, we used $ 81.5 million of cash in financing activities. Proceeds from the debt refinancing of $230.0 million were used to pay the outstanding $225 million term and revolving loan balances, with interest, along with $4.0 million in fees related to the restated credit</w:t>
      </w:r>
    </w:p>
    <w:p>
      <w:pPr>
        <w:spacing w:after="0" w:line="2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agreement. We also used cash of $88.9 million (3.3 million shares) for the acquisition of treasury shares pursuant to the board of directors' approved stock repurchase plan, and $11.1 million for shares repurchased for tax withholdings upon vesting of stock-based awards (0.4 million shares). These uses of cash were partially offset by proceeds of $19.7 million from the sale of common stock from our equity compensation plans (1.1 million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In fiscal 2020, net cash provided by discontinued operations was $18.4 million primarily related to the final AMS disposition true-up payment.</w:t>
      </w:r>
    </w:p>
    <w:p>
      <w:pPr>
        <w:spacing w:after="0" w:line="25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In fiscal 2019, net cash provided by discontinued operations was $1.8 billion, primarily due to net proceeds from the sale of AMS of $2.3 billion offset partially by income taxes. In fiscal 2018, net cash provided by discontinued operations was $79.6 million related to AMS.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Items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Repurchase Program</w:t>
      </w:r>
    </w:p>
    <w:p>
      <w:pPr>
        <w:spacing w:after="0" w:line="270"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Under the modified common stock repurchase program, the Company may purchase up to $1.0 billion of its common stock through the period ending December 31, 2020. During the twelve months ended March 31, 2020, the Company repurchased 4.4 million shares of its common stock for $182.2 million under the stock repurchase program. Through March 31, 2020, the Company had repurchased a total of 26.9 million shares of its stock for $631.2 million under the stock repurchase program, leaving remaining capacity of $368.8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27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following table presents the Company’s contractual cash obligations and purchase commitments at March 31, 2020. Operating leases primarily consist of our various office facilities, purchase commitments primarily include contractual commitments for the purchase of data, and other commitments primarily include contractual commitments related to hosting services and software as a service arrangements. The table does not include the future payment of liabilities related to uncertain tax positions of $25.0 million as the Company is not able to predict the periods in which the payments will be made (dollars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years ending March 31,</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10"/>
        </w:trPr>
        <w:tc>
          <w:tcPr>
            <w:tcW w:w="30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281"/>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   10,703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2,678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   23,289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Future minimum payments as of March 31, 2020 related to restructuring plans as a result of the Company's exit from certain leased office facilities are: Fiscal 2021: $2,560; Fiscal 2022: $2,611; Fiscal 2023: $2,663; Fiscal 2024: $2,698; Fiscal 2025: $2,698; and Thereafter: $1,799.</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years ending March 31,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11,298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20,127</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Other commitments</w:t>
            </w:r>
          </w:p>
        </w:tc>
        <w:tc>
          <w:tcPr>
            <w:tcW w:w="240" w:type="dxa"/>
            <w:vAlign w:val="bottom"/>
          </w:tcPr>
          <w:p>
            <w:pPr>
              <w:spacing w:after="0"/>
              <w:rPr>
                <w:sz w:val="21"/>
                <w:szCs w:val="21"/>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22,316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25,754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83,456</w:t>
            </w:r>
          </w:p>
        </w:tc>
        <w:tc>
          <w:tcPr>
            <w:tcW w:w="0" w:type="dxa"/>
            <w:vAlign w:val="bottom"/>
          </w:tcPr>
          <w:p>
            <w:pPr>
              <w:spacing w:after="0"/>
              <w:rPr>
                <w:sz w:val="1"/>
                <w:szCs w:val="1"/>
                <w:color w:val="auto"/>
              </w:rPr>
            </w:pPr>
          </w:p>
        </w:tc>
      </w:tr>
      <w:tr>
        <w:trPr>
          <w:trHeight w:val="215"/>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and other</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8"/>
                <w:szCs w:val="18"/>
                <w:color w:val="auto"/>
              </w:rPr>
              <w:t>33,614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31,047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31,259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7,615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103,583</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commitments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60" w:name="page61"/>
    <w:bookmarkEnd w:id="60"/>
    <w:p>
      <w:pPr>
        <w:spacing w:after="0" w:line="261" w:lineRule="auto"/>
        <w:rPr>
          <w:sz w:val="20"/>
          <w:szCs w:val="20"/>
          <w:color w:val="auto"/>
        </w:rPr>
      </w:pPr>
      <w:r>
        <w:rPr>
          <w:rFonts w:ascii="Arial" w:cs="Arial" w:eastAsia="Arial" w:hAnsi="Arial"/>
          <w:sz w:val="18"/>
          <w:szCs w:val="18"/>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2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For a description of certain risks that could have an impact on results of operations or financial condition, including liquidity and capital resources, see “Risk Factors” contained in Part I, Item 1A, of this Annual 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information on recent accounting pronouncements, see “Adoption of New Accounting Standards” and “Recent Accounting Pronouncements” under Note 1, “Organization and Summary of Significant Accounting Policies,”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949" w:right="819" w:bottom="1440" w:gutter="0" w:footer="0" w:header="0"/>
        </w:sectPr>
      </w:pPr>
    </w:p>
    <w:bookmarkStart w:id="61" w:name="page62"/>
    <w:bookmarkEnd w:id="61"/>
    <w:p>
      <w:pPr>
        <w:ind w:left="2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LiveRamp Holdings,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7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LiveRamp Holdings, Inc. and subsidiaries (the Company) as of March 31, 2020 and 2019, the related consolidated statements of operations, comprehensive income (loss), equity, and cash flows for each of the years in the three-year period ended March 31, 2020 and the related notes (collectively, the “consolidated financial statements”). We also have audited the Company’s internal control over financial reporting as of March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March 31, 2020 and 2019, and the results of its operations and its cash flows for each of the years in the three-year period ended March 31, 2020, in conformity with U.S. generally accepted accounting principles. Also in our opinion, the Company maintained, in all material respects, effective internal control over financial reporting as of March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2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leases as of April 1, 2019 due to the adoption of ASU No. 2016-02, codified as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 discussed in Note 1 to the consolidated financial statements, the Company has changed its method of accounting for revenue recognition as of April 1, 2018 due to the adoption of ASU No. 2014-09, codified as ASC 606, </w:t>
      </w:r>
      <w:r>
        <w:rPr>
          <w:rFonts w:ascii="Arial" w:cs="Arial" w:eastAsia="Arial" w:hAnsi="Arial"/>
          <w:sz w:val="18"/>
          <w:szCs w:val="18"/>
          <w:i w:val="1"/>
          <w:iCs w:val="1"/>
          <w:color w:val="auto"/>
        </w:rPr>
        <w:t>Revenue from Contracts with Customers.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2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w:t>
      </w:r>
    </w:p>
    <w:p>
      <w:pPr>
        <w:spacing w:after="0" w:line="200" w:lineRule="exact"/>
        <w:rPr>
          <w:sz w:val="20"/>
          <w:szCs w:val="20"/>
          <w:color w:val="auto"/>
        </w:rPr>
      </w:pPr>
    </w:p>
    <w:p>
      <w:pPr>
        <w:spacing w:after="0" w:line="38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27" w:right="339" w:bottom="1440" w:gutter="0" w:footer="0" w:header="0"/>
        </w:sectPr>
      </w:pPr>
    </w:p>
    <w:bookmarkStart w:id="62" w:name="page63"/>
    <w:bookmarkEnd w:id="62"/>
    <w:p>
      <w:pPr>
        <w:ind w:right="680"/>
        <w:spacing w:after="0" w:line="261" w:lineRule="auto"/>
        <w:rPr>
          <w:sz w:val="20"/>
          <w:szCs w:val="20"/>
          <w:color w:val="auto"/>
        </w:rPr>
      </w:pPr>
      <w:r>
        <w:rPr>
          <w:rFonts w:ascii="Arial" w:cs="Arial" w:eastAsia="Arial" w:hAnsi="Arial"/>
          <w:sz w:val="18"/>
          <w:szCs w:val="18"/>
          <w:color w:val="auto"/>
        </w:rPr>
        <w:t>procedures as we considered necessary in the circumstances. We believe that our audits provide a reasonable basis for our opinions.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7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27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Evaluation of the sufficiency of audit evidence over revenue</w:t>
      </w:r>
    </w:p>
    <w:p>
      <w:pPr>
        <w:spacing w:after="0" w:line="270" w:lineRule="exact"/>
        <w:rPr>
          <w:sz w:val="20"/>
          <w:szCs w:val="20"/>
          <w:color w:val="auto"/>
        </w:rPr>
      </w:pPr>
    </w:p>
    <w:p>
      <w:pPr>
        <w:jc w:val="both"/>
        <w:ind w:left="640" w:right="400"/>
        <w:spacing w:after="0" w:line="256" w:lineRule="auto"/>
        <w:rPr>
          <w:sz w:val="20"/>
          <w:szCs w:val="20"/>
          <w:color w:val="auto"/>
        </w:rPr>
      </w:pPr>
      <w:r>
        <w:rPr>
          <w:rFonts w:ascii="Arial" w:cs="Arial" w:eastAsia="Arial" w:hAnsi="Arial"/>
          <w:sz w:val="18"/>
          <w:szCs w:val="18"/>
          <w:color w:val="auto"/>
        </w:rPr>
        <w:t>As discussed in Notes 1 and 3 to the consolidated financial statements, and disclosed in the consolidated statements of operations, the Company recorded $ 380.6 million of total revenues for the year ended March 31, 2020, of which $305.7 million was subscription related, and $74.9 million was marketplace and other related.</w:t>
      </w:r>
    </w:p>
    <w:p>
      <w:pPr>
        <w:spacing w:after="0" w:line="229" w:lineRule="exact"/>
        <w:rPr>
          <w:sz w:val="20"/>
          <w:szCs w:val="20"/>
          <w:color w:val="auto"/>
        </w:rPr>
      </w:pPr>
    </w:p>
    <w:p>
      <w:pPr>
        <w:ind w:left="640" w:right="60"/>
        <w:spacing w:after="0" w:line="256" w:lineRule="auto"/>
        <w:rPr>
          <w:sz w:val="20"/>
          <w:szCs w:val="20"/>
          <w:color w:val="auto"/>
        </w:rPr>
      </w:pPr>
      <w:r>
        <w:rPr>
          <w:rFonts w:ascii="Arial" w:cs="Arial" w:eastAsia="Arial" w:hAnsi="Arial"/>
          <w:sz w:val="18"/>
          <w:szCs w:val="18"/>
          <w:color w:val="auto"/>
        </w:rPr>
        <w:t>We identified the evaluation of the sufficiency of audit evidence over revenue as a critical audit matter. Evaluating the nature and extent of audit evidence obtained for new revenue contracts or amendments of existing contracts required subjective auditor judgment because of the non-standard nature of the Company’s revenue contracts.</w:t>
      </w:r>
    </w:p>
    <w:p>
      <w:pPr>
        <w:spacing w:after="0" w:line="229" w:lineRule="exact"/>
        <w:rPr>
          <w:sz w:val="20"/>
          <w:szCs w:val="20"/>
          <w:color w:val="auto"/>
        </w:rPr>
      </w:pPr>
    </w:p>
    <w:p>
      <w:pPr>
        <w:ind w:left="640" w:right="60"/>
        <w:spacing w:after="0" w:line="251"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applied auditor judgment to determine the nature and extent of procedures to be performed over new or amended revenue contracts. We tested certain internal controls over the Company’s revenue recognition process, including controls over the Company’s assessment of the revenue recognition requirements for new or amended revenue contracts. We tested certain new or amended contracts by reading the underlying contracts and evaluating the Company’s assessment of the revenue recognition requirements. We obtained external confirmation directly from certain of the Company’s customers and compared the terms and conditions relevant to the Company’s revenue recognition to the Company’s contracts with those customers. We assessed the recorded revenue by selecting a sample of transactions and comparing the amounts recognized for consistency with underlying documentation, including contracts with customers. In addition, we evaluated the overall sufficiency of audit evidence obtained over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49" w:right="379" w:bottom="1440" w:gutter="0" w:footer="0" w:header="0"/>
        </w:sectPr>
      </w:pPr>
    </w:p>
    <w:bookmarkStart w:id="63" w:name="page64"/>
    <w:bookmarkEnd w:id="63"/>
    <w:p>
      <w:pPr>
        <w:ind w:left="1300"/>
        <w:spacing w:after="0"/>
        <w:rPr>
          <w:sz w:val="20"/>
          <w:szCs w:val="20"/>
          <w:color w:val="auto"/>
        </w:rPr>
      </w:pPr>
      <w:r>
        <w:rPr>
          <w:rFonts w:ascii="Arial" w:cs="Arial" w:eastAsia="Arial" w:hAnsi="Arial"/>
          <w:sz w:val="18"/>
          <w:szCs w:val="18"/>
          <w:i w:val="1"/>
          <w:iCs w:val="1"/>
          <w:color w:val="auto"/>
        </w:rPr>
        <w:t>Evaluation of the initial measurement of certain intangible assets acquired</w:t>
      </w:r>
    </w:p>
    <w:p>
      <w:pPr>
        <w:spacing w:after="0" w:line="270" w:lineRule="exact"/>
        <w:rPr>
          <w:sz w:val="20"/>
          <w:szCs w:val="20"/>
          <w:color w:val="auto"/>
        </w:rPr>
      </w:pPr>
    </w:p>
    <w:p>
      <w:pPr>
        <w:ind w:left="1300" w:right="300"/>
        <w:spacing w:after="0" w:line="254" w:lineRule="auto"/>
        <w:rPr>
          <w:sz w:val="20"/>
          <w:szCs w:val="20"/>
          <w:color w:val="auto"/>
        </w:rPr>
      </w:pPr>
      <w:r>
        <w:rPr>
          <w:rFonts w:ascii="Arial" w:cs="Arial" w:eastAsia="Arial" w:hAnsi="Arial"/>
          <w:sz w:val="18"/>
          <w:szCs w:val="18"/>
          <w:color w:val="auto"/>
        </w:rPr>
        <w:t>As discussed in Note 5 to the consolidated financial statements, on July 2, 2019, the Company acquired Data Plus Math Corporation (“DPM”) in a business combination. As a result of the transaction, the Company acquired data supply relationships, developed technology, customer relationships, and trademarks intangible assets. The acquisition-date fair value for the intangible assets was $34.0 million.</w:t>
      </w:r>
    </w:p>
    <w:p>
      <w:pPr>
        <w:spacing w:after="0" w:line="231" w:lineRule="exact"/>
        <w:rPr>
          <w:sz w:val="20"/>
          <w:szCs w:val="20"/>
          <w:color w:val="auto"/>
        </w:rPr>
      </w:pPr>
    </w:p>
    <w:p>
      <w:pPr>
        <w:ind w:left="1300"/>
        <w:spacing w:after="0" w:line="252" w:lineRule="auto"/>
        <w:rPr>
          <w:sz w:val="20"/>
          <w:szCs w:val="20"/>
          <w:color w:val="auto"/>
        </w:rPr>
      </w:pPr>
      <w:r>
        <w:rPr>
          <w:rFonts w:ascii="Arial" w:cs="Arial" w:eastAsia="Arial" w:hAnsi="Arial"/>
          <w:sz w:val="18"/>
          <w:szCs w:val="18"/>
          <w:color w:val="auto"/>
        </w:rPr>
        <w:t>We identified the evaluation of the initial measurement of the acquired data supply relationships, developed technology, and customer relationships intangible assets acquired in the DPM transaction as a critical audit matter. There was a high degree of subjectivity in evaluating the revenue growth rates, discount rates and royalty rate used in the valuation models to calculate the acquisition-date fair value of the intangible assets. The valuation models included the internally-developed assumptions noted above, for which there was limited observable market information, and the calculated fair value of such assets was sensitive to changes to certain assumptions.</w:t>
      </w:r>
    </w:p>
    <w:p>
      <w:pPr>
        <w:spacing w:after="0" w:line="235" w:lineRule="exact"/>
        <w:rPr>
          <w:sz w:val="20"/>
          <w:szCs w:val="20"/>
          <w:color w:val="auto"/>
        </w:rPr>
      </w:pPr>
    </w:p>
    <w:p>
      <w:pPr>
        <w:ind w:left="1300" w:right="20"/>
        <w:spacing w:after="0" w:line="252" w:lineRule="auto"/>
        <w:rPr>
          <w:sz w:val="20"/>
          <w:szCs w:val="20"/>
          <w:color w:val="auto"/>
        </w:rPr>
      </w:pPr>
      <w:r>
        <w:rPr>
          <w:rFonts w:ascii="Arial" w:cs="Arial" w:eastAsia="Arial" w:hAnsi="Arial"/>
          <w:sz w:val="18"/>
          <w:szCs w:val="18"/>
          <w:color w:val="auto"/>
        </w:rPr>
        <w:t>The primary procedures we performed to address this critical audit matter included the following. We tested certain internal controls over the Company’s acquisition-date valuation process to develop the assumptions noted above. We evaluated the Company’s forecasted revenue growth rates by comparing the forecasted revenue growth assumptions to the Company’s recent similar transactions. We compared the Company’s historical revenue forecasts to actual results to assess the Company’s ability to accurately forecast. In addition, we involved valuation professionals with specialized skills and knowledge, who assisted in:</w:t>
      </w:r>
    </w:p>
    <w:p>
      <w:pPr>
        <w:spacing w:after="0" w:line="235" w:lineRule="exact"/>
        <w:rPr>
          <w:sz w:val="20"/>
          <w:szCs w:val="20"/>
          <w:color w:val="auto"/>
        </w:rPr>
      </w:pPr>
    </w:p>
    <w:p>
      <w:pPr>
        <w:ind w:left="1300" w:right="580" w:firstLine="4"/>
        <w:spacing w:after="0" w:line="261" w:lineRule="auto"/>
        <w:tabs>
          <w:tab w:leader="none" w:pos="14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evaluating the Company’s discount rates, by comparing them against discount rate ranges that were independently developed using publicly available market data for comparable entities;</w:t>
      </w:r>
    </w:p>
    <w:p>
      <w:pPr>
        <w:spacing w:after="0" w:line="224" w:lineRule="exact"/>
        <w:rPr>
          <w:rFonts w:ascii="Arial" w:cs="Arial" w:eastAsia="Arial" w:hAnsi="Arial"/>
          <w:sz w:val="18"/>
          <w:szCs w:val="18"/>
          <w:color w:val="auto"/>
        </w:rPr>
      </w:pPr>
    </w:p>
    <w:p>
      <w:pPr>
        <w:ind w:left="1300" w:right="380" w:firstLine="4"/>
        <w:spacing w:after="0" w:line="261" w:lineRule="auto"/>
        <w:tabs>
          <w:tab w:leader="none" w:pos="14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evaluating the Company’s developed technology royalty rate by comparing it to publicly available data for comparable entities; and</w:t>
      </w:r>
    </w:p>
    <w:p>
      <w:pPr>
        <w:spacing w:after="0" w:line="224" w:lineRule="exact"/>
        <w:rPr>
          <w:rFonts w:ascii="Arial" w:cs="Arial" w:eastAsia="Arial" w:hAnsi="Arial"/>
          <w:sz w:val="18"/>
          <w:szCs w:val="18"/>
          <w:color w:val="auto"/>
        </w:rPr>
      </w:pPr>
    </w:p>
    <w:p>
      <w:pPr>
        <w:ind w:left="1300" w:right="1060" w:firstLine="4"/>
        <w:spacing w:after="0" w:line="261" w:lineRule="auto"/>
        <w:tabs>
          <w:tab w:leader="none" w:pos="14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assessing the estimated fair values of the intangible assets using the Company’s cash flow forecasts and our independently developed discount rate ranges.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6"/>
          <w:szCs w:val="16"/>
          <w:color w:val="auto"/>
        </w:rPr>
        <w:t>LIVERAMP HOLDINGS, INC. AND SUBSIDIARIES</w:t>
      </w:r>
    </w:p>
    <w:p>
      <w:pPr>
        <w:spacing w:after="0" w:line="5"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CONSOLIDATED BALANCE SHEETS</w:t>
      </w:r>
    </w:p>
    <w:p>
      <w:pPr>
        <w:spacing w:after="0" w:line="5"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(Dollars in thousands, except per share data)</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6"/>
                <w:szCs w:val="16"/>
                <w:color w:val="auto"/>
              </w:rPr>
            </w:pPr>
          </w:p>
        </w:tc>
        <w:tc>
          <w:tcPr>
            <w:tcW w:w="1200" w:type="dxa"/>
            <w:vAlign w:val="bottom"/>
          </w:tcPr>
          <w:p>
            <w:pPr>
              <w:jc w:val="right"/>
              <w:ind w:right="31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222"/>
        </w:trPr>
        <w:tc>
          <w:tcPr>
            <w:tcW w:w="2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5"/>
        </w:trPr>
        <w:tc>
          <w:tcPr>
            <w:tcW w:w="2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480" w:type="dxa"/>
            <w:vAlign w:val="bottom"/>
            <w:gridSpan w:val="3"/>
          </w:tcPr>
          <w:p>
            <w:pPr>
              <w:jc w:val="center"/>
              <w:ind w:right="3840"/>
              <w:spacing w:after="0" w:line="175" w:lineRule="exact"/>
              <w:rPr>
                <w:sz w:val="20"/>
                <w:szCs w:val="20"/>
                <w:color w:val="auto"/>
              </w:rPr>
            </w:pPr>
            <w:r>
              <w:rPr>
                <w:rFonts w:ascii="Arial" w:cs="Arial" w:eastAsia="Arial" w:hAnsi="Arial"/>
                <w:sz w:val="16"/>
                <w:szCs w:val="16"/>
                <w:b w:val="1"/>
                <w:bCs w:val="1"/>
                <w:color w:val="auto"/>
                <w:w w:val="99"/>
              </w:rPr>
              <w:t>ASSETS</w:t>
            </w: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220" w:type="dxa"/>
            <w:vAlign w:val="bottom"/>
            <w:gridSpan w:val="5"/>
          </w:tcPr>
          <w:p>
            <w:pPr>
              <w:ind w:left="12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717,811</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1,061,473</w:t>
            </w:r>
          </w:p>
        </w:tc>
        <w:tc>
          <w:tcPr>
            <w:tcW w:w="0" w:type="dxa"/>
            <w:vAlign w:val="bottom"/>
          </w:tcPr>
          <w:p>
            <w:pPr>
              <w:spacing w:after="0"/>
              <w:rPr>
                <w:sz w:val="1"/>
                <w:szCs w:val="1"/>
                <w:color w:val="auto"/>
              </w:rPr>
            </w:pPr>
          </w:p>
        </w:tc>
      </w:tr>
      <w:tr>
        <w:trPr>
          <w:trHeight w:val="253"/>
        </w:trPr>
        <w:tc>
          <w:tcPr>
            <w:tcW w:w="82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14,815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8220" w:type="dxa"/>
            <w:vAlign w:val="bottom"/>
            <w:gridSpan w:val="5"/>
          </w:tcPr>
          <w:p>
            <w:pPr>
              <w:ind w:left="120"/>
              <w:spacing w:after="0"/>
              <w:rPr>
                <w:sz w:val="20"/>
                <w:szCs w:val="20"/>
                <w:color w:val="auto"/>
              </w:rPr>
            </w:pPr>
            <w:r>
              <w:rPr>
                <w:rFonts w:ascii="Arial" w:cs="Arial" w:eastAsia="Arial" w:hAnsi="Arial"/>
                <w:sz w:val="16"/>
                <w:szCs w:val="16"/>
                <w:color w:val="auto"/>
              </w:rPr>
              <w:t>Trade accounts receivable, net</w:t>
            </w:r>
          </w:p>
        </w:tc>
        <w:tc>
          <w:tcPr>
            <w:tcW w:w="2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92,761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78,563</w:t>
            </w:r>
          </w:p>
        </w:tc>
        <w:tc>
          <w:tcPr>
            <w:tcW w:w="0" w:type="dxa"/>
            <w:vAlign w:val="bottom"/>
          </w:tcPr>
          <w:p>
            <w:pPr>
              <w:spacing w:after="0"/>
              <w:rPr>
                <w:sz w:val="1"/>
                <w:szCs w:val="1"/>
                <w:color w:val="auto"/>
              </w:rPr>
            </w:pPr>
          </w:p>
        </w:tc>
      </w:tr>
      <w:tr>
        <w:trPr>
          <w:trHeight w:val="253"/>
        </w:trPr>
        <w:tc>
          <w:tcPr>
            <w:tcW w:w="82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Refundable income taxes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38,340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7,890</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gridSpan w:val="5"/>
          </w:tcPr>
          <w:p>
            <w:pPr>
              <w:ind w:left="12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32,666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44,150</w:t>
            </w:r>
          </w:p>
        </w:tc>
        <w:tc>
          <w:tcPr>
            <w:tcW w:w="0" w:type="dxa"/>
            <w:vAlign w:val="bottom"/>
          </w:tcPr>
          <w:p>
            <w:pPr>
              <w:spacing w:after="0"/>
              <w:rPr>
                <w:sz w:val="1"/>
                <w:szCs w:val="1"/>
                <w:color w:val="auto"/>
              </w:rPr>
            </w:pPr>
          </w:p>
        </w:tc>
      </w:tr>
      <w:tr>
        <w:trPr>
          <w:trHeight w:val="237"/>
        </w:trPr>
        <w:tc>
          <w:tcPr>
            <w:tcW w:w="82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896,393</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1,192,076</w:t>
            </w:r>
          </w:p>
        </w:tc>
        <w:tc>
          <w:tcPr>
            <w:tcW w:w="0" w:type="dxa"/>
            <w:vAlign w:val="bottom"/>
          </w:tcPr>
          <w:p>
            <w:pPr>
              <w:spacing w:after="0"/>
              <w:rPr>
                <w:sz w:val="1"/>
                <w:szCs w:val="1"/>
                <w:color w:val="auto"/>
              </w:rPr>
            </w:pPr>
          </w:p>
        </w:tc>
      </w:tr>
      <w:tr>
        <w:trPr>
          <w:trHeight w:val="256"/>
        </w:trPr>
        <w:tc>
          <w:tcPr>
            <w:tcW w:w="23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2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and amortization</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19,321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26,043</w:t>
            </w:r>
          </w:p>
        </w:tc>
        <w:tc>
          <w:tcPr>
            <w:tcW w:w="0" w:type="dxa"/>
            <w:vAlign w:val="bottom"/>
          </w:tcPr>
          <w:p>
            <w:pPr>
              <w:spacing w:after="0"/>
              <w:rPr>
                <w:sz w:val="1"/>
                <w:szCs w:val="1"/>
                <w:color w:val="auto"/>
              </w:rPr>
            </w:pPr>
          </w:p>
        </w:tc>
      </w:tr>
      <w:tr>
        <w:trPr>
          <w:trHeight w:val="233"/>
        </w:trPr>
        <w:tc>
          <w:tcPr>
            <w:tcW w:w="8220" w:type="dxa"/>
            <w:vAlign w:val="bottom"/>
            <w:gridSpan w:val="5"/>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45,200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28,592</w:t>
            </w:r>
          </w:p>
        </w:tc>
        <w:tc>
          <w:tcPr>
            <w:tcW w:w="0" w:type="dxa"/>
            <w:vAlign w:val="bottom"/>
          </w:tcPr>
          <w:p>
            <w:pPr>
              <w:spacing w:after="0"/>
              <w:rPr>
                <w:sz w:val="1"/>
                <w:szCs w:val="1"/>
                <w:color w:val="auto"/>
              </w:rPr>
            </w:pPr>
          </w:p>
        </w:tc>
      </w:tr>
      <w:tr>
        <w:trPr>
          <w:trHeight w:val="253"/>
        </w:trPr>
        <w:tc>
          <w:tcPr>
            <w:tcW w:w="82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297,796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204,656</w:t>
            </w:r>
          </w:p>
        </w:tc>
        <w:tc>
          <w:tcPr>
            <w:tcW w:w="0" w:type="dxa"/>
            <w:vAlign w:val="bottom"/>
          </w:tcPr>
          <w:p>
            <w:pPr>
              <w:spacing w:after="0"/>
              <w:rPr>
                <w:sz w:val="1"/>
                <w:szCs w:val="1"/>
                <w:color w:val="auto"/>
              </w:rPr>
            </w:pPr>
          </w:p>
        </w:tc>
      </w:tr>
      <w:tr>
        <w:trPr>
          <w:trHeight w:val="233"/>
        </w:trPr>
        <w:tc>
          <w:tcPr>
            <w:tcW w:w="8220" w:type="dxa"/>
            <w:vAlign w:val="bottom"/>
            <w:gridSpan w:val="5"/>
          </w:tcPr>
          <w:p>
            <w:pPr>
              <w:ind w:left="20"/>
              <w:spacing w:after="0"/>
              <w:rPr>
                <w:sz w:val="20"/>
                <w:szCs w:val="20"/>
                <w:color w:val="auto"/>
              </w:rPr>
            </w:pPr>
            <w:r>
              <w:rPr>
                <w:rFonts w:ascii="Arial" w:cs="Arial" w:eastAsia="Arial" w:hAnsi="Arial"/>
                <w:sz w:val="16"/>
                <w:szCs w:val="16"/>
                <w:color w:val="auto"/>
              </w:rPr>
              <w:t>Deferred commissions, net</w:t>
            </w:r>
          </w:p>
        </w:tc>
        <w:tc>
          <w:tcPr>
            <w:tcW w:w="2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10,741</w:t>
            </w:r>
          </w:p>
        </w:tc>
        <w:tc>
          <w:tcPr>
            <w:tcW w:w="0" w:type="dxa"/>
            <w:vAlign w:val="bottom"/>
          </w:tcPr>
          <w:p>
            <w:pPr>
              <w:spacing w:after="0"/>
              <w:rPr>
                <w:sz w:val="1"/>
                <w:szCs w:val="1"/>
                <w:color w:val="auto"/>
              </w:rPr>
            </w:pPr>
          </w:p>
        </w:tc>
      </w:tr>
      <w:tr>
        <w:trPr>
          <w:trHeight w:val="246"/>
        </w:trPr>
        <w:tc>
          <w:tcPr>
            <w:tcW w:w="822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Other assets, net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27,165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10,803</w:t>
            </w:r>
          </w:p>
        </w:tc>
        <w:tc>
          <w:tcPr>
            <w:tcW w:w="0" w:type="dxa"/>
            <w:vAlign w:val="bottom"/>
          </w:tcPr>
          <w:p>
            <w:pPr>
              <w:spacing w:after="0"/>
              <w:rPr>
                <w:sz w:val="1"/>
                <w:szCs w:val="1"/>
                <w:color w:val="auto"/>
              </w:rPr>
            </w:pPr>
          </w:p>
        </w:tc>
      </w:tr>
      <w:tr>
        <w:trPr>
          <w:trHeight w:val="237"/>
        </w:trPr>
        <w:tc>
          <w:tcPr>
            <w:tcW w:w="2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1,301,889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1,472,911</w:t>
            </w:r>
          </w:p>
        </w:tc>
        <w:tc>
          <w:tcPr>
            <w:tcW w:w="0" w:type="dxa"/>
            <w:vAlign w:val="bottom"/>
          </w:tcPr>
          <w:p>
            <w:pPr>
              <w:spacing w:after="0"/>
              <w:rPr>
                <w:sz w:val="1"/>
                <w:szCs w:val="1"/>
                <w:color w:val="auto"/>
              </w:rPr>
            </w:pPr>
          </w:p>
        </w:tc>
      </w:tr>
      <w:tr>
        <w:trPr>
          <w:trHeight w:val="21"/>
        </w:trPr>
        <w:tc>
          <w:tcPr>
            <w:tcW w:w="23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360" w:type="dxa"/>
            <w:vAlign w:val="bottom"/>
            <w:shd w:val="clear" w:color="auto" w:fill="CCEEFF"/>
          </w:tcPr>
          <w:p>
            <w:pPr>
              <w:spacing w:after="0"/>
              <w:rPr>
                <w:sz w:val="17"/>
                <w:szCs w:val="17"/>
                <w:color w:val="auto"/>
              </w:rPr>
            </w:pPr>
          </w:p>
        </w:tc>
        <w:tc>
          <w:tcPr>
            <w:tcW w:w="5860" w:type="dxa"/>
            <w:vAlign w:val="bottom"/>
            <w:gridSpan w:val="4"/>
            <w:shd w:val="clear" w:color="auto" w:fill="CCEEFF"/>
          </w:tcPr>
          <w:p>
            <w:pPr>
              <w:jc w:val="center"/>
              <w:ind w:right="2460"/>
              <w:spacing w:after="0" w:line="162" w:lineRule="exact"/>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3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Current liabilities:</w:t>
            </w:r>
          </w:p>
        </w:tc>
        <w:tc>
          <w:tcPr>
            <w:tcW w:w="3400" w:type="dxa"/>
            <w:vAlign w:val="bottom"/>
            <w:tcBorders>
              <w:top w:val="single" w:sz="8" w:color="auto"/>
            </w:tcBorders>
            <w:gridSpan w:val="3"/>
          </w:tcPr>
          <w:p>
            <w:pPr>
              <w:spacing w:after="0"/>
              <w:rPr>
                <w:sz w:val="20"/>
                <w:szCs w:val="20"/>
                <w:color w:val="auto"/>
              </w:rPr>
            </w:pPr>
          </w:p>
        </w:tc>
        <w:tc>
          <w:tcPr>
            <w:tcW w:w="246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2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Trade accounts payable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42,204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31,203</w:t>
            </w:r>
          </w:p>
        </w:tc>
        <w:tc>
          <w:tcPr>
            <w:tcW w:w="0" w:type="dxa"/>
            <w:vAlign w:val="bottom"/>
          </w:tcPr>
          <w:p>
            <w:pPr>
              <w:spacing w:after="0"/>
              <w:rPr>
                <w:sz w:val="1"/>
                <w:szCs w:val="1"/>
                <w:color w:val="auto"/>
              </w:rPr>
            </w:pPr>
          </w:p>
        </w:tc>
      </w:tr>
      <w:tr>
        <w:trPr>
          <w:trHeight w:val="233"/>
        </w:trPr>
        <w:tc>
          <w:tcPr>
            <w:tcW w:w="8220" w:type="dxa"/>
            <w:vAlign w:val="bottom"/>
            <w:gridSpan w:val="5"/>
          </w:tcPr>
          <w:p>
            <w:pPr>
              <w:ind w:left="120"/>
              <w:spacing w:after="0"/>
              <w:rPr>
                <w:sz w:val="20"/>
                <w:szCs w:val="20"/>
                <w:color w:val="auto"/>
              </w:rPr>
            </w:pPr>
            <w:r>
              <w:rPr>
                <w:rFonts w:ascii="Arial" w:cs="Arial" w:eastAsia="Arial" w:hAnsi="Arial"/>
                <w:sz w:val="16"/>
                <w:szCs w:val="16"/>
                <w:color w:val="auto"/>
              </w:rPr>
              <w:t>Accrued payroll and related expenses</w:t>
            </w:r>
          </w:p>
        </w:tc>
        <w:tc>
          <w:tcPr>
            <w:tcW w:w="2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28,791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18,715</w:t>
            </w:r>
          </w:p>
        </w:tc>
        <w:tc>
          <w:tcPr>
            <w:tcW w:w="0" w:type="dxa"/>
            <w:vAlign w:val="bottom"/>
          </w:tcPr>
          <w:p>
            <w:pPr>
              <w:spacing w:after="0"/>
              <w:rPr>
                <w:sz w:val="1"/>
                <w:szCs w:val="1"/>
                <w:color w:val="auto"/>
              </w:rPr>
            </w:pPr>
          </w:p>
        </w:tc>
      </w:tr>
      <w:tr>
        <w:trPr>
          <w:trHeight w:val="253"/>
        </w:trPr>
        <w:tc>
          <w:tcPr>
            <w:tcW w:w="82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Other accrued expenses</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68,991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40,916</w:t>
            </w:r>
          </w:p>
        </w:tc>
        <w:tc>
          <w:tcPr>
            <w:tcW w:w="0" w:type="dxa"/>
            <w:vAlign w:val="bottom"/>
          </w:tcPr>
          <w:p>
            <w:pPr>
              <w:spacing w:after="0"/>
              <w:rPr>
                <w:sz w:val="1"/>
                <w:szCs w:val="1"/>
                <w:color w:val="auto"/>
              </w:rPr>
            </w:pPr>
          </w:p>
        </w:tc>
      </w:tr>
      <w:tr>
        <w:trPr>
          <w:trHeight w:val="233"/>
        </w:trPr>
        <w:tc>
          <w:tcPr>
            <w:tcW w:w="8220" w:type="dxa"/>
            <w:vAlign w:val="bottom"/>
            <w:gridSpan w:val="5"/>
          </w:tcPr>
          <w:p>
            <w:pPr>
              <w:ind w:left="120"/>
              <w:spacing w:after="0"/>
              <w:rPr>
                <w:sz w:val="20"/>
                <w:szCs w:val="20"/>
                <w:color w:val="auto"/>
              </w:rPr>
            </w:pPr>
            <w:r>
              <w:rPr>
                <w:rFonts w:ascii="Arial" w:cs="Arial" w:eastAsia="Arial" w:hAnsi="Arial"/>
                <w:sz w:val="16"/>
                <w:szCs w:val="16"/>
                <w:color w:val="auto"/>
              </w:rPr>
              <w:t>Acquisition escrow payable</w:t>
            </w:r>
          </w:p>
        </w:tc>
        <w:tc>
          <w:tcPr>
            <w:tcW w:w="2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14,815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82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6,581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4,284</w:t>
            </w: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gridSpan w:val="5"/>
          </w:tcPr>
          <w:p>
            <w:pPr>
              <w:ind w:left="34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161,382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95,118</w:t>
            </w:r>
          </w:p>
        </w:tc>
        <w:tc>
          <w:tcPr>
            <w:tcW w:w="0" w:type="dxa"/>
            <w:vAlign w:val="bottom"/>
          </w:tcPr>
          <w:p>
            <w:pPr>
              <w:spacing w:after="0"/>
              <w:rPr>
                <w:sz w:val="1"/>
                <w:szCs w:val="1"/>
                <w:color w:val="auto"/>
              </w:rPr>
            </w:pPr>
          </w:p>
        </w:tc>
      </w:tr>
      <w:tr>
        <w:trPr>
          <w:trHeight w:val="256"/>
        </w:trPr>
        <w:tc>
          <w:tcPr>
            <w:tcW w:w="23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8220" w:type="dxa"/>
            <w:vAlign w:val="bottom"/>
            <w:gridSpan w:val="5"/>
          </w:tcPr>
          <w:p>
            <w:pPr>
              <w:ind w:left="2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52,995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46,961</w:t>
            </w:r>
          </w:p>
        </w:tc>
        <w:tc>
          <w:tcPr>
            <w:tcW w:w="0" w:type="dxa"/>
            <w:vAlign w:val="bottom"/>
          </w:tcPr>
          <w:p>
            <w:pPr>
              <w:spacing w:after="0"/>
              <w:rPr>
                <w:sz w:val="1"/>
                <w:szCs w:val="1"/>
                <w:color w:val="auto"/>
              </w:rPr>
            </w:pPr>
          </w:p>
        </w:tc>
      </w:tr>
      <w:tr>
        <w:trPr>
          <w:trHeight w:val="266"/>
        </w:trPr>
        <w:tc>
          <w:tcPr>
            <w:tcW w:w="23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220" w:type="dxa"/>
            <w:vAlign w:val="bottom"/>
            <w:gridSpan w:val="5"/>
          </w:tcPr>
          <w:p>
            <w:pPr>
              <w:ind w:left="20"/>
              <w:spacing w:after="0"/>
              <w:rPr>
                <w:sz w:val="20"/>
                <w:szCs w:val="20"/>
                <w:color w:val="auto"/>
              </w:rPr>
            </w:pPr>
            <w:r>
              <w:rPr>
                <w:rFonts w:ascii="Arial" w:cs="Arial" w:eastAsia="Arial" w:hAnsi="Arial"/>
                <w:sz w:val="16"/>
                <w:szCs w:val="16"/>
                <w:color w:val="auto"/>
              </w:rPr>
              <w:t>Commitments and contingencies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23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8220" w:type="dxa"/>
            <w:vAlign w:val="bottom"/>
            <w:gridSpan w:val="5"/>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2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(authorized 1 million shares; issued 0 shares at March 31, 2020 and 2019,</w:t>
            </w:r>
          </w:p>
        </w:tc>
        <w:tc>
          <w:tcPr>
            <w:tcW w:w="24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8220" w:type="dxa"/>
            <w:vAlign w:val="bottom"/>
            <w:gridSpan w:val="5"/>
            <w:shd w:val="clear" w:color="auto" w:fill="CCEEFF"/>
          </w:tcPr>
          <w:p>
            <w:pPr>
              <w:ind w:left="140"/>
              <w:spacing w:after="0"/>
              <w:rPr>
                <w:sz w:val="20"/>
                <w:szCs w:val="20"/>
                <w:color w:val="auto"/>
              </w:rPr>
            </w:pPr>
            <w:r>
              <w:rPr>
                <w:rFonts w:ascii="Arial" w:cs="Arial" w:eastAsia="Arial" w:hAnsi="Arial"/>
                <w:sz w:val="16"/>
                <w:szCs w:val="16"/>
                <w:color w:val="auto"/>
              </w:rPr>
              <w:t>respectively)</w:t>
            </w:r>
          </w:p>
        </w:tc>
        <w:tc>
          <w:tcPr>
            <w:tcW w:w="240" w:type="dxa"/>
            <w:vAlign w:val="bottom"/>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220" w:type="dxa"/>
            <w:vAlign w:val="bottom"/>
            <w:gridSpan w:val="5"/>
          </w:tcPr>
          <w:p>
            <w:pPr>
              <w:ind w:left="140"/>
              <w:spacing w:after="0" w:line="178" w:lineRule="exact"/>
              <w:rPr>
                <w:sz w:val="20"/>
                <w:szCs w:val="20"/>
                <w:color w:val="auto"/>
              </w:rPr>
            </w:pPr>
            <w:r>
              <w:rPr>
                <w:rFonts w:ascii="Arial" w:cs="Arial" w:eastAsia="Arial" w:hAnsi="Arial"/>
                <w:sz w:val="16"/>
                <w:szCs w:val="16"/>
                <w:color w:val="auto"/>
              </w:rPr>
              <w:t>Common stock, $0.10 par value (authorized 200 million shares; issued 143.9 million and 141.9 million shares</w:t>
            </w:r>
          </w:p>
        </w:tc>
        <w:tc>
          <w:tcPr>
            <w:tcW w:w="240" w:type="dxa"/>
            <w:vAlign w:val="bottom"/>
          </w:tcPr>
          <w:p>
            <w:pPr>
              <w:spacing w:after="0"/>
              <w:rPr>
                <w:sz w:val="15"/>
                <w:szCs w:val="15"/>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14,394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14,187</w:t>
            </w:r>
          </w:p>
        </w:tc>
        <w:tc>
          <w:tcPr>
            <w:tcW w:w="0" w:type="dxa"/>
            <w:vAlign w:val="bottom"/>
          </w:tcPr>
          <w:p>
            <w:pPr>
              <w:spacing w:after="0"/>
              <w:rPr>
                <w:sz w:val="1"/>
                <w:szCs w:val="1"/>
                <w:color w:val="auto"/>
              </w:rPr>
            </w:pPr>
          </w:p>
        </w:tc>
      </w:tr>
      <w:tr>
        <w:trPr>
          <w:trHeight w:val="198"/>
        </w:trPr>
        <w:tc>
          <w:tcPr>
            <w:tcW w:w="8220" w:type="dxa"/>
            <w:vAlign w:val="bottom"/>
            <w:gridSpan w:val="5"/>
          </w:tcPr>
          <w:p>
            <w:pPr>
              <w:ind w:left="140"/>
              <w:spacing w:after="0"/>
              <w:rPr>
                <w:sz w:val="20"/>
                <w:szCs w:val="20"/>
                <w:color w:val="auto"/>
              </w:rPr>
            </w:pPr>
            <w:r>
              <w:rPr>
                <w:rFonts w:ascii="Arial" w:cs="Arial" w:eastAsia="Arial" w:hAnsi="Arial"/>
                <w:sz w:val="16"/>
                <w:szCs w:val="16"/>
                <w:color w:val="auto"/>
              </w:rPr>
              <w:t>at March 31, 2020 and 2019, respectively)</w:t>
            </w:r>
          </w:p>
        </w:tc>
        <w:tc>
          <w:tcPr>
            <w:tcW w:w="2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82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1,496,565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1,406,813</w:t>
            </w:r>
          </w:p>
        </w:tc>
        <w:tc>
          <w:tcPr>
            <w:tcW w:w="0" w:type="dxa"/>
            <w:vAlign w:val="bottom"/>
          </w:tcPr>
          <w:p>
            <w:pPr>
              <w:spacing w:after="0"/>
              <w:rPr>
                <w:sz w:val="1"/>
                <w:szCs w:val="1"/>
                <w:color w:val="auto"/>
              </w:rPr>
            </w:pPr>
          </w:p>
        </w:tc>
      </w:tr>
      <w:tr>
        <w:trPr>
          <w:trHeight w:val="233"/>
        </w:trPr>
        <w:tc>
          <w:tcPr>
            <w:tcW w:w="8220" w:type="dxa"/>
            <w:vAlign w:val="bottom"/>
            <w:gridSpan w:val="5"/>
          </w:tcPr>
          <w:p>
            <w:pPr>
              <w:ind w:left="12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1,545,094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1,669,605</w:t>
            </w:r>
          </w:p>
        </w:tc>
        <w:tc>
          <w:tcPr>
            <w:tcW w:w="0" w:type="dxa"/>
            <w:vAlign w:val="bottom"/>
          </w:tcPr>
          <w:p>
            <w:pPr>
              <w:spacing w:after="0"/>
              <w:rPr>
                <w:sz w:val="1"/>
                <w:szCs w:val="1"/>
                <w:color w:val="auto"/>
              </w:rPr>
            </w:pPr>
          </w:p>
        </w:tc>
      </w:tr>
      <w:tr>
        <w:trPr>
          <w:trHeight w:val="253"/>
        </w:trPr>
        <w:tc>
          <w:tcPr>
            <w:tcW w:w="8220" w:type="dxa"/>
            <w:vAlign w:val="bottom"/>
            <w:gridSpan w:val="5"/>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7,801</w:t>
            </w:r>
          </w:p>
        </w:tc>
        <w:tc>
          <w:tcPr>
            <w:tcW w:w="0" w:type="dxa"/>
            <w:vAlign w:val="bottom"/>
          </w:tcPr>
          <w:p>
            <w:pPr>
              <w:spacing w:after="0"/>
              <w:rPr>
                <w:sz w:val="1"/>
                <w:szCs w:val="1"/>
                <w:color w:val="auto"/>
              </w:rPr>
            </w:pPr>
          </w:p>
        </w:tc>
      </w:tr>
      <w:tr>
        <w:trPr>
          <w:trHeight w:val="240"/>
        </w:trPr>
        <w:tc>
          <w:tcPr>
            <w:tcW w:w="8220" w:type="dxa"/>
            <w:vAlign w:val="bottom"/>
            <w:tcBorders>
              <w:bottom w:val="single" w:sz="8" w:color="CCEEFF"/>
            </w:tcBorders>
            <w:gridSpan w:val="5"/>
          </w:tcPr>
          <w:p>
            <w:pPr>
              <w:ind w:left="140"/>
              <w:spacing w:after="0"/>
              <w:rPr>
                <w:sz w:val="20"/>
                <w:szCs w:val="20"/>
                <w:color w:val="auto"/>
              </w:rPr>
            </w:pPr>
            <w:r>
              <w:rPr>
                <w:rFonts w:ascii="Arial" w:cs="Arial" w:eastAsia="Arial" w:hAnsi="Arial"/>
                <w:sz w:val="16"/>
                <w:szCs w:val="16"/>
                <w:color w:val="auto"/>
              </w:rPr>
              <w:t>Treasury stock, at cost (78.1 million and 73.2 million n shares at March 31, 2020 and 2019, respectively)</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(1,974,286)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(1,767,574)</w:t>
            </w:r>
          </w:p>
        </w:tc>
        <w:tc>
          <w:tcPr>
            <w:tcW w:w="0" w:type="dxa"/>
            <w:vAlign w:val="bottom"/>
          </w:tcPr>
          <w:p>
            <w:pPr>
              <w:spacing w:after="0"/>
              <w:rPr>
                <w:sz w:val="1"/>
                <w:szCs w:val="1"/>
                <w:color w:val="auto"/>
              </w:rPr>
            </w:pPr>
          </w:p>
        </w:tc>
      </w:tr>
      <w:tr>
        <w:trPr>
          <w:trHeight w:val="233"/>
        </w:trPr>
        <w:tc>
          <w:tcPr>
            <w:tcW w:w="8220" w:type="dxa"/>
            <w:vAlign w:val="bottom"/>
            <w:gridSpan w:val="5"/>
            <w:shd w:val="clear" w:color="auto" w:fill="CCEEFF"/>
          </w:tcPr>
          <w:p>
            <w:pPr>
              <w:ind w:left="3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1,087,512</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1,330,832</w:t>
            </w:r>
          </w:p>
        </w:tc>
        <w:tc>
          <w:tcPr>
            <w:tcW w:w="0" w:type="dxa"/>
            <w:vAlign w:val="bottom"/>
          </w:tcPr>
          <w:p>
            <w:pPr>
              <w:spacing w:after="0"/>
              <w:rPr>
                <w:sz w:val="1"/>
                <w:szCs w:val="1"/>
                <w:color w:val="auto"/>
              </w:rPr>
            </w:pPr>
          </w:p>
        </w:tc>
      </w:tr>
      <w:tr>
        <w:trPr>
          <w:trHeight w:val="236"/>
        </w:trPr>
        <w:tc>
          <w:tcPr>
            <w:tcW w:w="2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1,301,889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1,472,911</w:t>
            </w:r>
          </w:p>
        </w:tc>
        <w:tc>
          <w:tcPr>
            <w:tcW w:w="0" w:type="dxa"/>
            <w:vAlign w:val="bottom"/>
          </w:tcPr>
          <w:p>
            <w:pPr>
              <w:spacing w:after="0"/>
              <w:rPr>
                <w:sz w:val="1"/>
                <w:szCs w:val="1"/>
                <w:color w:val="auto"/>
              </w:rPr>
            </w:pPr>
          </w:p>
        </w:tc>
      </w:tr>
      <w:tr>
        <w:trPr>
          <w:trHeight w:val="27"/>
        </w:trPr>
        <w:tc>
          <w:tcPr>
            <w:tcW w:w="2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4" w:right="35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per share amounts)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66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5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380,572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285,620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220,101</w:t>
            </w:r>
          </w:p>
        </w:tc>
      </w:tr>
      <w:tr>
        <w:trPr>
          <w:trHeight w:val="25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152,704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120,718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96,396</w:t>
            </w:r>
          </w:p>
        </w:tc>
      </w:tr>
      <w:tr>
        <w:trPr>
          <w:trHeight w:val="257"/>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227,868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164,902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123,705</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3"/>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105,981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85,697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60,713</w:t>
            </w:r>
          </w:p>
        </w:tc>
      </w:tr>
      <w:tr>
        <w:trPr>
          <w:trHeight w:val="250"/>
        </w:trPr>
        <w:tc>
          <w:tcPr>
            <w:tcW w:w="668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188,905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158,540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108,639</w:t>
            </w:r>
          </w:p>
        </w:tc>
      </w:tr>
      <w:tr>
        <w:trPr>
          <w:trHeight w:val="263"/>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108,903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98,878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85,154</w:t>
            </w:r>
          </w:p>
        </w:tc>
      </w:tr>
      <w:tr>
        <w:trPr>
          <w:trHeight w:val="250"/>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Gains, losses and other items, net</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19,933</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2,723</w:t>
            </w:r>
          </w:p>
        </w:tc>
      </w:tr>
      <w:tr>
        <w:trPr>
          <w:trHeight w:val="250"/>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408,790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363,048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257,229</w:t>
            </w: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(180,922)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(198,146)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(133,524)</w:t>
            </w: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15,385</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18,790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502</w:t>
            </w: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Loss from continuing operations before income taxes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(165,537)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(179,356)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(133,022)</w:t>
            </w: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(benefit)</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(40,276)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(45,409)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(65,723)</w:t>
            </w:r>
          </w:p>
        </w:tc>
      </w:tr>
      <w:tr>
        <w:trPr>
          <w:trHeight w:val="250"/>
        </w:trPr>
        <w:tc>
          <w:tcPr>
            <w:tcW w:w="6680" w:type="dxa"/>
            <w:vAlign w:val="bottom"/>
          </w:tcPr>
          <w:p>
            <w:pPr>
              <w:ind w:left="340"/>
              <w:spacing w:after="0"/>
              <w:rPr>
                <w:sz w:val="20"/>
                <w:szCs w:val="20"/>
                <w:color w:val="auto"/>
              </w:rPr>
            </w:pPr>
            <w:r>
              <w:rPr>
                <w:rFonts w:ascii="Arial" w:cs="Arial" w:eastAsia="Arial" w:hAnsi="Arial"/>
                <w:sz w:val="18"/>
                <w:szCs w:val="18"/>
                <w:color w:val="auto"/>
              </w:rPr>
              <w:t>Net loss from continuing operations</w:t>
            </w: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(125,261)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(133,947)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(67,299)</w:t>
            </w: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1,162,494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90,779</w:t>
            </w:r>
          </w:p>
        </w:tc>
      </w:tr>
      <w:tr>
        <w:trPr>
          <w:trHeight w:val="256"/>
        </w:trPr>
        <w:tc>
          <w:tcPr>
            <w:tcW w:w="6680" w:type="dxa"/>
            <w:vAlign w:val="bottom"/>
          </w:tcPr>
          <w:p>
            <w:pPr>
              <w:ind w:left="340"/>
              <w:spacing w:after="0"/>
              <w:rPr>
                <w:sz w:val="20"/>
                <w:szCs w:val="20"/>
                <w:color w:val="auto"/>
              </w:rPr>
            </w:pPr>
            <w:r>
              <w:rPr>
                <w:rFonts w:ascii="Arial" w:cs="Arial" w:eastAsia="Arial" w:hAnsi="Arial"/>
                <w:sz w:val="18"/>
                <w:szCs w:val="18"/>
                <w:color w:val="auto"/>
              </w:rPr>
              <w:t>Net earnings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(124,511)</w:t>
            </w:r>
          </w:p>
        </w:tc>
        <w:tc>
          <w:tcPr>
            <w:tcW w:w="10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1,028,547</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23,480</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7"/>
        </w:trPr>
        <w:tc>
          <w:tcPr>
            <w:tcW w:w="6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(0.85)</w:t>
            </w:r>
          </w:p>
        </w:tc>
      </w:tr>
      <w:tr>
        <w:trPr>
          <w:trHeight w:val="25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w:t>
            </w:r>
          </w:p>
        </w:tc>
      </w:tr>
      <w:tr>
        <w:trPr>
          <w:trHeight w:val="282"/>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0.30</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(0.85)</w:t>
            </w: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15.50</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r>
      <w:tr>
        <w:trPr>
          <w:trHeight w:val="257"/>
        </w:trPr>
        <w:tc>
          <w:tcPr>
            <w:tcW w:w="668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0.30</w:t>
            </w:r>
          </w:p>
        </w:tc>
      </w:tr>
      <w:tr>
        <w:trPr>
          <w:trHeight w:val="20"/>
        </w:trPr>
        <w:tc>
          <w:tcPr>
            <w:tcW w:w="6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49" w:right="379" w:bottom="1440" w:gutter="0" w:footer="0" w:header="0"/>
        </w:sectPr>
      </w:pPr>
    </w:p>
    <w:bookmarkStart w:id="66" w:name="page67"/>
    <w:bookmarkEnd w:id="66"/>
    <w:p>
      <w:pPr>
        <w:jc w:val="center"/>
        <w:ind w:left="520" w:right="2440"/>
        <w:spacing w:after="0" w:line="256" w:lineRule="auto"/>
        <w:rPr>
          <w:sz w:val="20"/>
          <w:szCs w:val="20"/>
          <w:color w:val="auto"/>
        </w:rPr>
      </w:pPr>
      <w:r>
        <w:rPr>
          <w:rFonts w:ascii="Arial" w:cs="Arial" w:eastAsia="Arial" w:hAnsi="Arial"/>
          <w:sz w:val="18"/>
          <w:szCs w:val="18"/>
          <w:color w:val="auto"/>
        </w:rPr>
        <w:t>LIVERAMP HOLDINGS, INC. AND SUBSIDIARIES CONSOLIDATED STATEMENTS OF COMPREHENSIVE INCOME (LOSS)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65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5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(124,511)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1,028,547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23,480</w:t>
            </w:r>
          </w:p>
        </w:tc>
      </w:tr>
      <w:tr>
        <w:trPr>
          <w:trHeight w:val="250"/>
        </w:trPr>
        <w:tc>
          <w:tcPr>
            <w:tcW w:w="65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7"/>
        </w:trPr>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foreign currency translation adjustment</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2,768</w:t>
            </w:r>
          </w:p>
        </w:tc>
      </w:tr>
      <w:tr>
        <w:trPr>
          <w:trHeight w:val="257"/>
        </w:trPr>
        <w:tc>
          <w:tcPr>
            <w:tcW w:w="650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(126,567)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1,025,581</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26,248</w:t>
            </w:r>
          </w:p>
        </w:tc>
      </w:tr>
      <w:tr>
        <w:trPr>
          <w:trHeight w:val="20"/>
        </w:trPr>
        <w:tc>
          <w:tcPr>
            <w:tcW w:w="6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49" w:right="519" w:bottom="1440" w:gutter="0" w:footer="0" w:header="0"/>
        </w:sectPr>
      </w:pPr>
    </w:p>
    <w:bookmarkStart w:id="67" w:name="page68"/>
    <w:bookmarkEnd w:id="67"/>
    <w:p>
      <w:pPr>
        <w:jc w:val="center"/>
        <w:ind w:right="-99"/>
        <w:spacing w:after="0"/>
        <w:rPr>
          <w:sz w:val="20"/>
          <w:szCs w:val="20"/>
          <w:color w:val="auto"/>
        </w:rPr>
      </w:pPr>
      <w:r>
        <w:rPr>
          <w:rFonts w:ascii="Arial" w:cs="Arial" w:eastAsia="Arial" w:hAnsi="Arial"/>
          <w:sz w:val="14"/>
          <w:szCs w:val="14"/>
          <w:color w:val="auto"/>
        </w:rPr>
        <w:t>LIVERAMP HOLDINGS, INC. AND SUBSIDIARIES</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CONSOLIDATED STATEMENTS OF EQUITY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160"/>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59"/>
        </w:trPr>
        <w:tc>
          <w:tcPr>
            <w:tcW w:w="2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2700" w:type="dxa"/>
            <w:vAlign w:val="bottom"/>
          </w:tcPr>
          <w:p>
            <w:pPr>
              <w:spacing w:after="0"/>
              <w:rPr>
                <w:sz w:val="19"/>
                <w:szCs w:val="19"/>
                <w:color w:val="auto"/>
              </w:rPr>
            </w:pPr>
          </w:p>
        </w:tc>
        <w:tc>
          <w:tcPr>
            <w:tcW w:w="204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160" w:type="dxa"/>
            <w:vAlign w:val="bottom"/>
            <w:gridSpan w:val="4"/>
          </w:tcPr>
          <w:p>
            <w:pPr>
              <w:ind w:left="5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2700" w:type="dxa"/>
            <w:vAlign w:val="bottom"/>
          </w:tcPr>
          <w:p>
            <w:pPr>
              <w:spacing w:after="0"/>
              <w:rPr>
                <w:sz w:val="17"/>
                <w:szCs w:val="17"/>
                <w:color w:val="auto"/>
              </w:rPr>
            </w:pPr>
          </w:p>
        </w:tc>
        <w:tc>
          <w:tcPr>
            <w:tcW w:w="108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10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22"/>
        </w:trPr>
        <w:tc>
          <w:tcPr>
            <w:tcW w:w="27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r>
      <w:tr>
        <w:trPr>
          <w:trHeight w:val="215"/>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at March 31, 2017</w:t>
            </w:r>
          </w:p>
        </w:tc>
        <w:tc>
          <w:tcPr>
            <w:tcW w:w="9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132,875,373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13,288</w:t>
            </w: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$ 1,154,429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602,609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7,999</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(54,582,392)</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 (1,039,345)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738,980</w:t>
            </w: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Cumulative-effect adjustment from</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2700" w:type="dxa"/>
            <w:vAlign w:val="bottom"/>
          </w:tcPr>
          <w:p>
            <w:pPr>
              <w:ind w:left="120"/>
              <w:spacing w:after="0"/>
              <w:rPr>
                <w:sz w:val="20"/>
                <w:szCs w:val="20"/>
                <w:color w:val="auto"/>
              </w:rPr>
            </w:pPr>
            <w:r>
              <w:rPr>
                <w:rFonts w:ascii="Arial" w:cs="Arial" w:eastAsia="Arial" w:hAnsi="Arial"/>
                <w:sz w:val="14"/>
                <w:szCs w:val="14"/>
                <w:color w:val="auto"/>
              </w:rPr>
              <w:t>adoption of ASU 2016-09</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2,242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2,626</w:t>
            </w:r>
          </w:p>
        </w:tc>
      </w:tr>
      <w:tr>
        <w:trPr>
          <w:trHeight w:val="200"/>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 stock awards, benefit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84"/>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plans and other issuances</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1,054,754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19,622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(420,419)</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(11,062)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8,665</w:t>
            </w: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Non-cash stock-based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270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628,208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61,397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61,460</w:t>
            </w: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stock units vested</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1,521,341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Acquisition of treasury stock</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(3,302,106)</w:t>
            </w:r>
          </w:p>
        </w:tc>
        <w:tc>
          <w:tcPr>
            <w:tcW w:w="12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(88,884)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(88,884)</w:t>
            </w: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0"/>
        </w:trPr>
        <w:tc>
          <w:tcPr>
            <w:tcW w:w="2700" w:type="dxa"/>
            <w:vAlign w:val="bottom"/>
          </w:tcPr>
          <w:p>
            <w:pPr>
              <w:ind w:left="340"/>
              <w:spacing w:after="0"/>
              <w:rPr>
                <w:sz w:val="20"/>
                <w:szCs w:val="20"/>
                <w:color w:val="auto"/>
              </w:rPr>
            </w:pPr>
            <w:r>
              <w:rPr>
                <w:rFonts w:ascii="Arial" w:cs="Arial" w:eastAsia="Arial" w:hAnsi="Arial"/>
                <w:sz w:val="14"/>
                <w:szCs w:val="14"/>
                <w:color w:val="auto"/>
              </w:rPr>
              <w:t>Foreign currency translation</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2,768</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2,768</w:t>
            </w:r>
          </w:p>
        </w:tc>
      </w:tr>
      <w:tr>
        <w:trPr>
          <w:trHeight w:val="216"/>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earnings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23,480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23,480</w:t>
            </w:r>
          </w:p>
        </w:tc>
      </w:tr>
      <w:tr>
        <w:trPr>
          <w:trHeight w:val="21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March 31, 2018</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136,079,676</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13,609</w:t>
            </w:r>
          </w:p>
        </w:tc>
        <w:tc>
          <w:tcPr>
            <w:tcW w:w="1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$ 1,235,679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628,331</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10,767</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(58,304,917)</w:t>
            </w:r>
          </w:p>
        </w:tc>
        <w:tc>
          <w:tcPr>
            <w:tcW w:w="12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 (1,139,291)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749,095</w:t>
            </w:r>
          </w:p>
        </w:tc>
      </w:tr>
      <w:tr>
        <w:trPr>
          <w:trHeight w:val="180"/>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Cumulative-effect adjustment from</w:t>
            </w: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84"/>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adoption of ASU 2014-09</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12,727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12,727</w:t>
            </w: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Employee stock awards, benefit</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2700" w:type="dxa"/>
            <w:vAlign w:val="bottom"/>
          </w:tcPr>
          <w:p>
            <w:pPr>
              <w:ind w:left="120"/>
              <w:spacing w:after="0"/>
              <w:rPr>
                <w:sz w:val="20"/>
                <w:szCs w:val="20"/>
                <w:color w:val="auto"/>
              </w:rPr>
            </w:pPr>
            <w:r>
              <w:rPr>
                <w:rFonts w:ascii="Arial" w:cs="Arial" w:eastAsia="Arial" w:hAnsi="Arial"/>
                <w:sz w:val="14"/>
                <w:szCs w:val="14"/>
                <w:color w:val="auto"/>
              </w:rPr>
              <w:t>plans and other issuances</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1,330,757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5"/>
                <w:szCs w:val="15"/>
                <w:color w:val="auto"/>
              </w:rPr>
            </w:pP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20,286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(1,202,243)</w:t>
            </w:r>
          </w:p>
        </w:tc>
        <w:tc>
          <w:tcPr>
            <w:tcW w:w="12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(50,520)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(30,101)</w:t>
            </w:r>
          </w:p>
        </w:tc>
      </w:tr>
      <w:tr>
        <w:trPr>
          <w:trHeight w:val="200"/>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stock-based</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84"/>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compensation</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415,706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88,442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88,483</w:t>
            </w: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Non-cash stock-based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62"/>
        </w:trPr>
        <w:tc>
          <w:tcPr>
            <w:tcW w:w="2700" w:type="dxa"/>
            <w:vAlign w:val="bottom"/>
          </w:tcPr>
          <w:p>
            <w:pPr>
              <w:ind w:left="120"/>
              <w:spacing w:after="0"/>
              <w:rPr>
                <w:sz w:val="20"/>
                <w:szCs w:val="20"/>
                <w:color w:val="auto"/>
              </w:rPr>
            </w:pPr>
            <w:r>
              <w:rPr>
                <w:rFonts w:ascii="Arial" w:cs="Arial" w:eastAsia="Arial" w:hAnsi="Arial"/>
                <w:sz w:val="14"/>
                <w:szCs w:val="14"/>
                <w:color w:val="auto"/>
              </w:rPr>
              <w:t>compensation from discontinued</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8"/>
        </w:trPr>
        <w:tc>
          <w:tcPr>
            <w:tcW w:w="2700" w:type="dxa"/>
            <w:vAlign w:val="bottom"/>
          </w:tcPr>
          <w:p>
            <w:pPr>
              <w:ind w:left="120"/>
              <w:spacing w:after="0"/>
              <w:rPr>
                <w:sz w:val="20"/>
                <w:szCs w:val="20"/>
                <w:color w:val="auto"/>
              </w:rPr>
            </w:pPr>
            <w:r>
              <w:rPr>
                <w:rFonts w:ascii="Arial" w:cs="Arial" w:eastAsia="Arial" w:hAnsi="Arial"/>
                <w:sz w:val="14"/>
                <w:szCs w:val="14"/>
                <w:color w:val="auto"/>
              </w:rPr>
              <w:t>operations</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62,861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62,861</w:t>
            </w: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stock units vested</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4,039,749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Warrant exercises</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3,488</w:t>
            </w:r>
          </w:p>
        </w:tc>
        <w:tc>
          <w:tcPr>
            <w:tcW w:w="120" w:type="dxa"/>
            <w:vAlign w:val="bottom"/>
          </w:tcPr>
          <w:p>
            <w:pPr>
              <w:spacing w:after="0"/>
              <w:rPr>
                <w:sz w:val="18"/>
                <w:szCs w:val="18"/>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w:t>
            </w: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treasury stock</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(2,428,265)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(74,421)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(74,421)</w:t>
            </w: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Tender offer</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(11,235,955)</w:t>
            </w:r>
          </w:p>
        </w:tc>
        <w:tc>
          <w:tcPr>
            <w:tcW w:w="12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(503,393)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(503,393)</w:t>
            </w: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 (loss):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0"/>
        </w:trPr>
        <w:tc>
          <w:tcPr>
            <w:tcW w:w="2700" w:type="dxa"/>
            <w:vAlign w:val="bottom"/>
          </w:tcPr>
          <w:p>
            <w:pPr>
              <w:ind w:left="340"/>
              <w:spacing w:after="0"/>
              <w:rPr>
                <w:sz w:val="20"/>
                <w:szCs w:val="20"/>
                <w:color w:val="auto"/>
              </w:rPr>
            </w:pPr>
            <w:r>
              <w:rPr>
                <w:rFonts w:ascii="Arial" w:cs="Arial" w:eastAsia="Arial" w:hAnsi="Arial"/>
                <w:sz w:val="14"/>
                <w:szCs w:val="14"/>
                <w:color w:val="auto"/>
              </w:rPr>
              <w:t>Foreign currency translation</w:t>
            </w: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(2,966)</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(2,966)</w:t>
            </w:r>
          </w:p>
        </w:tc>
      </w:tr>
      <w:tr>
        <w:trPr>
          <w:trHeight w:val="216"/>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earnings</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1,028,547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1,028,547</w:t>
            </w:r>
          </w:p>
        </w:tc>
      </w:tr>
      <w:tr>
        <w:trPr>
          <w:trHeight w:val="210"/>
        </w:trPr>
        <w:tc>
          <w:tcPr>
            <w:tcW w:w="2700" w:type="dxa"/>
            <w:vAlign w:val="bottom"/>
          </w:tcPr>
          <w:p>
            <w:pPr>
              <w:ind w:left="20"/>
              <w:spacing w:after="0"/>
              <w:rPr>
                <w:sz w:val="20"/>
                <w:szCs w:val="20"/>
                <w:color w:val="auto"/>
              </w:rPr>
            </w:pPr>
            <w:r>
              <w:rPr>
                <w:rFonts w:ascii="Arial" w:cs="Arial" w:eastAsia="Arial" w:hAnsi="Arial"/>
                <w:sz w:val="14"/>
                <w:szCs w:val="14"/>
                <w:color w:val="auto"/>
              </w:rPr>
              <w:t>Balances at March 31, 2019</w:t>
            </w:r>
          </w:p>
        </w:tc>
        <w:tc>
          <w:tcPr>
            <w:tcW w:w="9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141,865,888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14,187</w:t>
            </w:r>
          </w:p>
        </w:tc>
        <w:tc>
          <w:tcPr>
            <w:tcW w:w="1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$ 1,406,813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1,669,605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7,801</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(73,167,892)</w:t>
            </w:r>
          </w:p>
        </w:tc>
        <w:tc>
          <w:tcPr>
            <w:tcW w:w="1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 (1,767,574)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1,330,832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54" w:right="4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2"/>
        </w:trPr>
        <w:tc>
          <w:tcPr>
            <w:tcW w:w="2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60" w:type="dxa"/>
            <w:vAlign w:val="bottom"/>
            <w:gridSpan w:val="11"/>
          </w:tcPr>
          <w:p>
            <w:pPr>
              <w:jc w:val="center"/>
              <w:ind w:right="800"/>
              <w:spacing w:after="0"/>
              <w:rPr>
                <w:sz w:val="20"/>
                <w:szCs w:val="20"/>
                <w:color w:val="auto"/>
              </w:rPr>
            </w:pPr>
            <w:r>
              <w:rPr>
                <w:rFonts w:ascii="Arial" w:cs="Arial" w:eastAsia="Arial" w:hAnsi="Arial"/>
                <w:sz w:val="14"/>
                <w:szCs w:val="14"/>
                <w:color w:val="auto"/>
              </w:rPr>
              <w:t>LIVERAMP HOLDINGS, INC. AND SUBSIDIARIES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6"/>
        </w:trPr>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0" w:type="dxa"/>
            <w:vAlign w:val="bottom"/>
            <w:gridSpan w:val="13"/>
          </w:tcPr>
          <w:p>
            <w:pPr>
              <w:jc w:val="center"/>
              <w:ind w:right="560"/>
              <w:spacing w:after="0"/>
              <w:rPr>
                <w:sz w:val="20"/>
                <w:szCs w:val="20"/>
                <w:color w:val="auto"/>
              </w:rPr>
            </w:pPr>
            <w:r>
              <w:rPr>
                <w:rFonts w:ascii="Arial" w:cs="Arial" w:eastAsia="Arial" w:hAnsi="Arial"/>
                <w:sz w:val="14"/>
                <w:szCs w:val="14"/>
                <w:color w:val="auto"/>
              </w:rPr>
              <w:t>CONSOLIDATED STATEMENTS OF EQUITY (Continued)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5"/>
          </w:tcPr>
          <w:p>
            <w:pPr>
              <w:jc w:val="center"/>
              <w:ind w:right="600"/>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2"/>
        </w:trPr>
        <w:tc>
          <w:tcPr>
            <w:tcW w:w="2700" w:type="dxa"/>
            <w:vAlign w:val="bottom"/>
          </w:tcPr>
          <w:p>
            <w:pPr>
              <w:spacing w:after="0"/>
              <w:rPr>
                <w:sz w:val="19"/>
                <w:szCs w:val="19"/>
                <w:color w:val="auto"/>
              </w:rPr>
            </w:pPr>
          </w:p>
        </w:tc>
        <w:tc>
          <w:tcPr>
            <w:tcW w:w="2040" w:type="dxa"/>
            <w:vAlign w:val="bottom"/>
            <w:gridSpan w:val="5"/>
          </w:tcPr>
          <w:p>
            <w:pPr>
              <w:ind w:left="4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9"/>
                <w:szCs w:val="19"/>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2160" w:type="dxa"/>
            <w:vAlign w:val="bottom"/>
            <w:gridSpan w:val="5"/>
          </w:tcPr>
          <w:p>
            <w:pPr>
              <w:ind w:left="5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3"/>
        </w:trPr>
        <w:tc>
          <w:tcPr>
            <w:tcW w:w="2700" w:type="dxa"/>
            <w:vAlign w:val="bottom"/>
          </w:tcPr>
          <w:p>
            <w:pPr>
              <w:spacing w:after="0"/>
              <w:rPr>
                <w:sz w:val="17"/>
                <w:szCs w:val="17"/>
                <w:color w:val="auto"/>
              </w:rPr>
            </w:pPr>
          </w:p>
        </w:tc>
        <w:tc>
          <w:tcPr>
            <w:tcW w:w="96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r>
      <w:tr>
        <w:trPr>
          <w:trHeight w:val="222"/>
        </w:trPr>
        <w:tc>
          <w:tcPr>
            <w:tcW w:w="2700" w:type="dxa"/>
            <w:vAlign w:val="bottom"/>
          </w:tcPr>
          <w:p>
            <w:pPr>
              <w:spacing w:after="0"/>
              <w:rPr>
                <w:sz w:val="19"/>
                <w:szCs w:val="19"/>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9"/>
                <w:szCs w:val="19"/>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income (loss)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9"/>
                <w:szCs w:val="19"/>
                <w:color w:val="auto"/>
              </w:rPr>
            </w:pPr>
          </w:p>
        </w:tc>
        <w:tc>
          <w:tcPr>
            <w:tcW w:w="10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r>
      <w:tr>
        <w:trPr>
          <w:trHeight w:val="180"/>
        </w:trPr>
        <w:tc>
          <w:tcPr>
            <w:tcW w:w="27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Employee stock awards, benefit plans</w:t>
            </w: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184"/>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other issuances</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266,011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(537,694)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(19,786)</w:t>
            </w: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Non-cash stock-based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270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71,211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65,212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65,219</w:t>
            </w: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Restricted stock units vested</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1,342,337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r>
      <w:tr>
        <w:trPr>
          <w:trHeight w:val="194"/>
        </w:trPr>
        <w:tc>
          <w:tcPr>
            <w:tcW w:w="2700" w:type="dxa"/>
            <w:vAlign w:val="bottom"/>
          </w:tcPr>
          <w:p>
            <w:pPr>
              <w:ind w:left="120"/>
              <w:spacing w:after="0"/>
              <w:rPr>
                <w:sz w:val="20"/>
                <w:szCs w:val="20"/>
                <w:color w:val="auto"/>
              </w:rPr>
            </w:pPr>
            <w:r>
              <w:rPr>
                <w:rFonts w:ascii="Arial" w:cs="Arial" w:eastAsia="Arial" w:hAnsi="Arial"/>
                <w:sz w:val="14"/>
                <w:szCs w:val="14"/>
                <w:color w:val="auto"/>
              </w:rPr>
              <w:t>Liability-classified restricted stock</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78"/>
        </w:trPr>
        <w:tc>
          <w:tcPr>
            <w:tcW w:w="2700" w:type="dxa"/>
            <w:vAlign w:val="bottom"/>
          </w:tcPr>
          <w:p>
            <w:pPr>
              <w:ind w:left="120"/>
              <w:spacing w:after="0"/>
              <w:rPr>
                <w:sz w:val="20"/>
                <w:szCs w:val="20"/>
                <w:color w:val="auto"/>
              </w:rPr>
            </w:pPr>
            <w:r>
              <w:rPr>
                <w:rFonts w:ascii="Arial" w:cs="Arial" w:eastAsia="Arial" w:hAnsi="Arial"/>
                <w:sz w:val="14"/>
                <w:szCs w:val="14"/>
                <w:color w:val="auto"/>
              </w:rPr>
              <w:t>units vested</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393,306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17,665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17,704</w:t>
            </w:r>
          </w:p>
        </w:tc>
      </w:tr>
      <w:tr>
        <w:trPr>
          <w:trHeight w:val="200"/>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Acquisition-related replacement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84"/>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 options</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2,300</w:t>
            </w:r>
          </w:p>
        </w:tc>
      </w:tr>
      <w:tr>
        <w:trPr>
          <w:trHeight w:val="210"/>
        </w:trPr>
        <w:tc>
          <w:tcPr>
            <w:tcW w:w="2700" w:type="dxa"/>
            <w:vAlign w:val="bottom"/>
          </w:tcPr>
          <w:p>
            <w:pPr>
              <w:ind w:left="120"/>
              <w:spacing w:after="0"/>
              <w:rPr>
                <w:sz w:val="20"/>
                <w:szCs w:val="20"/>
                <w:color w:val="auto"/>
              </w:rPr>
            </w:pPr>
            <w:r>
              <w:rPr>
                <w:rFonts w:ascii="Arial" w:cs="Arial" w:eastAsia="Arial" w:hAnsi="Arial"/>
                <w:sz w:val="14"/>
                <w:szCs w:val="14"/>
                <w:color w:val="auto"/>
              </w:rPr>
              <w:t>Acquisition of treasury stock</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(4,375,728)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(182,190)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(182,190)</w:t>
            </w:r>
          </w:p>
        </w:tc>
      </w:tr>
      <w:tr>
        <w:trPr>
          <w:trHeight w:val="222"/>
        </w:trPr>
        <w:tc>
          <w:tcPr>
            <w:tcW w:w="2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loss:</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0"/>
        </w:trPr>
        <w:tc>
          <w:tcPr>
            <w:tcW w:w="2700" w:type="dxa"/>
            <w:vAlign w:val="bottom"/>
          </w:tcPr>
          <w:p>
            <w:pPr>
              <w:ind w:left="340"/>
              <w:spacing w:after="0"/>
              <w:rPr>
                <w:sz w:val="20"/>
                <w:szCs w:val="20"/>
                <w:color w:val="auto"/>
              </w:rPr>
            </w:pPr>
            <w:r>
              <w:rPr>
                <w:rFonts w:ascii="Arial" w:cs="Arial" w:eastAsia="Arial" w:hAnsi="Arial"/>
                <w:sz w:val="14"/>
                <w:szCs w:val="14"/>
                <w:color w:val="auto"/>
              </w:rPr>
              <w:t>Foreign currency translation</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(2,056)</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(2,056)</w:t>
            </w:r>
          </w:p>
        </w:tc>
      </w:tr>
      <w:tr>
        <w:trPr>
          <w:trHeight w:val="216"/>
        </w:trPr>
        <w:tc>
          <w:tcPr>
            <w:tcW w:w="270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(124,511)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(124,511)</w:t>
            </w:r>
          </w:p>
        </w:tc>
      </w:tr>
      <w:tr>
        <w:trPr>
          <w:trHeight w:val="215"/>
        </w:trPr>
        <w:tc>
          <w:tcPr>
            <w:tcW w:w="2700" w:type="dxa"/>
            <w:vAlign w:val="bottom"/>
          </w:tcPr>
          <w:p>
            <w:pPr>
              <w:ind w:left="20"/>
              <w:spacing w:after="0"/>
              <w:rPr>
                <w:sz w:val="20"/>
                <w:szCs w:val="20"/>
                <w:color w:val="auto"/>
              </w:rPr>
            </w:pPr>
            <w:r>
              <w:rPr>
                <w:rFonts w:ascii="Arial" w:cs="Arial" w:eastAsia="Arial" w:hAnsi="Arial"/>
                <w:sz w:val="14"/>
                <w:szCs w:val="14"/>
                <w:color w:val="auto"/>
              </w:rPr>
              <w:t>Balances at March 31, 2020</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143,938,753</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14,394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1,496,565</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1,545,094</w:t>
            </w:r>
          </w:p>
        </w:tc>
        <w:tc>
          <w:tcPr>
            <w:tcW w:w="12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5,745</w:t>
            </w:r>
          </w:p>
        </w:tc>
        <w:tc>
          <w:tcPr>
            <w:tcW w:w="1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(78,081,314)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(1,974,286)</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1,087,512</w:t>
            </w:r>
          </w:p>
        </w:tc>
      </w:tr>
      <w:tr>
        <w:trPr>
          <w:trHeight w:val="21"/>
        </w:trPr>
        <w:tc>
          <w:tcPr>
            <w:tcW w:w="27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008" w:right="439"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10"/>
        </w:trPr>
        <w:tc>
          <w:tcPr>
            <w:tcW w:w="66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6680" w:type="dxa"/>
            <w:vAlign w:val="bottom"/>
          </w:tcPr>
          <w:p>
            <w:pPr>
              <w:ind w:left="120"/>
              <w:spacing w:after="0"/>
              <w:rPr>
                <w:sz w:val="20"/>
                <w:szCs w:val="20"/>
                <w:color w:val="auto"/>
              </w:rPr>
            </w:pPr>
            <w:r>
              <w:rPr>
                <w:rFonts w:ascii="Arial" w:cs="Arial" w:eastAsia="Arial" w:hAnsi="Arial"/>
                <w:sz w:val="18"/>
                <w:szCs w:val="18"/>
                <w:color w:val="auto"/>
              </w:rPr>
              <w:t>Net earnings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(124,511)</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1,028,547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23,480</w:t>
            </w:r>
          </w:p>
        </w:tc>
      </w:tr>
      <w:tr>
        <w:trPr>
          <w:trHeight w:val="263"/>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Earnings from discontinued operations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(1,162,494)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(90,779)</w:t>
            </w:r>
          </w:p>
        </w:tc>
      </w:tr>
      <w:tr>
        <w:trPr>
          <w:trHeight w:val="250"/>
        </w:trPr>
        <w:tc>
          <w:tcPr>
            <w:tcW w:w="6680" w:type="dxa"/>
            <w:vAlign w:val="bottom"/>
          </w:tcPr>
          <w:p>
            <w:pPr>
              <w:ind w:left="120"/>
              <w:spacing w:after="0"/>
              <w:rPr>
                <w:sz w:val="20"/>
                <w:szCs w:val="20"/>
                <w:color w:val="auto"/>
              </w:rPr>
            </w:pPr>
            <w:r>
              <w:rPr>
                <w:rFonts w:ascii="Arial" w:cs="Arial" w:eastAsia="Arial" w:hAnsi="Arial"/>
                <w:sz w:val="18"/>
                <w:szCs w:val="18"/>
                <w:color w:val="auto"/>
              </w:rPr>
              <w:t>Non-cash operating activities: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35,901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33,782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37,647</w:t>
            </w: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Loss on disposal or impairment of assets</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3,460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2,891</w:t>
            </w: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doubtful accounts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3,069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1,214</w:t>
            </w: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Accelerated debt issuance costs</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720</w:t>
            </w: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9,894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(27,798)</w:t>
            </w: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Non-cash stock compensation expense</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89,447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102,722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52,867</w:t>
            </w: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6680" w:type="dxa"/>
            <w:vAlign w:val="bottom"/>
          </w:tcPr>
          <w:p>
            <w:pPr>
              <w:ind w:left="44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(20,518)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(44,411)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(13,703)</w:t>
            </w:r>
          </w:p>
        </w:tc>
      </w:tr>
      <w:tr>
        <w:trPr>
          <w:trHeight w:val="263"/>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commissions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(5,273)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6680" w:type="dxa"/>
            <w:vAlign w:val="bottom"/>
          </w:tcPr>
          <w:p>
            <w:pPr>
              <w:ind w:left="44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(3,106)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562</w:t>
            </w:r>
          </w:p>
        </w:tc>
      </w:tr>
      <w:tr>
        <w:trPr>
          <w:trHeight w:val="263"/>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 and other liabilities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24,923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25,308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(3,219)</w:t>
            </w:r>
          </w:p>
        </w:tc>
      </w:tr>
      <w:tr>
        <w:trPr>
          <w:trHeight w:val="250"/>
        </w:trPr>
        <w:tc>
          <w:tcPr>
            <w:tcW w:w="6680" w:type="dxa"/>
            <w:vAlign w:val="bottom"/>
          </w:tcPr>
          <w:p>
            <w:pPr>
              <w:ind w:left="440"/>
              <w:spacing w:after="0"/>
              <w:rPr>
                <w:sz w:val="20"/>
                <w:szCs w:val="20"/>
                <w:color w:val="auto"/>
              </w:rPr>
            </w:pPr>
            <w:r>
              <w:rPr>
                <w:rFonts w:ascii="Arial" w:cs="Arial" w:eastAsia="Arial" w:hAnsi="Arial"/>
                <w:sz w:val="18"/>
                <w:szCs w:val="18"/>
                <w:color w:val="auto"/>
              </w:rPr>
              <w:t>Income taxes, net</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5,087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2,310</w:t>
            </w:r>
          </w:p>
        </w:tc>
      </w:tr>
      <w:tr>
        <w:trPr>
          <w:trHeight w:val="257"/>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1,823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(282)</w:t>
            </w:r>
          </w:p>
        </w:tc>
      </w:tr>
      <w:tr>
        <w:trPr>
          <w:trHeight w:val="250"/>
        </w:trPr>
        <w:tc>
          <w:tcPr>
            <w:tcW w:w="66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(28,575)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(14,090)</w:t>
            </w: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(3,266)</w:t>
            </w: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(7,320)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(9,375)</w:t>
            </w: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Proceeds from sales of assets</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873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in acquisitions, net of cash received</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(105,365)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(4,478)</w:t>
            </w: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Payments for investments</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(1,000)</w:t>
            </w:r>
          </w:p>
        </w:tc>
      </w:tr>
      <w:tr>
        <w:trPr>
          <w:trHeight w:val="257"/>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received in dispositions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4,000</w:t>
            </w:r>
          </w:p>
        </w:tc>
      </w:tr>
      <w:tr>
        <w:trPr>
          <w:trHeight w:val="250"/>
        </w:trPr>
        <w:tc>
          <w:tcPr>
            <w:tcW w:w="66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(116,203)</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(11,142)</w:t>
            </w:r>
          </w:p>
        </w:tc>
        <w:tc>
          <w:tcPr>
            <w:tcW w:w="1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(14,119)</w:t>
            </w:r>
          </w:p>
        </w:tc>
      </w:tr>
      <w:tr>
        <w:trPr>
          <w:trHeight w:val="243"/>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Proceeds from debt</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230,000</w:t>
            </w: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debt</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(233,293)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(227,320)</w:t>
            </w: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Fees from debt refinancing</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(4,001)</w:t>
            </w:r>
          </w:p>
        </w:tc>
      </w:tr>
      <w:tr>
        <w:trPr>
          <w:trHeight w:val="235"/>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related to the issuance of common stock under stock and employee</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plans</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4,736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20,419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19,727</w:t>
            </w:r>
          </w:p>
        </w:tc>
      </w:tr>
      <w:tr>
        <w:trPr>
          <w:trHeight w:val="250"/>
        </w:trPr>
        <w:tc>
          <w:tcPr>
            <w:tcW w:w="6680" w:type="dxa"/>
            <w:vAlign w:val="bottom"/>
          </w:tcPr>
          <w:p>
            <w:pPr>
              <w:ind w:left="220"/>
              <w:spacing w:after="0"/>
              <w:rPr>
                <w:sz w:val="20"/>
                <w:szCs w:val="20"/>
                <w:color w:val="auto"/>
              </w:rPr>
            </w:pPr>
            <w:r>
              <w:rPr>
                <w:rFonts w:ascii="Arial" w:cs="Arial" w:eastAsia="Arial" w:hAnsi="Arial"/>
                <w:sz w:val="18"/>
                <w:szCs w:val="18"/>
                <w:color w:val="auto"/>
              </w:rPr>
              <w:t>Shares repurchased for tax withholdings upon vesting of stock-based awards</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(24,522)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(50,520)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(11,062)</w:t>
            </w:r>
          </w:p>
        </w:tc>
      </w:tr>
      <w:tr>
        <w:trPr>
          <w:trHeight w:val="263"/>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treasury stock from tender offer</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(503,393)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50"/>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 of treasury stock</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(182,190)</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(74,421)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(88,884)</w:t>
            </w:r>
          </w:p>
        </w:tc>
      </w:tr>
      <w:tr>
        <w:trPr>
          <w:trHeight w:val="250"/>
        </w:trPr>
        <w:tc>
          <w:tcPr>
            <w:tcW w:w="6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(201,976)</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(841,508)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(81,540)</w:t>
            </w:r>
          </w:p>
        </w:tc>
      </w:tr>
      <w:tr>
        <w:trPr>
          <w:trHeight w:val="250"/>
        </w:trPr>
        <w:tc>
          <w:tcPr>
            <w:tcW w:w="6680" w:type="dxa"/>
            <w:vAlign w:val="bottom"/>
          </w:tcPr>
          <w:p>
            <w:pPr>
              <w:ind w:left="440"/>
              <w:spacing w:after="0"/>
              <w:rPr>
                <w:sz w:val="20"/>
                <w:szCs w:val="20"/>
                <w:color w:val="auto"/>
              </w:rPr>
            </w:pPr>
            <w:r>
              <w:rPr>
                <w:rFonts w:ascii="Arial" w:cs="Arial" w:eastAsia="Arial" w:hAnsi="Arial"/>
                <w:sz w:val="18"/>
                <w:szCs w:val="18"/>
                <w:color w:val="auto"/>
              </w:rPr>
              <w:t>Net cash used in continuing operations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(346,754)</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(854,628)</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(109,749)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color w:val="auto"/>
        </w:rPr>
        <w:t>LIVERAMP HOLDINGS,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348"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9"/>
        </w:trPr>
        <w:tc>
          <w:tcPr>
            <w:tcW w:w="6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43"/>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6680" w:type="dxa"/>
            <w:vAlign w:val="bottom"/>
          </w:tcPr>
          <w:p>
            <w:pPr>
              <w:ind w:left="100"/>
              <w:spacing w:after="0"/>
              <w:rPr>
                <w:sz w:val="20"/>
                <w:szCs w:val="20"/>
                <w:color w:val="auto"/>
              </w:rPr>
            </w:pPr>
            <w:r>
              <w:rPr>
                <w:rFonts w:ascii="Arial" w:cs="Arial" w:eastAsia="Arial" w:hAnsi="Arial"/>
                <w:sz w:val="18"/>
                <w:szCs w:val="18"/>
                <w:color w:val="auto"/>
              </w:rPr>
              <w:t>From operating activities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(458,525)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125,645</w:t>
            </w:r>
          </w:p>
        </w:tc>
      </w:tr>
      <w:tr>
        <w:trPr>
          <w:trHeight w:val="263"/>
        </w:trPr>
        <w:tc>
          <w:tcPr>
            <w:tcW w:w="66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From investing activities</w:t>
            </w: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18,582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2,236,530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(46,202)</w:t>
            </w:r>
          </w:p>
        </w:tc>
      </w:tr>
      <w:tr>
        <w:trPr>
          <w:trHeight w:val="250"/>
        </w:trPr>
        <w:tc>
          <w:tcPr>
            <w:tcW w:w="6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206</w:t>
            </w:r>
          </w:p>
        </w:tc>
      </w:tr>
      <w:tr>
        <w:trPr>
          <w:trHeight w:val="250"/>
        </w:trPr>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provided by discontinued operations</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18,375</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1,777,833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79,649</w:t>
            </w:r>
          </w:p>
        </w:tc>
      </w:tr>
      <w:tr>
        <w:trPr>
          <w:trHeight w:val="250"/>
        </w:trPr>
        <w:tc>
          <w:tcPr>
            <w:tcW w:w="66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Effect of exchange rate changes on cash</w:t>
            </w: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(1,750)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1,438</w:t>
            </w:r>
          </w:p>
        </w:tc>
      </w:tr>
      <w:tr>
        <w:trPr>
          <w:trHeight w:val="257"/>
        </w:trPr>
        <w:tc>
          <w:tcPr>
            <w:tcW w:w="66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50"/>
        </w:trPr>
        <w:tc>
          <w:tcPr>
            <w:tcW w:w="6680" w:type="dxa"/>
            <w:vAlign w:val="bottom"/>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(328,847)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921,455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(28,662)</w:t>
            </w:r>
          </w:p>
        </w:tc>
      </w:tr>
      <w:tr>
        <w:trPr>
          <w:trHeight w:val="257"/>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1,061,473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140,018</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168,680</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732,626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1,061,473</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140,018</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50"/>
        </w:trPr>
        <w:tc>
          <w:tcPr>
            <w:tcW w:w="668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paid (received) for income taxes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(7,344)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439,542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(1,236)</w:t>
            </w:r>
          </w:p>
        </w:tc>
      </w:tr>
      <w:tr>
        <w:trPr>
          <w:trHeight w:val="250"/>
        </w:trPr>
        <w:tc>
          <w:tcPr>
            <w:tcW w:w="668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Leasehold improvements paid directly by lessor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505</w:t>
            </w:r>
          </w:p>
        </w:tc>
      </w:tr>
    </w:tbl>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LIVERAMP HOLDINGS, INC. AND SUBSIDIARIES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Business -</w:t>
      </w:r>
    </w:p>
    <w:p>
      <w:pPr>
        <w:spacing w:after="0" w:line="25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On September 20, 2018, we implemented a holding company reorganization, as a result of which Acxiom Holdings, Inc. became the successor issuer to Acxiom Corporation. On October 1, 2018, we changed our name to LiveRamp Holdings, Inc. ("LiveRamp"). References to "we", "us", "our" or the "Company" for events that occurred prior to September 20, 2018 refer to Acxiom Corporation and its subsidiaries; for events that occurred from September 20, 2018 to October 1, 2018, to Acxiom Holdings, Inc. and its subsidiaries; and after October 1, 2018, to LiveRamp Holdings, Inc. and Subsidiaries.</w:t>
      </w:r>
    </w:p>
    <w:p>
      <w:pPr>
        <w:spacing w:after="0" w:line="23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LiveRamp is a global technology company with a vision of making it safe and easy for companies to use data effectively. We provide a best-in-class enterprise data connectivity platform that helps organizations better leverage customer data within and outside their four walls. Powered by core identity capabilities and an extensive network, LiveRamp enables companies and their partners to better connect, control, and activate data to transform customer experiences and generate more valuable business outcomes.</w:t>
      </w:r>
    </w:p>
    <w:p>
      <w:pPr>
        <w:spacing w:after="0" w:line="23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LiveRamp is a Delaware corporation headquartered in San Francisco, California. Our common stock is listed on the New York Stock Exchange under the symbol “RAMP.” We serve a global client base from locations in the United States, Europe, and the Asia-Pacific (“APAC”) region. Our direct client list includes many of the world’s largest and best-known brands across most major industry verticals, including but not limited to financial, insurance and investment services, retail, automotive, telecommunications, high tech, consumer packaged goods, healthcare, travel, entertainment, non-profit, and government. Through our extensive reseller and partnership network, we serve thousands of additional companies, establishing LiveRamp as a foundational and neutral enabler of the customer experience economy.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 and Principles of Consolidation -</w:t>
      </w:r>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after elimination of all significant intercompany accounts and transactions. We have prepared the accompanying consolidated financial statements in accordance with accounting principles generally accepted in the United States of America (“GAAP”) as set forth in the Financial Accounting Standards Board’s (“FASB”) Accounting Standards Codification and Updates (“ASC” and "ASU") and we consider the various staff accounting bulletins and other applicable guidance issued by the United States Securities and Exchange Commission ("SEC"). Our fiscal year ends on March 31. References to fiscal 2020, for example, are to the fiscal year ended March 31,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w:t>
      </w:r>
    </w:p>
    <w:p>
      <w:pPr>
        <w:spacing w:after="0" w:line="25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preparing consolidated financial statements and related disclosures in conformity with GAAP and pursuant to the rules and regulations of the SEC, we must make estimates and judgments that affect the amounts reported in the consolidated financial statements and accompanying notes. Estimates are used in determining, among other items, revenue recognition criteria, allowance for doubtful accounts, the fair value of acquired assets and assumed liabilities, restructuring and impairment accruals, litigation and facilities lease loss accruals, stock-based compensation, and the recognition and measurement of current and deferred income taxes, including the measurement of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auto"/>
        </w:rPr>
        <w:t>Risks and Uncertainties -</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During March 2020, the World Health Organization declared the a pandemic related to the current and continuing outbreak of a novel strain of coronavirus ("COVID-19"). The COVID-19 pandemic has significantly impacted health and economic conditions throughout the United States and globally. Federal, state and local governments took a variety of actions to contain the spread of COVID-19. The pandemic has not had a material impact on our business to date; however, continued economic disruption and the ultimate severity of the pandemic could have adverse impacts on our financial position and cash flows, particularly related to certain of our customers in industries more negatively impacted by COVID-19.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Segments -</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Company operates as one operating segment. Operating segments are defined as components of an enterprise for which separate financial information is evaluated regularly by the chief operating decision maker. Our chief operating decision maker evaluates our financial information and resources and assesses the performance of these resources on a consolidated basis. Since we operate as one operating segment, all required financial segment information can be found in the consolidated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 -</w:t>
      </w:r>
    </w:p>
    <w:p>
      <w:pPr>
        <w:spacing w:after="0" w:line="2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Discontinued operations comprise those activities that have been disposed of during the period or that have been classified as held for sale at the end of the period and represent a separate major line of business or geographical area that can be clearly distinguished for operational and financial reporting purposes. In fiscal 2019, the Company sold its Acxiom Marketing Solutions business (“AMS”) and began reporting the results of operations, cash flows and the balance sheet amounts pertaining to AMS as a component of discontinued operations in the consolidated financial statements. The amount recorded in fiscal 2020 relates to the final working capital true-up and receipt of final proceeds.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information in the notes to the consolidated financial statements relates to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auto"/>
        </w:rPr>
        <w:t>Earnings (Loss) per Share -</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A reconciliation of the numerator and denominator of basic and diluted earnings (loss) per share is shown below (in thousands, except per share amounts):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9"/>
        </w:trPr>
        <w:tc>
          <w:tcPr>
            <w:tcW w:w="6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6660" w:type="dxa"/>
            <w:vAlign w:val="bottom"/>
          </w:tcPr>
          <w:p>
            <w:pPr>
              <w:ind w:left="20"/>
              <w:spacing w:after="0"/>
              <w:rPr>
                <w:sz w:val="20"/>
                <w:szCs w:val="20"/>
                <w:color w:val="auto"/>
              </w:rPr>
            </w:pPr>
            <w:r>
              <w:rPr>
                <w:rFonts w:ascii="Arial" w:cs="Arial" w:eastAsia="Arial" w:hAnsi="Arial"/>
                <w:sz w:val="18"/>
                <w:szCs w:val="18"/>
                <w:color w:val="auto"/>
              </w:rPr>
              <w:t>Net 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(125,261)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(133,947)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(67,299)</w:t>
            </w: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1,162,494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90,779</w:t>
            </w:r>
          </w:p>
        </w:tc>
      </w:tr>
      <w:tr>
        <w:trPr>
          <w:trHeight w:val="256"/>
        </w:trPr>
        <w:tc>
          <w:tcPr>
            <w:tcW w:w="666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(124,511)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1,028,547</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23,480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0"/>
        </w:trPr>
        <w:tc>
          <w:tcPr>
            <w:tcW w:w="6660" w:type="dxa"/>
            <w:vAlign w:val="bottom"/>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67,760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75,020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78,891</w:t>
            </w:r>
          </w:p>
        </w:tc>
      </w:tr>
      <w:tr>
        <w:trPr>
          <w:trHeight w:val="277"/>
        </w:trPr>
        <w:tc>
          <w:tcPr>
            <w:tcW w:w="66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50"/>
        </w:trPr>
        <w:tc>
          <w:tcPr>
            <w:tcW w:w="6660" w:type="dxa"/>
            <w:vAlign w:val="bottom"/>
          </w:tcPr>
          <w:p>
            <w:pPr>
              <w:ind w:left="2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(0.85)</w:t>
            </w: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1.15</w:t>
            </w:r>
          </w:p>
        </w:tc>
      </w:tr>
      <w:tr>
        <w:trPr>
          <w:trHeight w:val="257"/>
        </w:trPr>
        <w:tc>
          <w:tcPr>
            <w:tcW w:w="6660" w:type="dxa"/>
            <w:vAlign w:val="bottom"/>
          </w:tcPr>
          <w:p>
            <w:pPr>
              <w:ind w:left="20"/>
              <w:spacing w:after="0"/>
              <w:rPr>
                <w:sz w:val="20"/>
                <w:szCs w:val="20"/>
                <w:color w:val="auto"/>
              </w:rPr>
            </w:pPr>
            <w:r>
              <w:rPr>
                <w:rFonts w:ascii="Arial" w:cs="Arial" w:eastAsia="Arial" w:hAnsi="Arial"/>
                <w:sz w:val="18"/>
                <w:szCs w:val="18"/>
                <w:color w:val="auto"/>
              </w:rPr>
              <w:t>Basic earnings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0.30</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50"/>
        </w:trPr>
        <w:tc>
          <w:tcPr>
            <w:tcW w:w="66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weighted-average shares outstanding</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67,760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75,020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78,891</w:t>
            </w:r>
          </w:p>
        </w:tc>
      </w:tr>
      <w:tr>
        <w:trPr>
          <w:trHeight w:val="229"/>
        </w:trPr>
        <w:tc>
          <w:tcPr>
            <w:tcW w:w="6660" w:type="dxa"/>
            <w:vAlign w:val="bottom"/>
          </w:tcPr>
          <w:p>
            <w:pPr>
              <w:ind w:left="120"/>
              <w:spacing w:after="0"/>
              <w:rPr>
                <w:sz w:val="20"/>
                <w:szCs w:val="20"/>
                <w:color w:val="auto"/>
              </w:rPr>
            </w:pPr>
            <w:r>
              <w:rPr>
                <w:rFonts w:ascii="Arial" w:cs="Arial" w:eastAsia="Arial" w:hAnsi="Arial"/>
                <w:sz w:val="18"/>
                <w:szCs w:val="18"/>
                <w:color w:val="auto"/>
              </w:rPr>
              <w:t>Dilutive effect of common stock options, warrants, and restricted stock as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4"/>
        </w:trPr>
        <w:tc>
          <w:tcPr>
            <w:tcW w:w="6660" w:type="dxa"/>
            <w:vAlign w:val="bottom"/>
          </w:tcPr>
          <w:p>
            <w:pPr>
              <w:ind w:left="120"/>
              <w:spacing w:after="0"/>
              <w:rPr>
                <w:sz w:val="20"/>
                <w:szCs w:val="20"/>
                <w:color w:val="auto"/>
              </w:rPr>
            </w:pPr>
            <w:r>
              <w:rPr>
                <w:rFonts w:ascii="Arial" w:cs="Arial" w:eastAsia="Arial" w:hAnsi="Arial"/>
                <w:sz w:val="18"/>
                <w:szCs w:val="18"/>
                <w:color w:val="auto"/>
              </w:rPr>
              <w:t>computed under the treasury stock method</w:t>
            </w:r>
          </w:p>
        </w:tc>
        <w:tc>
          <w:tcPr>
            <w:tcW w:w="340" w:type="dxa"/>
            <w:vAlign w:val="bottom"/>
          </w:tcPr>
          <w:p>
            <w:pPr>
              <w:spacing w:after="0"/>
              <w:rPr>
                <w:sz w:val="19"/>
                <w:szCs w:val="19"/>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82"/>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shares outstanding</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67,760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114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75,020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78,891</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(0.85)</w:t>
            </w:r>
          </w:p>
        </w:tc>
      </w:tr>
      <w:tr>
        <w:trPr>
          <w:trHeight w:val="25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15.50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w:t>
            </w:r>
          </w:p>
        </w:tc>
      </w:tr>
      <w:tr>
        <w:trPr>
          <w:trHeight w:val="27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Due to the net loss from continuing operations in each year presented, there is no dilutive effect of common stock options, warrants, and restricted stock as computed under the treasury stock method. The number of options, warrants, and restricted stock units that would have otherwise been dilutive are shown below (shares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March 31,</w:t>
            </w:r>
          </w:p>
        </w:tc>
        <w:tc>
          <w:tcPr>
            <w:tcW w:w="1420" w:type="dxa"/>
            <w:vAlign w:val="bottom"/>
            <w:tcBorders>
              <w:bottom w:val="single" w:sz="8" w:color="auto"/>
            </w:tcBorders>
          </w:tcPr>
          <w:p>
            <w:pPr>
              <w:spacing w:after="0"/>
              <w:rPr>
                <w:sz w:val="17"/>
                <w:szCs w:val="17"/>
                <w:color w:val="auto"/>
              </w:rPr>
            </w:pPr>
          </w:p>
        </w:tc>
      </w:tr>
      <w:tr>
        <w:trPr>
          <w:trHeight w:val="209"/>
        </w:trPr>
        <w:tc>
          <w:tcPr>
            <w:tcW w:w="6740" w:type="dxa"/>
            <w:vAlign w:val="bottom"/>
          </w:tcPr>
          <w:p>
            <w:pPr>
              <w:spacing w:after="0"/>
              <w:rPr>
                <w:sz w:val="18"/>
                <w:szCs w:val="18"/>
                <w:color w:val="auto"/>
              </w:rPr>
            </w:pPr>
          </w:p>
        </w:tc>
        <w:tc>
          <w:tcPr>
            <w:tcW w:w="1420" w:type="dxa"/>
            <w:vAlign w:val="bottom"/>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1420" w:type="dxa"/>
            <w:vAlign w:val="bottom"/>
          </w:tcPr>
          <w:p>
            <w:pPr>
              <w:jc w:val="right"/>
              <w:ind w:right="479"/>
              <w:spacing w:after="0"/>
              <w:rPr>
                <w:sz w:val="20"/>
                <w:szCs w:val="20"/>
                <w:color w:val="auto"/>
              </w:rPr>
            </w:pPr>
            <w:r>
              <w:rPr>
                <w:rFonts w:ascii="Arial" w:cs="Arial" w:eastAsia="Arial" w:hAnsi="Arial"/>
                <w:sz w:val="14"/>
                <w:szCs w:val="14"/>
                <w:b w:val="1"/>
                <w:bCs w:val="1"/>
                <w:color w:val="auto"/>
              </w:rPr>
              <w:t>2018</w:t>
            </w:r>
          </w:p>
        </w:tc>
      </w:tr>
      <w:tr>
        <w:trPr>
          <w:trHeight w:val="215"/>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shares outstanding under options, warrants and restricted stock units</w:t>
            </w: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2,393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2,627</w:t>
            </w:r>
          </w:p>
        </w:tc>
      </w:tr>
    </w:tbl>
    <w:p>
      <w:pPr>
        <w:spacing w:after="0" w:line="350"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Additional options to purchase shares of common stock and restricted stock units that were outstanding during the periods presented but were not included in the computation of diluted earnings per share because the effect was anti-dilutive are shown below (in thousands, except per share amounts):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9"/>
        </w:trPr>
        <w:tc>
          <w:tcPr>
            <w:tcW w:w="67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5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shares outstanding under options and restricted stock units plans</w:t>
            </w: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1,368</w:t>
            </w:r>
          </w:p>
        </w:tc>
        <w:tc>
          <w:tcPr>
            <w:tcW w:w="152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w:t>
            </w:r>
          </w:p>
        </w:tc>
      </w:tr>
      <w:tr>
        <w:trPr>
          <w:trHeight w:val="250"/>
        </w:trPr>
        <w:tc>
          <w:tcPr>
            <w:tcW w:w="6720" w:type="dxa"/>
            <w:vAlign w:val="bottom"/>
          </w:tcPr>
          <w:p>
            <w:pPr>
              <w:ind w:left="20"/>
              <w:spacing w:after="0"/>
              <w:rPr>
                <w:sz w:val="20"/>
                <w:szCs w:val="20"/>
                <w:color w:val="auto"/>
              </w:rPr>
            </w:pPr>
            <w:r>
              <w:rPr>
                <w:rFonts w:ascii="Arial" w:cs="Arial" w:eastAsia="Arial" w:hAnsi="Arial"/>
                <w:sz w:val="18"/>
                <w:szCs w:val="18"/>
                <w:color w:val="auto"/>
              </w:rPr>
              <w:t>Range of exercise prices for options (lower)</w:t>
            </w:r>
          </w:p>
        </w:tc>
        <w:tc>
          <w:tcPr>
            <w:tcW w:w="1420" w:type="dxa"/>
            <w:vAlign w:val="bottom"/>
          </w:tcPr>
          <w:p>
            <w:pPr>
              <w:ind w:left="1100"/>
              <w:spacing w:after="0"/>
              <w:rPr>
                <w:sz w:val="20"/>
                <w:szCs w:val="20"/>
                <w:color w:val="auto"/>
              </w:rPr>
            </w:pPr>
            <w:r>
              <w:rPr>
                <w:rFonts w:ascii="Arial" w:cs="Arial" w:eastAsia="Arial" w:hAnsi="Arial"/>
                <w:sz w:val="18"/>
                <w:szCs w:val="18"/>
                <w:color w:val="auto"/>
                <w:w w:val="99"/>
              </w:rPr>
              <w:t>N/A</w:t>
            </w:r>
          </w:p>
        </w:tc>
        <w:tc>
          <w:tcPr>
            <w:tcW w:w="100" w:type="dxa"/>
            <w:vAlign w:val="bottom"/>
          </w:tcPr>
          <w:p>
            <w:pPr>
              <w:spacing w:after="0"/>
              <w:rPr>
                <w:sz w:val="21"/>
                <w:szCs w:val="21"/>
                <w:color w:val="auto"/>
              </w:rPr>
            </w:pP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5"/>
              <w:spacing w:after="0"/>
              <w:rPr>
                <w:sz w:val="20"/>
                <w:szCs w:val="20"/>
                <w:color w:val="auto"/>
              </w:rPr>
            </w:pPr>
            <w:r>
              <w:rPr>
                <w:rFonts w:ascii="Arial" w:cs="Arial" w:eastAsia="Arial" w:hAnsi="Arial"/>
                <w:sz w:val="18"/>
                <w:szCs w:val="18"/>
                <w:color w:val="auto"/>
              </w:rPr>
              <w:t>32.85</w:t>
            </w:r>
          </w:p>
        </w:tc>
      </w:tr>
      <w:tr>
        <w:trPr>
          <w:trHeight w:val="26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Range of exercise prices for options (upper)</w:t>
            </w:r>
          </w:p>
        </w:tc>
        <w:tc>
          <w:tcPr>
            <w:tcW w:w="142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9"/>
              </w:rPr>
              <w:t>N/A</w:t>
            </w:r>
          </w:p>
        </w:tc>
        <w:tc>
          <w:tcPr>
            <w:tcW w:w="1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32.85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 -</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considers all highly-liquid investments purchased with original maturities of three months or less to be cash equivalents. Cash and cash equivalents consist of cash held in bank deposit accounts and short-term, highly-liquid money-market fund investments with remaining maturities of three months or less at the date of purchase.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w:t>
      </w:r>
    </w:p>
    <w:p>
      <w:pPr>
        <w:spacing w:after="0" w:line="234"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On April 1, 2019, the Company adopted ASU No. 2014-09, codified as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impact of the adoption did not have a material impact on revenue recognition from our accounting policy followed for fiscal 2018 under ASC 605</w:t>
      </w:r>
      <w:r>
        <w:rPr>
          <w:rFonts w:ascii="Arial" w:cs="Arial" w:eastAsia="Arial" w:hAnsi="Arial"/>
          <w:sz w:val="18"/>
          <w:szCs w:val="18"/>
          <w:i w:val="1"/>
          <w:iCs w:val="1"/>
          <w:color w:val="auto"/>
        </w:rPr>
        <w:t>,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 with the exception of the accounting for costs to obtain a contract.</w:t>
      </w:r>
    </w:p>
    <w:p>
      <w:pPr>
        <w:spacing w:after="0" w:line="221"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LiveRamp recognizes revenue from the following sources: (i) subscription revenue, which consists primarily of subscription fees from clients accessing our LiveRamp platform; and (ii) marketplace and other revenue, which primarily consists of revenue-sharing fees generated from access to data through our LiveRamp Data Marketplace, and transactional usage-based revenue from arrangements with certain publishers and addressable TV providers. Our subscription pricing is tiered based on data volume supported by our platform.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52"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Recognition of revenue when, or as, the performance obligations are satisfied.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contract</w:t>
      </w:r>
    </w:p>
    <w:p>
      <w:pPr>
        <w:spacing w:after="0" w:line="27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 customer contract is primarily identified when the Company and a customer have executed an arrangement or arrangements that set out the terms of the relationship.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Identification of the performance obligations</w:t>
      </w:r>
    </w:p>
    <w:p>
      <w:pPr>
        <w:spacing w:after="0" w:line="27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part of accounting for arrangements with multiple performance obligations, we must assess whether each performance obligation is distinct.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 We have determined that our subscriptions to the platform is distinct and access to data for revenue-sharing and usage-based arrangements are distinct because, once a customer has access to the platform, the product is fully functional and does not require any additional development, modification, or customization.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the transaction price</w:t>
      </w:r>
    </w:p>
    <w:p>
      <w:pPr>
        <w:spacing w:after="0" w:line="27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transaction price is the amount of consideration we expect to be entitled to in exchange for transferring services to a customer, excluding sales taxes that are collected on behalf of government agencies. The Company estimates any variable consideration to which it will be entitled at contract inception, and reassesses at each reporting date, when determining the transaction price. The Company does not include variable consideration to the extent that it is probable that a significant reversal in the amount of cumulative revenue recognized will occur when any uncertainty associated with the variable consideration is resolved.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i w:val="1"/>
          <w:iCs w:val="1"/>
          <w:color w:val="auto"/>
        </w:rPr>
        <w:t>Allocation of the transaction price to the performance obligations in the contract</w:t>
      </w:r>
    </w:p>
    <w:p>
      <w:pPr>
        <w:spacing w:after="0" w:line="2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distinct performance obligation based on the standalone selling price ("SSP") of each service. We generally determine the SSP based on contractual selling prices when the obligation is sold on a standalone basis, as well as market conditions, competition, and pricing practices. As pricing and marketing strategies evolve, we may modify our pricing practices in the future, which could result in changes to SSP.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Recognition of revenue when, or as, the performance obligations are satisfied</w:t>
      </w: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are recognized when or as control of the promised services is transferred to customers. Subscription revenue is generally recognized ratably over the subscription period beginning on the date the services are made available to customers. Marketplace and other revenue is typically transactional in nature, tied to a revenue share or volumes purchased. We report revenue from Marketplace and other similar transactions on a net basis because our performance obligation is to facilitate a transaction between data providers and end users, for which we earn a portion of the gross fee. Consequently, the portion of the gross amount billed to end users that is remitted to data providers is not reflected as revenues.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7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reports disaggregation of revenue based on primary geographical markets and major service offerings (see Note 3 - Revenue from Contracts with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Accounts receivable includes amounts billed to customers as well as unbilled amounts recognized in accordance with the Company’s revenue recognition policies. Unbilled amounts included in trade accounts receivable, net, which generally arise from the performance of services to customers in advance of billings, were $5.0 million at March 31, 2020 and $2.5 million at March 31, 2019.</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Accounts receivable are presented net of allowance for doubtful accounts. The Company evaluates its allowance for doubtful accounts based on a combination of factors at each reporting date. Each account is evaluated based on specific information known to management regarding each customer’s ability or inability to pay, as well as historical experience for each customer, the length of time the receivable has been outstanding, and current economic conditions in the customer’s industry. Accounts receivable that are determined to be uncollectible are charged against the allowance for doubtful accounts. Indicators that there is no reasonable expectation of recovery include past due status greater than 360 days or bankruptcy of the debtor.</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monitoring the impacts from the COVID-19 pandemic on our customers and various counterparties. During the year ended March 31, 2020, the Company recorded an additional $3.5 million of bad debt expense as a result of increased collection risk for certain customer industries.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of the allowance for doubtful accounts, returns and credits was (dollars in thousands):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rPr>
              <w:t>Bad debts written off,</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3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color w:val="auto"/>
              </w:rPr>
              <w:t>Balance at</w:t>
            </w:r>
          </w:p>
        </w:tc>
        <w:tc>
          <w:tcPr>
            <w:tcW w:w="1720" w:type="dxa"/>
            <w:vAlign w:val="bottom"/>
            <w:gridSpan w:val="2"/>
          </w:tcPr>
          <w:p>
            <w:pPr>
              <w:ind w:left="140"/>
              <w:spacing w:after="0"/>
              <w:rPr>
                <w:sz w:val="20"/>
                <w:szCs w:val="20"/>
                <w:color w:val="auto"/>
              </w:rPr>
            </w:pPr>
            <w:r>
              <w:rPr>
                <w:rFonts w:ascii="Arial" w:cs="Arial" w:eastAsia="Arial" w:hAnsi="Arial"/>
                <w:sz w:val="14"/>
                <w:szCs w:val="14"/>
                <w:color w:val="auto"/>
              </w:rPr>
              <w:t>Additions charged to</w:t>
            </w:r>
          </w:p>
        </w:tc>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center"/>
              <w:ind w:right="120"/>
              <w:spacing w:after="0"/>
              <w:rPr>
                <w:sz w:val="20"/>
                <w:szCs w:val="20"/>
                <w:color w:val="auto"/>
              </w:rPr>
            </w:pPr>
            <w:r>
              <w:rPr>
                <w:rFonts w:ascii="Arial" w:cs="Arial" w:eastAsia="Arial" w:hAnsi="Arial"/>
                <w:sz w:val="14"/>
                <w:szCs w:val="14"/>
                <w:color w:val="auto"/>
              </w:rPr>
              <w:t>net of amounts</w:t>
            </w:r>
          </w:p>
        </w:tc>
        <w:tc>
          <w:tcPr>
            <w:tcW w:w="1320" w:type="dxa"/>
            <w:vAlign w:val="bottom"/>
            <w:gridSpan w:val="2"/>
          </w:tcPr>
          <w:p>
            <w:pPr>
              <w:jc w:val="right"/>
              <w:ind w:right="15"/>
              <w:spacing w:after="0"/>
              <w:rPr>
                <w:sz w:val="20"/>
                <w:szCs w:val="20"/>
                <w:color w:val="auto"/>
              </w:rPr>
            </w:pPr>
            <w:r>
              <w:rPr>
                <w:rFonts w:ascii="Arial" w:cs="Arial" w:eastAsia="Arial" w:hAnsi="Arial"/>
                <w:sz w:val="14"/>
                <w:szCs w:val="14"/>
                <w:color w:val="auto"/>
              </w:rPr>
              <w:t>Balance at end of</w:t>
            </w:r>
          </w:p>
        </w:tc>
      </w:tr>
      <w:tr>
        <w:trPr>
          <w:trHeight w:val="178"/>
        </w:trPr>
        <w:tc>
          <w:tcPr>
            <w:tcW w:w="3180" w:type="dxa"/>
            <w:vAlign w:val="bottom"/>
          </w:tcPr>
          <w:p>
            <w:pPr>
              <w:ind w:left="20"/>
              <w:spacing w:after="0"/>
              <w:rPr>
                <w:sz w:val="20"/>
                <w:szCs w:val="20"/>
                <w:color w:val="auto"/>
              </w:rPr>
            </w:pPr>
            <w:r>
              <w:rPr>
                <w:rFonts w:ascii="Arial" w:cs="Arial" w:eastAsia="Arial" w:hAnsi="Arial"/>
                <w:sz w:val="14"/>
                <w:szCs w:val="14"/>
                <w:color w:val="auto"/>
              </w:rPr>
              <w:t>For the year ended:</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rPr>
              <w:t>beginning of period</w:t>
            </w:r>
          </w:p>
        </w:tc>
        <w:tc>
          <w:tcPr>
            <w:tcW w:w="1720" w:type="dxa"/>
            <w:vAlign w:val="bottom"/>
            <w:gridSpan w:val="2"/>
          </w:tcPr>
          <w:p>
            <w:pPr>
              <w:ind w:left="160"/>
              <w:spacing w:after="0"/>
              <w:rPr>
                <w:sz w:val="20"/>
                <w:szCs w:val="20"/>
                <w:color w:val="auto"/>
              </w:rPr>
            </w:pPr>
            <w:r>
              <w:rPr>
                <w:rFonts w:ascii="Arial" w:cs="Arial" w:eastAsia="Arial" w:hAnsi="Arial"/>
                <w:sz w:val="14"/>
                <w:szCs w:val="14"/>
                <w:color w:val="auto"/>
              </w:rPr>
              <w:t>costs and expenses</w:t>
            </w:r>
          </w:p>
        </w:tc>
        <w:tc>
          <w:tcPr>
            <w:tcW w:w="1740" w:type="dxa"/>
            <w:vAlign w:val="bottom"/>
            <w:gridSpan w:val="2"/>
          </w:tcPr>
          <w:p>
            <w:pPr>
              <w:ind w:left="340"/>
              <w:spacing w:after="0"/>
              <w:rPr>
                <w:sz w:val="20"/>
                <w:szCs w:val="20"/>
                <w:color w:val="auto"/>
              </w:rPr>
            </w:pPr>
            <w:r>
              <w:rPr>
                <w:rFonts w:ascii="Arial" w:cs="Arial" w:eastAsia="Arial" w:hAnsi="Arial"/>
                <w:sz w:val="14"/>
                <w:szCs w:val="14"/>
                <w:color w:val="auto"/>
              </w:rPr>
              <w:t>Other changes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color w:val="auto"/>
              </w:rPr>
              <w:t>recovered</w:t>
            </w:r>
          </w:p>
        </w:tc>
        <w:tc>
          <w:tcPr>
            <w:tcW w:w="280" w:type="dxa"/>
            <w:vAlign w:val="bottom"/>
          </w:tcPr>
          <w:p>
            <w:pPr>
              <w:spacing w:after="0"/>
              <w:rPr>
                <w:sz w:val="15"/>
                <w:szCs w:val="15"/>
                <w:color w:val="auto"/>
              </w:rPr>
            </w:pPr>
          </w:p>
        </w:tc>
        <w:tc>
          <w:tcPr>
            <w:tcW w:w="1040" w:type="dxa"/>
            <w:vAlign w:val="bottom"/>
          </w:tcPr>
          <w:p>
            <w:pPr>
              <w:jc w:val="right"/>
              <w:ind w:right="375"/>
              <w:spacing w:after="0"/>
              <w:rPr>
                <w:sz w:val="20"/>
                <w:szCs w:val="20"/>
                <w:color w:val="auto"/>
              </w:rPr>
            </w:pPr>
            <w:r>
              <w:rPr>
                <w:rFonts w:ascii="Arial" w:cs="Arial" w:eastAsia="Arial" w:hAnsi="Arial"/>
                <w:sz w:val="14"/>
                <w:szCs w:val="14"/>
                <w:color w:val="auto"/>
              </w:rPr>
              <w:t>period</w:t>
            </w:r>
          </w:p>
        </w:tc>
      </w:tr>
      <w:tr>
        <w:trPr>
          <w:trHeight w:val="256"/>
        </w:trPr>
        <w:tc>
          <w:tcPr>
            <w:tcW w:w="3180" w:type="dxa"/>
            <w:vAlign w:val="bottom"/>
            <w:tcBorders>
              <w:top w:val="single" w:sz="8" w:color="CCEEFF"/>
            </w:tcBorders>
            <w:shd w:val="clear" w:color="auto" w:fill="CCEEFF"/>
          </w:tcPr>
          <w:p>
            <w:pPr>
              <w:ind w:left="1800"/>
              <w:spacing w:after="0"/>
              <w:rPr>
                <w:sz w:val="20"/>
                <w:szCs w:val="20"/>
                <w:color w:val="auto"/>
              </w:rPr>
            </w:pPr>
            <w:r>
              <w:rPr>
                <w:rFonts w:ascii="Arial" w:cs="Arial" w:eastAsia="Arial" w:hAnsi="Arial"/>
                <w:sz w:val="18"/>
                <w:szCs w:val="18"/>
                <w:color w:val="auto"/>
              </w:rPr>
              <w:t>March 31, 2018</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2,137</w:t>
            </w:r>
          </w:p>
        </w:tc>
        <w:tc>
          <w:tcPr>
            <w:tcW w:w="14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color w:val="auto"/>
              </w:rPr>
              <w:t>1,214</w:t>
            </w:r>
          </w:p>
        </w:tc>
        <w:tc>
          <w:tcPr>
            <w:tcW w:w="12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123</w:t>
            </w:r>
          </w:p>
        </w:tc>
        <w:tc>
          <w:tcPr>
            <w:tcW w:w="120" w:type="dxa"/>
            <w:vAlign w:val="bottom"/>
            <w:tcBorders>
              <w:top w:val="single" w:sz="8" w:color="CCEEFF"/>
            </w:tcBorders>
            <w:shd w:val="clear" w:color="auto" w:fill="CCEEFF"/>
          </w:tcPr>
          <w:p>
            <w:pPr>
              <w:spacing w:after="0"/>
              <w:rPr>
                <w:sz w:val="22"/>
                <w:szCs w:val="22"/>
                <w:color w:val="auto"/>
              </w:rPr>
            </w:pPr>
          </w:p>
        </w:tc>
        <w:tc>
          <w:tcPr>
            <w:tcW w:w="16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(292)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3,182</w:t>
            </w:r>
          </w:p>
        </w:tc>
      </w:tr>
      <w:tr>
        <w:trPr>
          <w:trHeight w:val="250"/>
        </w:trPr>
        <w:tc>
          <w:tcPr>
            <w:tcW w:w="3180" w:type="dxa"/>
            <w:vAlign w:val="bottom"/>
          </w:tcPr>
          <w:p>
            <w:pPr>
              <w:ind w:left="1800"/>
              <w:spacing w:after="0"/>
              <w:rPr>
                <w:sz w:val="20"/>
                <w:szCs w:val="20"/>
                <w:color w:val="auto"/>
              </w:rPr>
            </w:pPr>
            <w:r>
              <w:rPr>
                <w:rFonts w:ascii="Arial" w:cs="Arial" w:eastAsia="Arial" w:hAnsi="Arial"/>
                <w:sz w:val="18"/>
                <w:szCs w:val="18"/>
                <w:color w:val="auto"/>
              </w:rPr>
              <w:t>March 31, 2019</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3,182</w:t>
            </w:r>
          </w:p>
        </w:tc>
        <w:tc>
          <w:tcPr>
            <w:tcW w:w="140" w:type="dxa"/>
            <w:vAlign w:val="bottom"/>
          </w:tcPr>
          <w:p>
            <w:pPr>
              <w:spacing w:after="0"/>
              <w:rPr>
                <w:sz w:val="21"/>
                <w:szCs w:val="21"/>
                <w:color w:val="auto"/>
              </w:rPr>
            </w:pP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3,069</w:t>
            </w:r>
          </w:p>
        </w:tc>
        <w:tc>
          <w:tcPr>
            <w:tcW w:w="12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21"/>
                <w:szCs w:val="21"/>
                <w:color w:val="auto"/>
              </w:rPr>
            </w:pPr>
          </w:p>
        </w:tc>
        <w:tc>
          <w:tcPr>
            <w:tcW w:w="280" w:type="dxa"/>
            <w:vAlign w:val="bottom"/>
          </w:tcPr>
          <w:p>
            <w:pPr>
              <w:jc w:val="right"/>
              <w:ind w:right="7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3,007</w:t>
            </w:r>
          </w:p>
        </w:tc>
      </w:tr>
      <w:tr>
        <w:trPr>
          <w:trHeight w:val="263"/>
        </w:trPr>
        <w:tc>
          <w:tcPr>
            <w:tcW w:w="318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March 31, 2020</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3,007</w:t>
            </w:r>
          </w:p>
        </w:tc>
        <w:tc>
          <w:tcPr>
            <w:tcW w:w="140" w:type="dxa"/>
            <w:vAlign w:val="bottom"/>
            <w:shd w:val="clear" w:color="auto" w:fill="CCEEFF"/>
          </w:tcPr>
          <w:p>
            <w:pPr>
              <w:spacing w:after="0"/>
              <w:rPr>
                <w:sz w:val="22"/>
                <w:szCs w:val="22"/>
                <w:color w:val="auto"/>
              </w:rPr>
            </w:pPr>
          </w:p>
        </w:tc>
        <w:tc>
          <w:tcPr>
            <w:tcW w:w="16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7,133</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(2,651)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7,575</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7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Deferred revenue consists of amounts billed in excess of revenue recognized. Deferred revenues are subsequently recorded as revenue when earned in accordance with the Company’s revenue recognition policies.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uto"/>
        </w:rPr>
        <w:t>Deferred Commissions, net</w:t>
      </w:r>
      <w:r>
        <w:rPr>
          <w:rFonts w:ascii="Arial" w:cs="Arial" w:eastAsia="Arial" w:hAnsi="Arial"/>
          <w:sz w:val="18"/>
          <w:szCs w:val="18"/>
          <w:color w:val="auto"/>
        </w:rPr>
        <w:t xml:space="preserve"> -</w:t>
      </w:r>
    </w:p>
    <w:p>
      <w:pPr>
        <w:spacing w:after="0" w:line="23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capitalizes incremental costs to acquire contracts and amortizes them on a straight-line basis over the expected period of benefit, which we have determined to be four years. Net capitalized costs of $5.3 million and $4.3 million were recognized as a reduction of operating expense for the years ended March 31, 2020 and 2019, respectively. We did not recognize any impairment charges in fiscal 2020 or 2019.</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 -</w:t>
      </w:r>
    </w:p>
    <w:p>
      <w:pPr>
        <w:spacing w:after="0" w:line="2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Property and equipment are stated at cost. Depreciation and amortization are calculated on the straight-line method over the estimated useful lives of the assets as follows: leasehold improvements, 5 - 7 years; data processing equipment, 2 - 5 years, and office furniture and other equipment, 3 - 7 years.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 -</w:t>
      </w:r>
    </w:p>
    <w:p>
      <w:pPr>
        <w:spacing w:after="0" w:line="2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On April 1, 2019, the Company adopted ASU No. 2016-02, codified as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modified retrospective transition method. The Company elected the transition option provided by ASU No. 2018-11, Leases (Topic 842): Targeted Improvements, to not restate comparative periods, but rather to initially adopt the requirements of ASC 842 on April 1, 2019. The resulting impact, as of the adoption date, was the recognition of right-of-use assets included in other assets, net of $22.9 million, short-term lease liabilities included in other accrued expenses of $8.4 million, long-term lease liabilities included in other liabilities of $17.9 million, and a decrease to deferred rent included in other liabilities of $3.4 million. There was no material impact to the consolidated statements of operations or stockholders' equity as a result of adopting the new guidance.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applied the new standard using the practical expedients permitted under the transition guidance where the Company:</w:t>
      </w:r>
    </w:p>
    <w:p>
      <w:pPr>
        <w:spacing w:after="0" w:line="25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did not reassess whether any expired or existing contracts contain a lease;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did not reassess the classification of existing leases;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did not reassess initial direct costs for any existing leases.</w:t>
      </w:r>
    </w:p>
    <w:p>
      <w:pPr>
        <w:spacing w:after="0" w:line="252"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Right-of-use assets represent the Company's right to control the use of an identified asset for a period of time, or term, in exchange for consideration, and operating lease liabilities represent its obligation to make lease payments arising from the aforementioned right.</w:t>
      </w:r>
    </w:p>
    <w:p>
      <w:pPr>
        <w:spacing w:after="0" w:line="22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Company determines if an arrangement is, or contains, a lease at inception, and whether lease and non-lease components are combined or not. Operating leases with a duration of one year or less are excluded from right-of-use assets and lease liabilities and related expense is recorded as incurred. Right-of-use assets and lease liabilities are initially recorded based on the present value of lease payments over the lease term, which includes the minimum unconditional term of the lease, and may include options to extend or terminate the lease when it is reasonably certain at the commencement date that such options will be exercised. As the rate implicit for each of the Company's leases is not readily determinable, the Company uses its incremental borrowing rate at commencement date in determining the present value of lease payments. The Company uses judgement in determining its incremental borrowing rate, which includes selecting a yield curve based on a hypothetical credit rating. Right-of-use assets also include any initial direct costs and any lease payments made prior to the lease commencement date and are reduced by any lease incentives received. Right-of-use assets are included in other assets in the consolidated balance sheet. Short-term lease liabilities are included in other accrued expenses and long-term lease liabilities are included in other liabilities in the consolidated balance sheet. Right-of-use assets are amortized on a straight-line basis as operating lease cost in the consolidated statements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 Leases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auto"/>
        </w:rPr>
        <w:t>Business Combinations –</w:t>
      </w:r>
    </w:p>
    <w:p>
      <w:pPr>
        <w:spacing w:after="0" w:line="2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We apply the provisions of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in accounting for acquisitions. It requires us to recognize separately from goodwill the assets acquired and the liabilities assumed at the acquisition date fair values. Goodwill as of the acquisition date is measured as the excess of consideration transferred over the net of the acquisition date fair values of the assets acquired and the liabilities assumed.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and liabilities assumed, whichever comes first, any subsequent adjustments are recorded to our consolidated statements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w:t>
      </w:r>
    </w:p>
    <w:p>
      <w:pPr>
        <w:spacing w:after="0" w:line="23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Goodwill represents the excess of the purchase price over the fair value of net assets acquired in business acquisitions accounted for using the acquisition method of accounting and is not amortized. Goodwill is measured and tested for impairment on an annual basis in the first quarter of the Company's fiscal year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or more frequently if an event occurs or circumstances change that would more likely than not reduce the fair value of a reporting unit below its carrying amount. We completed our annual impairment test during the first quarter of fiscal 2020. We did not recognize any goodwill impairment charges in fiscal 2020, 2019 or 2018.</w:t>
      </w:r>
    </w:p>
    <w:p>
      <w:pPr>
        <w:spacing w:after="0" w:line="2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 result of the organizational realignment and subsequent sale of the Acxiom Marketing Solutions business in fiscal 2019, we now operate as one operating segment and as a result, evaluate goodwill impairment based on our fair value as a whole. Operating segments are defined as components of an enterprise for which separate financial information is evaluated regularly by the chief operating decision maker. While we have offerings in multiple market segments, our chief operating decision maker evaluates our financial information and resources and assesses the performance of these resources on a consolidated basis.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w:t>
      </w: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amortize intangible assets with finite lives over their estimated useful lives and review them for impairment whenever an impairment indicator exists. We continually monitor events and changes in circumstances that could indicate carrying amounts of our long-lived assets, including our intangible assets, may not be recoverable. When such events or changes in circumstances occur, we assess recoverability by determining whether the carrying value of such assets will be recovered through the undiscounted expected future cash flows. If the future undiscounted cash flows are less than the carrying amount of these assets, we recognize an impairment loss based on any excess of the carrying amount over the fair value of the assets. We did not recognize any intangible asset impairment charges in fiscal 2020, 2019 or 2018.</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During fiscal 2020, our intangible assets were amortized over their estimated useful lives ranging from two years to six years. Amortization is based on the pattern in which the economic benefits of the intangible asset will be consumed or on a straight-line basis when the consumption pattern is not apparent. The weighted average useful lives of our intangible assets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8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9680" w:type="dxa"/>
            <w:vAlign w:val="bottom"/>
            <w:tcBorders>
              <w:bottom w:val="single" w:sz="8" w:color="CCEEFF"/>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 (years)</w:t>
            </w:r>
          </w:p>
        </w:tc>
      </w:tr>
      <w:tr>
        <w:trPr>
          <w:trHeight w:val="25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3.9</w:t>
            </w:r>
          </w:p>
        </w:tc>
      </w:tr>
      <w:tr>
        <w:trPr>
          <w:trHeight w:val="250"/>
        </w:trPr>
        <w:tc>
          <w:tcPr>
            <w:tcW w:w="96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5.3</w:t>
            </w:r>
          </w:p>
        </w:tc>
      </w:tr>
      <w:tr>
        <w:trPr>
          <w:trHeight w:val="26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Publisher and Data Supply relationships</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auto"/>
        </w:rPr>
        <w:t>Impairment of Long-lived Assets -</w:t>
      </w:r>
    </w:p>
    <w:p>
      <w:pPr>
        <w:spacing w:after="0" w:line="239"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 carrying amount of an asset may not be recoverable. The Company considers factors such as operating losses, declining outlooks, and business conditions when evaluating the necessity for an impairment analysis. Recoverability of assets to be held and used is measured by a comparison of the carrying amount of an asset group to the undiscounted cash flows expected to result from the use and eventual disposition of the asset group. If such assets are impaired, the impairment to be recognized is measured by the amount by which the carrying amount of the assets exceeds the fair value of the assets.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recognize any impairment charges related to long-lived assets in fiscal 2020, 2019 or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 -</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to our assets and liabilities that we are required to measure at fair value pursuant to other accounting standards. The additional disclosure regarding our fair value measurements is included in Note 17 - Fair Value of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 and Significant Customers -</w:t>
      </w:r>
    </w:p>
    <w:p>
      <w:pPr>
        <w:spacing w:after="0" w:line="252"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and cash equivalents and trade accounts receivable.</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maintains deposits in federally insured financial institutions more than federally insured limits. Management, however, believes the Company is not exposed to significant credit risk due to the financial position of the depository institutions in which those deposits are held.</w:t>
      </w:r>
    </w:p>
    <w:p>
      <w:pPr>
        <w:spacing w:after="0" w:line="229" w:lineRule="exact"/>
        <w:rPr>
          <w:sz w:val="20"/>
          <w:szCs w:val="20"/>
          <w:color w:val="auto"/>
        </w:rPr>
      </w:pPr>
    </w:p>
    <w:p>
      <w:pPr>
        <w:ind w:right="1160"/>
        <w:spacing w:after="0" w:line="261" w:lineRule="auto"/>
        <w:rPr>
          <w:sz w:val="20"/>
          <w:szCs w:val="20"/>
          <w:color w:val="auto"/>
        </w:rPr>
      </w:pPr>
      <w:r>
        <w:rPr>
          <w:rFonts w:ascii="Arial" w:cs="Arial" w:eastAsia="Arial" w:hAnsi="Arial"/>
          <w:sz w:val="18"/>
          <w:szCs w:val="18"/>
          <w:color w:val="auto"/>
        </w:rPr>
        <w:t>The Company has no significant off-balance sheet risk such as foreign exchange contracts, options contracts, or other hedging arrangements.</w:t>
      </w:r>
    </w:p>
    <w:p>
      <w:pPr>
        <w:spacing w:after="0" w:line="225"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Company’s trade accounts receivables are from a large number of customers. Accordingly, the Company’s credit risk is affected by general economic conditions.</w:t>
      </w:r>
    </w:p>
    <w:p>
      <w:pPr>
        <w:spacing w:after="0" w:line="225"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At March 31, 2020 and 2019 there were no customers that represented more than 10% of the trade accounts receivable balance. Our ten largest clients represented approximately 35% of our revenues in fiscal year 2020. One client, The Interpublic Group of Companies, accounted for 14% of our revenues in fiscal year 2020.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 -</w:t>
      </w:r>
    </w:p>
    <w:p>
      <w:pPr>
        <w:spacing w:after="0" w:line="23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Company and its domestic subsidiaries file a consolidated federal income tax return. The Company’s foreign subsidiaries file separate income tax returns in the countries in which their operations are based.</w:t>
      </w:r>
    </w:p>
    <w:p>
      <w:pPr>
        <w:spacing w:after="0" w:line="22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makes estimates and judgments in determining the provision for income taxes for financial statement purposes. These estimates and judgments occur in the calculation of tax credits, benefits, and deductions, and in the calculation of certain deferred tax assets and liabilities that arise from differences in the timing of recognition of revenue and expense for tax and financial statement purposes, as well as the interest and penalties related to uncertain tax positions. Significant changes in these estimates may result in an increase or decrease to the tax provision in a subsequent period. The Company assesses the likelihood that it will be able to recover its deferred tax assets. If recovery is not likely, the Company increases the provision for taxes by recording a valuation allowance against the deferred tax assets that it estimates will not ultimately be recoverable.</w:t>
      </w:r>
    </w:p>
    <w:p>
      <w:pPr>
        <w:spacing w:after="0" w:line="2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The calculation of tax liabilities involves dealing with uncertainties in the application of complex tax laws and regulations. The Company recognizes liabilities for uncertain tax positions based on a two-step process pursuant to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first step is to evaluate the tax position for recognition by determining whether the weight of available evidence indicates that it is more likely than not that the position will be sustained on audit, including resolution of related appeals or litigation processes, if any. If the Company determines that a tax position will more likely than not be sustained on audit, the second step requires the Company to estimate and measure the tax benefit as the largest amount that is more than 50% likely to be realized upon ultimate settlement. It is inherently</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8"/>
          <w:szCs w:val="18"/>
          <w:color w:val="auto"/>
        </w:rPr>
        <w:t>difficult and subjective to estimate such amounts, as the Company must determine the probability of various outcomes.</w:t>
      </w:r>
    </w:p>
    <w:p>
      <w:pPr>
        <w:spacing w:after="0" w:line="23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re-evaluates these uncertain tax positions on a quarterly basis. This evaluation is based on factors such as changes in facts or circumstances, changes in tax law, new audit activity, and effectively settled issues. Determining whether an uncertain tax position is effectively settled requires judgment. Such a change in recognition or measurement would result in the recognition of a tax benefit or an additional charge to the tax provision.</w:t>
      </w:r>
    </w:p>
    <w:p>
      <w:pPr>
        <w:spacing w:after="0" w:line="23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On March 27, 2020, the U.S. enacted The Coronavirus Aid, Relief, and Economic Security Act (“CARES Act”). The CARES Act included several significant changes and clarifications to existing tax law, including changes to the treatment of net operating losses (“NOLs”). Under the CARES Act, NOLs arising in tax years beginning after December 31, 2017, and before January 1, 2021 may be carried back to each of the five tax years preceding the tax year of the loss. As such, the Company plans to carry back its fiscal 2020 NOL, resulting in an expected refund of approximately $32 million.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w:t>
      </w:r>
    </w:p>
    <w:p>
      <w:pPr>
        <w:spacing w:after="0" w:line="2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reporting currency of the Company is the U.S. dollar. The functional currency of our foreign operations generally is the applicable local currency for each foreign subsidiary. The balance sheets of the Company’s foreign subsidiaries are translated at period-end rates of exchange, and the statements of operations are translated at the average exchange rate for the period. The effects of foreign currency translation adjustments are included in accumulated other comprehensive income in the consolidated statements of stockholders’ equity and comprehensive income.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 -</w:t>
      </w:r>
    </w:p>
    <w:p>
      <w:pPr>
        <w:spacing w:after="0" w:line="2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Advertising costs are expensed as incurred. Advertising expense was approximately $9.8 million, $8.2 million, and $8.3 million for the fiscal years ended March 31, 2020, 2019 and 2018, respectively. Advertising expense is included in operating expenses in the consolidated statements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Contingencies -</w:t>
      </w:r>
    </w:p>
    <w:p>
      <w:pPr>
        <w:spacing w:after="0" w:line="23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are currently involved in various claims and legal proceedings. Quarterly, we review the status of each significant matter and assess our potential financial exposure. We accrue a liability for an estimated loss if the potential loss from any claim or legal proceeding is considered probable, and the amount can be reasonably estimated. Note 12 - Commitments and Contingencies provides additional information regarding certain of our legal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w:t>
      </w:r>
    </w:p>
    <w:p>
      <w:pPr>
        <w:spacing w:after="0" w:line="221"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 xml:space="preserve">The Company records stock-based compensation expense according to the provisions of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ASC Topic 718 requires all stock-based payments to employees, including grants of employee stock options, to be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statement of operations over the service period of the award based on their fair values. Under the provisions of ASC Topic 718, the Company determines the appropriate fair value model to be used for valuing stock-based payments and the amortization method for compensation cost.</w:t>
      </w:r>
    </w:p>
    <w:p>
      <w:pPr>
        <w:spacing w:after="0" w:line="22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has stock option plans and equity compensation plans (collectively referred to as the “stock-based plans”) administered by the compensation committee of the board of directors (“compensation committee”) under which options and restricted stock units were outstanding as of March 31, 2020.</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Company’s equity compensation plan provides that all associates (employees, officers, directors, affiliates, independent contractors or consultants) are eligible to receive awards (grant of any option, stock appreciation right, restricted stock award, restricted stock unit award, performance award, performance share, performance unit, qualified performance-based award, or other stock unit award) under the plan with the terms and conditions applicable to an award set forth in applicable grant documents.</w:t>
      </w:r>
    </w:p>
    <w:p>
      <w:pPr>
        <w:spacing w:after="0" w:line="23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Incentive stock option awards granted under the stock-based plans cannot be granted with an exercise price less than 100% of the per-share market value of the Company’s shares at the date of grant and have a maximum</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0" w:name="page81"/>
    <w:bookmarkEnd w:id="80"/>
    <w:p>
      <w:pPr>
        <w:ind w:right="140"/>
        <w:spacing w:after="0" w:line="261" w:lineRule="auto"/>
        <w:rPr>
          <w:sz w:val="20"/>
          <w:szCs w:val="20"/>
          <w:color w:val="auto"/>
        </w:rPr>
      </w:pPr>
      <w:r>
        <w:rPr>
          <w:rFonts w:ascii="Arial" w:cs="Arial" w:eastAsia="Arial" w:hAnsi="Arial"/>
          <w:sz w:val="18"/>
          <w:szCs w:val="18"/>
          <w:color w:val="auto"/>
        </w:rPr>
        <w:t>duration of ten years from the date of grant. Board policy currently requires that non-qualified options also must be priced at or above 100% of the fair market value of the common stock at the time of grant with a maximum duration of ten years.</w:t>
      </w:r>
    </w:p>
    <w:p>
      <w:pPr>
        <w:spacing w:after="0" w:line="22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Restricted stock units may be issued under the equity compensation plan and represent the right to receive shares in the future by way of an award agreement that includes vesting provisions. Award agreements can further provide for forfeitures triggered by certain prohibited activities, such as breach of confidentiality. All restricted stock units are expensed over the vesting period and adjusted for forfeitures as incurred. The vesting of some restricted stock units is subject to the Company’s achievement of certain performance criteria, as well as the individual remaining employed by the Company for a period of years.</w:t>
      </w:r>
    </w:p>
    <w:p>
      <w:pPr>
        <w:spacing w:after="0" w:line="23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receives income tax deductions because of the exercise of non-qualified stock options and the vesting of other stock-based awards. To the extent the income tax deductions differ from the corresponding stock-based compensation expense, such excess tax benefits and deficiencies are included as a component of income tax expense and reflected as an operating cash flow included in changes in operating assets and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Restructuring –</w:t>
      </w: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The Company records costs associated with employee terminations and other exit activity in accordance with ASC 420, </w:t>
      </w:r>
      <w:r>
        <w:rPr>
          <w:rFonts w:ascii="Arial" w:cs="Arial" w:eastAsia="Arial" w:hAnsi="Arial"/>
          <w:sz w:val="18"/>
          <w:szCs w:val="18"/>
          <w:i w:val="1"/>
          <w:iCs w:val="1"/>
          <w:color w:val="auto"/>
        </w:rPr>
        <w:t>Exit or Disposal Cost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depending on whether the costs relate to exit or disposal activities under the accounting standards, or whether they are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post-employment termination benefits. Under applicable accounting standards for exit or disposal costs, the Company records employee termination benefits as an operating expense when the benefit arrangement is communicated to the employee and no significant future services are required. Under the accounting standards related to post employment termination benefits the Company records employee termination benefits when the termination benefits are probable and can be estimated. The Company recognizes the present value of facility lease termination obligations, net of estimated sublease income and other exit costs, when the Company has future payments with no future economic benefit or a commitment to pay the termination costs of a prior commitment. In future periods the Company will record accretion expense to increase the liability to an amount equal to the estimated future cash payments necessary to exit the leases. This requires judgment and management estimation to determine the expected time frame for securing a subtenant, the amount of sublease income to be received and the appropriate discount rate to calculate the present value of the future cash flows. Should actual lease exit costs differ from estimates, the Company may be required to adjust the restructuring charge, which will impact net earnings in the period any adjustment is recorded.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Accounting Pronouncements Adopted During the Current Year</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January 2017, the Financial Accounting Standards Board ("FASB") issued ASU 2017-04, "Intangibles-Goodwill and Other (Topic 350): Simplifying the Test for Goodwill Impairment" ("ASU 2017-04"), which eliminates step two from the goodwill impairment test. Under ASU 2017-04, goodwill impairment is recognized based on step one of the preceding guidance, which calculates the carrying value in excess of the reporting unit's fair value. ASU 2017-04 is effective for annual periods beginning after December 15, 2019 (fiscal 2021 for the Company), including interim periods within those fiscal years; earlier adoption is permitted for goodwill impairment tests performed on testing dates after January 1, 2017. In the first quarter of fiscal 2020, we early adopted ASU 2017-04. The standard did not have an impact to our qualitative assessment for goodwill impairment that we performed in the first quarter of fiscal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Not Yet Adopted</w:t>
      </w:r>
    </w:p>
    <w:p>
      <w:pPr>
        <w:spacing w:after="0" w:line="25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simplifies the accounting for income taxes, eliminates certain exceptions to the general principles in Topic 740 and clarifies and amends existing guidance to improve consistent application. ASU 2019-12 is effective for annual periods beginning after December 15, 2020 (fiscal 2021 for the Company), including interim periods within those fiscal years. The Company does not expect the adoption of this guidance will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1" w:name="page82"/>
    <w:bookmarkEnd w:id="81"/>
    <w:p>
      <w:pPr>
        <w:ind w:right="20"/>
        <w:spacing w:after="0" w:line="253" w:lineRule="auto"/>
        <w:rPr>
          <w:sz w:val="20"/>
          <w:szCs w:val="20"/>
          <w:color w:val="auto"/>
        </w:rPr>
      </w:pPr>
      <w:r>
        <w:rPr>
          <w:rFonts w:ascii="Arial" w:cs="Arial" w:eastAsia="Arial" w:hAnsi="Arial"/>
          <w:sz w:val="18"/>
          <w:szCs w:val="18"/>
          <w:color w:val="auto"/>
        </w:rPr>
        <w:t>In August 2018, the FASB issued ASU 2018-15, "Intangibles-Goodwill and Other-Internal Use Software (Subtopic 350-40): Customer’s Accounting for Implementation Costs Incurred in a Cloud Computing Arrangement That is a Service Contract" ("ASU 2018-15"). ASU 2018-15 aligns the requirements for capitalizing implementation costs incurred in a cloud computing arrangement (“CCA”) that is a service contract with the requirements for capitalizing implementation costs incurred to develop or obtain internal-use software. Previously, all implementation costs for a hosting arrangement that was a service contract were expensed when incurred.</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CCAs, such as software as a service and other hosting arrangements, are evaluated for capitalized implementation costs in a similar manner as capitalized software development costs. If a CCA includes a software license, the software license element of the arrangement is accounted for in a manner consistent with the acquisition of other software licenses. If a CCA does not include a software license, the service element of the arrangement is accounted for as a service contract. ASU 2018-15 is effective for annual periods beginning after December 15, 2019 (fiscal 2021 for the Company), including interim periods within those fiscal years. The Company does not expect the adoption of this guidance will have a material impact on our consolidated financial statements.</w:t>
      </w:r>
    </w:p>
    <w:p>
      <w:pPr>
        <w:spacing w:after="0" w:line="23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In August 2018, the FASB issued ASU 2018-13, “Fair Value Measurement (Topic 820): Disclosure Framework”, which eliminates, modifies and adds disclosure requirements for fair value measurements. The update is effective for annual periods beginning after December 15, 2019 (fiscal 2021 for the Company), including interim periods within those fiscal years. The Company does not expect the adoption of this guidance will have a material impact on our consolidated financial statements.</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ASU 2016-13 introduces new methodology for accounting for credit losses on financial instruments. The guidance establishes a new forward-looking "expected loss model" that requires entities to estimate current expected credit losses on accounts receivable and other financial instruments by using all practical and relevant information. ASU 2016-13 is effective for annual periods beginning after December 15, 2019 (fiscal 2021 for the Company), including interim periods within those fiscal years. The Company does not expect the adoption of this guidance will have a material impact on our consolidated financial statements.</w:t>
      </w:r>
    </w:p>
    <w:p>
      <w:pPr>
        <w:spacing w:after="0" w:line="235"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Company does not anticipate that the adoption of any other recent accounting pronouncements will have a material impact on the Company's consolidated financial position, results of operations or cash flows.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Right-of-use asset and lease liability balances consist of the following at March 31, 2020 (dollars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March 31, 2020</w:t>
            </w:r>
          </w:p>
        </w:tc>
      </w:tr>
      <w:tr>
        <w:trPr>
          <w:trHeight w:val="256"/>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included in other assets,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17.8</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Short-term lease liabilities included in other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5"/>
              <w:spacing w:after="0"/>
              <w:rPr>
                <w:sz w:val="20"/>
                <w:szCs w:val="20"/>
                <w:color w:val="auto"/>
              </w:rPr>
            </w:pPr>
            <w:r>
              <w:rPr>
                <w:rFonts w:ascii="Arial" w:cs="Arial" w:eastAsia="Arial" w:hAnsi="Arial"/>
                <w:sz w:val="18"/>
                <w:szCs w:val="18"/>
                <w:color w:val="auto"/>
              </w:rPr>
              <w:t>9.6</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 included in other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11.4</w:t>
            </w:r>
          </w:p>
        </w:tc>
      </w:tr>
    </w:tbl>
    <w:p>
      <w:pPr>
        <w:spacing w:after="0" w:line="35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Company leases its office facilities under non-cancellable operating leases that expire at various dates through fiscal 2025. Certain leases contain provisions for property-related costs that are variable in nature for which the Company is responsible, including common area maintenance and other property operating services. These costs are calculated based on a variety of factors including property values, tax and utility rates, property service fees, and other factors. Operating lease costs were $10.1 million for the twelve months ended March 31, 2020. Rent expense recorded prior to the adoption of Topic 842 lease guidance was $12.8 million and $9.5 million for the fiscal years ended March 31,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Supplemental information related to operating leases is as follows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Pr>
          <w:p>
            <w:pPr>
              <w:jc w:val="right"/>
              <w:ind w:right="336"/>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6"/>
                <w:szCs w:val="16"/>
                <w:color w:val="auto"/>
              </w:rPr>
            </w:pPr>
          </w:p>
        </w:tc>
      </w:tr>
      <w:tr>
        <w:trPr>
          <w:trHeight w:val="222"/>
        </w:trPr>
        <w:tc>
          <w:tcPr>
            <w:tcW w:w="9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Borders>
              <w:bottom w:val="single" w:sz="8" w:color="auto"/>
            </w:tcBorders>
          </w:tcPr>
          <w:p>
            <w:pPr>
              <w:spacing w:after="0"/>
              <w:rPr>
                <w:sz w:val="19"/>
                <w:szCs w:val="19"/>
                <w:color w:val="auto"/>
              </w:rPr>
            </w:pPr>
          </w:p>
        </w:tc>
      </w:tr>
      <w:tr>
        <w:trPr>
          <w:trHeight w:val="256"/>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used for operating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9,906</w:t>
            </w:r>
          </w:p>
        </w:tc>
        <w:tc>
          <w:tcPr>
            <w:tcW w:w="220" w:type="dxa"/>
            <w:vAlign w:val="bottom"/>
            <w:shd w:val="clear" w:color="auto" w:fill="CCEEFF"/>
          </w:tcPr>
          <w:p>
            <w:pPr>
              <w:spacing w:after="0"/>
              <w:rPr>
                <w:sz w:val="22"/>
                <w:szCs w:val="22"/>
                <w:color w:val="auto"/>
              </w:rPr>
            </w:pPr>
          </w:p>
        </w:tc>
      </w:tr>
      <w:tr>
        <w:trPr>
          <w:trHeight w:val="250"/>
        </w:trPr>
        <w:tc>
          <w:tcPr>
            <w:tcW w:w="910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2,707</w:t>
            </w:r>
          </w:p>
        </w:tc>
        <w:tc>
          <w:tcPr>
            <w:tcW w:w="220" w:type="dxa"/>
            <w:vAlign w:val="bottom"/>
          </w:tcPr>
          <w:p>
            <w:pPr>
              <w:spacing w:after="0"/>
              <w:rPr>
                <w:sz w:val="21"/>
                <w:szCs w:val="21"/>
                <w:color w:val="auto"/>
              </w:rPr>
            </w:pPr>
          </w:p>
        </w:tc>
      </w:tr>
      <w:tr>
        <w:trPr>
          <w:trHeight w:val="263"/>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years</w:t>
            </w:r>
          </w:p>
        </w:tc>
      </w:tr>
      <w:tr>
        <w:trPr>
          <w:trHeight w:val="243"/>
        </w:trPr>
        <w:tc>
          <w:tcPr>
            <w:tcW w:w="91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Future minimum payments under all operating leases (including operating leases with a duration of one year or less) as of March 31, 2020 are as follows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7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r>
      <w:tr>
        <w:trPr>
          <w:trHeight w:val="256"/>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10,703</w:t>
            </w:r>
          </w:p>
        </w:tc>
      </w:tr>
      <w:tr>
        <w:trPr>
          <w:trHeight w:val="250"/>
        </w:trPr>
        <w:tc>
          <w:tcPr>
            <w:tcW w:w="9740" w:type="dxa"/>
            <w:vAlign w:val="bottom"/>
          </w:tcPr>
          <w:p>
            <w:pPr>
              <w:ind w:left="20"/>
              <w:spacing w:after="0"/>
              <w:rPr>
                <w:sz w:val="20"/>
                <w:szCs w:val="20"/>
                <w:color w:val="auto"/>
              </w:rPr>
            </w:pPr>
            <w:r>
              <w:rPr>
                <w:rFonts w:ascii="Arial" w:cs="Arial" w:eastAsia="Arial" w:hAnsi="Arial"/>
                <w:sz w:val="18"/>
                <w:szCs w:val="18"/>
                <w:color w:val="auto"/>
              </w:rPr>
              <w:t>Fiscal 2022</w:t>
            </w:r>
          </w:p>
        </w:tc>
        <w:tc>
          <w:tcPr>
            <w:tcW w:w="2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9,076</w:t>
            </w:r>
          </w:p>
        </w:tc>
      </w:tr>
      <w:tr>
        <w:trPr>
          <w:trHeight w:val="26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2,678</w:t>
            </w:r>
          </w:p>
        </w:tc>
      </w:tr>
      <w:tr>
        <w:trPr>
          <w:trHeight w:val="250"/>
        </w:trPr>
        <w:tc>
          <w:tcPr>
            <w:tcW w:w="97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8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767</w:t>
            </w:r>
          </w:p>
        </w:tc>
      </w:tr>
      <w:tr>
        <w:trPr>
          <w:trHeight w:val="26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65</w:t>
            </w:r>
          </w:p>
        </w:tc>
      </w:tr>
      <w:tr>
        <w:trPr>
          <w:trHeight w:val="25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9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undiscounted lease commitments</w:t>
            </w: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23,289</w:t>
            </w:r>
          </w:p>
        </w:tc>
      </w:tr>
      <w:tr>
        <w:trPr>
          <w:trHeight w:val="250"/>
        </w:trPr>
        <w:tc>
          <w:tcPr>
            <w:tcW w:w="9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Interest and short-term leases</w:t>
            </w: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2,199</w:t>
            </w:r>
          </w:p>
        </w:tc>
      </w:tr>
      <w:tr>
        <w:trPr>
          <w:trHeight w:val="281"/>
        </w:trPr>
        <w:tc>
          <w:tcPr>
            <w:tcW w:w="9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discounted operating lease liabilities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21,090</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Future minimum payments as of March 31, 2020 related to restructuring plans as a result of the Company's exit from certain leased office facilities (see Note 4) are: Fiscal 2021: $2,560; Fiscal 2022: $2,611; Fiscal 2023: $2,663; Fiscal 2024: $2,698; Fiscal 2025: $2,698; and Thereafter: $1,799.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information for comparative periods (dollars in thousands):</w:t>
      </w:r>
    </w:p>
    <w:p>
      <w:pPr>
        <w:spacing w:after="0" w:line="9"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As previously disclosed in our Fiscal 2019 Annual Report on Form 10-K and under the previous lease accounting standard, the future minimum payments under all operating leases as of March 31, 2019 was as follow: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gridSpan w:val="8"/>
          </w:tcPr>
          <w:p>
            <w:pPr>
              <w:jc w:val="center"/>
              <w:ind w:right="80"/>
              <w:spacing w:after="0"/>
              <w:rPr>
                <w:sz w:val="20"/>
                <w:szCs w:val="20"/>
                <w:color w:val="auto"/>
              </w:rPr>
            </w:pPr>
            <w:r>
              <w:rPr>
                <w:rFonts w:ascii="Arial" w:cs="Arial" w:eastAsia="Arial" w:hAnsi="Arial"/>
                <w:sz w:val="14"/>
                <w:szCs w:val="14"/>
                <w:b w:val="1"/>
                <w:bCs w:val="1"/>
                <w:color w:val="auto"/>
              </w:rPr>
              <w:t>For the years ending March 31,</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2"/>
        </w:trPr>
        <w:tc>
          <w:tcPr>
            <w:tcW w:w="2940" w:type="dxa"/>
            <w:vAlign w:val="bottom"/>
          </w:tcPr>
          <w:p>
            <w:pPr>
              <w:spacing w:after="0"/>
              <w:rPr>
                <w:sz w:val="19"/>
                <w:szCs w:val="19"/>
                <w:color w:val="auto"/>
              </w:rPr>
            </w:pPr>
          </w:p>
        </w:tc>
        <w:tc>
          <w:tcPr>
            <w:tcW w:w="1060" w:type="dxa"/>
            <w:vAlign w:val="bottom"/>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06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080" w:type="dxa"/>
            <w:vAlign w:val="bottom"/>
          </w:tcPr>
          <w:p>
            <w:pPr>
              <w:jc w:val="right"/>
              <w:ind w:right="3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29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1080" w:type="dxa"/>
            <w:vAlign w:val="bottom"/>
          </w:tcPr>
          <w:p>
            <w:pPr>
              <w:jc w:val="right"/>
              <w:ind w:right="299"/>
              <w:spacing w:after="0"/>
              <w:rPr>
                <w:sz w:val="20"/>
                <w:szCs w:val="20"/>
                <w:color w:val="auto"/>
              </w:rPr>
            </w:pPr>
            <w:r>
              <w:rPr>
                <w:rFonts w:ascii="Arial" w:cs="Arial" w:eastAsia="Arial" w:hAnsi="Arial"/>
                <w:sz w:val="14"/>
                <w:szCs w:val="14"/>
                <w:b w:val="1"/>
                <w:bCs w:val="1"/>
                <w:color w:val="auto"/>
              </w:rPr>
              <w:t>Total</w:t>
            </w:r>
          </w:p>
        </w:tc>
      </w:tr>
      <w:tr>
        <w:trPr>
          <w:trHeight w:val="250"/>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10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   12,057</w:t>
            </w:r>
          </w:p>
        </w:tc>
        <w:tc>
          <w:tcPr>
            <w:tcW w:w="12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   11,253</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Arial" w:cs="Arial" w:eastAsia="Arial" w:hAnsi="Arial"/>
                <w:sz w:val="18"/>
                <w:szCs w:val="18"/>
                <w:color w:val="auto"/>
              </w:rPr>
              <w:t>$   10,865</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5,160</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3,270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4,497</w:t>
            </w: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   47,102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 revenue is disaggregated by primary geographical market and major service offerings (dollars 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37"/>
        </w:trPr>
        <w:tc>
          <w:tcPr>
            <w:tcW w:w="1960" w:type="dxa"/>
            <w:vAlign w:val="bottom"/>
            <w:tcBorders>
              <w:bottom w:val="single" w:sz="8" w:color="auto"/>
            </w:tcBorders>
          </w:tcPr>
          <w:p>
            <w:pPr>
              <w:spacing w:after="0"/>
              <w:rPr>
                <w:sz w:val="20"/>
                <w:szCs w:val="20"/>
                <w:color w:val="auto"/>
              </w:rPr>
            </w:pPr>
          </w:p>
        </w:tc>
        <w:tc>
          <w:tcPr>
            <w:tcW w:w="4600" w:type="dxa"/>
            <w:vAlign w:val="bottom"/>
            <w:tcBorders>
              <w:bottom w:val="single" w:sz="8" w:color="auto"/>
            </w:tcBorders>
          </w:tcPr>
          <w:p>
            <w:pPr>
              <w:jc w:val="center"/>
              <w:ind w:right="1850"/>
              <w:spacing w:after="0"/>
              <w:rPr>
                <w:sz w:val="20"/>
                <w:szCs w:val="20"/>
                <w:color w:val="auto"/>
              </w:rPr>
            </w:pPr>
            <w:r>
              <w:rPr>
                <w:rFonts w:ascii="Arial" w:cs="Arial" w:eastAsia="Arial" w:hAnsi="Arial"/>
                <w:sz w:val="18"/>
                <w:szCs w:val="18"/>
                <w:color w:val="auto"/>
                <w:w w:val="99"/>
              </w:rPr>
              <w:t>Primary Geographical Markets</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56"/>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50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354,437</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262,135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197,613</w:t>
            </w:r>
          </w:p>
        </w:tc>
      </w:tr>
      <w:tr>
        <w:trPr>
          <w:trHeight w:val="250"/>
        </w:trPr>
        <w:tc>
          <w:tcPr>
            <w:tcW w:w="1960" w:type="dxa"/>
            <w:vAlign w:val="bottom"/>
          </w:tcPr>
          <w:p>
            <w:pPr>
              <w:ind w:left="20"/>
              <w:spacing w:after="0"/>
              <w:rPr>
                <w:sz w:val="20"/>
                <w:szCs w:val="20"/>
                <w:color w:val="auto"/>
              </w:rPr>
            </w:pPr>
            <w:r>
              <w:rPr>
                <w:rFonts w:ascii="Arial" w:cs="Arial" w:eastAsia="Arial" w:hAnsi="Arial"/>
                <w:sz w:val="18"/>
                <w:szCs w:val="18"/>
                <w:color w:val="auto"/>
              </w:rPr>
              <w:t>Europe</w:t>
            </w:r>
          </w:p>
        </w:tc>
        <w:tc>
          <w:tcPr>
            <w:tcW w:w="4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20,789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18,566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18,397</w:t>
            </w:r>
          </w:p>
        </w:tc>
      </w:tr>
      <w:tr>
        <w:trPr>
          <w:trHeight w:val="257"/>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APAC</w:t>
            </w:r>
          </w:p>
        </w:tc>
        <w:tc>
          <w:tcPr>
            <w:tcW w:w="4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4,919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4,091</w:t>
            </w:r>
          </w:p>
        </w:tc>
      </w:tr>
      <w:tr>
        <w:trPr>
          <w:trHeight w:val="250"/>
        </w:trPr>
        <w:tc>
          <w:tcPr>
            <w:tcW w:w="1960" w:type="dxa"/>
            <w:vAlign w:val="bottom"/>
          </w:tcPr>
          <w:p>
            <w:pPr>
              <w:spacing w:after="0"/>
              <w:rPr>
                <w:sz w:val="21"/>
                <w:szCs w:val="21"/>
                <w:color w:val="auto"/>
              </w:rPr>
            </w:pPr>
          </w:p>
        </w:tc>
        <w:tc>
          <w:tcPr>
            <w:tcW w:w="4720" w:type="dxa"/>
            <w:vAlign w:val="bottom"/>
            <w:gridSpan w:val="2"/>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380,572</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285,620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220,101</w:t>
            </w:r>
          </w:p>
        </w:tc>
      </w:tr>
      <w:tr>
        <w:trPr>
          <w:trHeight w:val="27"/>
        </w:trPr>
        <w:tc>
          <w:tcPr>
            <w:tcW w:w="1960" w:type="dxa"/>
            <w:vAlign w:val="bottom"/>
          </w:tcPr>
          <w:p>
            <w:pPr>
              <w:spacing w:after="0"/>
              <w:rPr>
                <w:sz w:val="2"/>
                <w:szCs w:val="2"/>
                <w:color w:val="auto"/>
              </w:rPr>
            </w:pPr>
          </w:p>
        </w:tc>
        <w:tc>
          <w:tcPr>
            <w:tcW w:w="472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473"/>
        </w:trPr>
        <w:tc>
          <w:tcPr>
            <w:tcW w:w="19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jc w:val="center"/>
              <w:ind w:right="1850"/>
              <w:spacing w:after="0"/>
              <w:rPr>
                <w:sz w:val="20"/>
                <w:szCs w:val="20"/>
                <w:color w:val="auto"/>
              </w:rPr>
            </w:pPr>
            <w:r>
              <w:rPr>
                <w:rFonts w:ascii="Arial" w:cs="Arial" w:eastAsia="Arial" w:hAnsi="Arial"/>
                <w:sz w:val="18"/>
                <w:szCs w:val="18"/>
                <w:color w:val="auto"/>
              </w:rPr>
              <w:t>Major Offerings/Services</w:t>
            </w:r>
          </w:p>
        </w:tc>
        <w:tc>
          <w:tcPr>
            <w:tcW w:w="460" w:type="dxa"/>
            <w:vAlign w:val="bottom"/>
            <w:tcBorders>
              <w:bottom w:val="single" w:sz="8" w:color="CCEEFF"/>
            </w:tcBorders>
            <w:gridSpan w:val="2"/>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r>
      <w:tr>
        <w:trPr>
          <w:trHeight w:val="257"/>
        </w:trPr>
        <w:tc>
          <w:tcPr>
            <w:tcW w:w="1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50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305,679</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236,718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172,079</w:t>
            </w:r>
          </w:p>
        </w:tc>
      </w:tr>
      <w:tr>
        <w:trPr>
          <w:trHeight w:val="250"/>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Marketplace and Other</w:t>
            </w:r>
          </w:p>
        </w:tc>
        <w:tc>
          <w:tcPr>
            <w:tcW w:w="4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74,893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48,902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48,022</w:t>
            </w:r>
          </w:p>
        </w:tc>
      </w:tr>
      <w:tr>
        <w:trPr>
          <w:trHeight w:val="270"/>
        </w:trPr>
        <w:tc>
          <w:tcPr>
            <w:tcW w:w="1960" w:type="dxa"/>
            <w:vAlign w:val="bottom"/>
            <w:shd w:val="clear" w:color="auto" w:fill="CCEEFF"/>
          </w:tcPr>
          <w:p>
            <w:pPr>
              <w:spacing w:after="0"/>
              <w:rPr>
                <w:sz w:val="23"/>
                <w:szCs w:val="23"/>
                <w:color w:val="auto"/>
              </w:rPr>
            </w:pPr>
          </w:p>
        </w:tc>
        <w:tc>
          <w:tcPr>
            <w:tcW w:w="50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380,572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285,620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220,101</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52"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have performance obligations associated with fixed commitments in customer contracts for future services that have not yet been recognized in our condensed consolidated financial statements. The amount of fixed revenue not yet recognized was $350.0 million as of March 31, 2020. Additionally, the amount to be recognized over the next twelve months was $221.4 million. The Company expects to recognize revenue on substantially all of these remaining performance obligations by March 31, 2024.</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RESTRUCTURING, IMPAIRMENT AND OTHER CHARGES:</w:t>
      </w:r>
    </w:p>
    <w:p>
      <w:pPr>
        <w:spacing w:after="0" w:line="247"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The following table summarizes the Company's restructuring activity for the fiscal years ended March 31, 2020, 2019, and 2018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Associate-related</w:t>
            </w: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Lease</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6"/>
        </w:trPr>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reserves</w:t>
            </w:r>
          </w:p>
        </w:tc>
        <w:tc>
          <w:tcPr>
            <w:tcW w:w="2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accruals</w:t>
            </w:r>
          </w:p>
        </w:tc>
        <w:tc>
          <w:tcPr>
            <w:tcW w:w="340" w:type="dxa"/>
            <w:vAlign w:val="bottom"/>
          </w:tcPr>
          <w:p>
            <w:pPr>
              <w:spacing w:after="0"/>
              <w:rPr>
                <w:sz w:val="17"/>
                <w:szCs w:val="17"/>
                <w:color w:val="auto"/>
              </w:rPr>
            </w:pPr>
          </w:p>
        </w:tc>
        <w:tc>
          <w:tcPr>
            <w:tcW w:w="112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56"/>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2017</w:t>
            </w:r>
          </w:p>
        </w:tc>
        <w:tc>
          <w:tcPr>
            <w:tcW w:w="2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322</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4,308</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4,630</w:t>
            </w:r>
          </w:p>
        </w:tc>
      </w:tr>
      <w:tr>
        <w:trPr>
          <w:trHeight w:val="250"/>
        </w:trPr>
        <w:tc>
          <w:tcPr>
            <w:tcW w:w="6680" w:type="dxa"/>
            <w:vAlign w:val="bottom"/>
          </w:tcPr>
          <w:p>
            <w:pPr>
              <w:ind w:left="340"/>
              <w:spacing w:after="0"/>
              <w:rPr>
                <w:sz w:val="20"/>
                <w:szCs w:val="20"/>
                <w:color w:val="auto"/>
              </w:rPr>
            </w:pPr>
            <w:r>
              <w:rPr>
                <w:rFonts w:ascii="Arial" w:cs="Arial" w:eastAsia="Arial" w:hAnsi="Arial"/>
                <w:sz w:val="18"/>
                <w:szCs w:val="18"/>
                <w:color w:val="auto"/>
              </w:rPr>
              <w:t>Restructuring charges and adjustments</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2,746</w:t>
            </w:r>
          </w:p>
        </w:tc>
      </w:tr>
      <w:tr>
        <w:trPr>
          <w:trHeight w:val="257"/>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(1,546)</w:t>
            </w: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March 31, 2018</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5,830</w:t>
            </w:r>
          </w:p>
        </w:tc>
      </w:tr>
      <w:tr>
        <w:trPr>
          <w:trHeight w:val="263"/>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charges and adjustments</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6,163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7,745</w:t>
            </w:r>
          </w:p>
        </w:tc>
      </w:tr>
      <w:tr>
        <w:trPr>
          <w:trHeight w:val="250"/>
        </w:trPr>
        <w:tc>
          <w:tcPr>
            <w:tcW w:w="6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(3,292)</w:t>
            </w:r>
          </w:p>
        </w:tc>
      </w:tr>
      <w:tr>
        <w:trPr>
          <w:trHeight w:val="257"/>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2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4,595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5,688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10,283</w:t>
            </w:r>
          </w:p>
        </w:tc>
      </w:tr>
      <w:tr>
        <w:trPr>
          <w:trHeight w:val="250"/>
        </w:trPr>
        <w:tc>
          <w:tcPr>
            <w:tcW w:w="6680" w:type="dxa"/>
            <w:vAlign w:val="bottom"/>
          </w:tcPr>
          <w:p>
            <w:pPr>
              <w:ind w:left="340"/>
              <w:spacing w:after="0"/>
              <w:rPr>
                <w:sz w:val="20"/>
                <w:szCs w:val="20"/>
                <w:color w:val="auto"/>
              </w:rPr>
            </w:pPr>
            <w:r>
              <w:rPr>
                <w:rFonts w:ascii="Arial" w:cs="Arial" w:eastAsia="Arial" w:hAnsi="Arial"/>
                <w:sz w:val="18"/>
                <w:szCs w:val="18"/>
                <w:color w:val="auto"/>
              </w:rPr>
              <w:t>Restructuring charges and adjustments</w:t>
            </w:r>
          </w:p>
        </w:tc>
        <w:tc>
          <w:tcPr>
            <w:tcW w:w="260" w:type="dxa"/>
            <w:vAlign w:val="bottom"/>
          </w:tcPr>
          <w:p>
            <w:pPr>
              <w:spacing w:after="0"/>
              <w:rPr>
                <w:sz w:val="21"/>
                <w:szCs w:val="21"/>
                <w:color w:val="auto"/>
              </w:rPr>
            </w:pP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2,291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3,430</w:t>
            </w:r>
          </w:p>
        </w:tc>
      </w:tr>
      <w:tr>
        <w:trPr>
          <w:trHeight w:val="257"/>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w:t>
            </w:r>
          </w:p>
        </w:tc>
        <w:tc>
          <w:tcPr>
            <w:tcW w:w="2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(6,436)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(7,020)</w:t>
            </w:r>
          </w:p>
        </w:tc>
      </w:tr>
      <w:tr>
        <w:trPr>
          <w:trHeight w:val="257"/>
        </w:trPr>
        <w:tc>
          <w:tcPr>
            <w:tcW w:w="6680" w:type="dxa"/>
            <w:vAlign w:val="bottom"/>
          </w:tcPr>
          <w:p>
            <w:pPr>
              <w:ind w:left="20"/>
              <w:spacing w:after="0"/>
              <w:rPr>
                <w:sz w:val="20"/>
                <w:szCs w:val="20"/>
                <w:color w:val="auto"/>
              </w:rPr>
            </w:pPr>
            <w:r>
              <w:rPr>
                <w:rFonts w:ascii="Arial" w:cs="Arial" w:eastAsia="Arial" w:hAnsi="Arial"/>
                <w:sz w:val="18"/>
                <w:szCs w:val="18"/>
                <w:color w:val="auto"/>
              </w:rPr>
              <w:t>March 31, 2020</w:t>
            </w: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6,693</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above balances are included in other accrued expenses and other liabilities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auto"/>
        </w:rPr>
        <w:t>Restructuring Plans</w:t>
      </w:r>
    </w:p>
    <w:p>
      <w:pPr>
        <w:spacing w:after="0" w:line="225"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In the twelve months ended March 31, 2020, the Company recorded a total of $3.4 million in restructuring charges and adjustments included in gains, losses and other items, net in the consolidated statement of operations. The fiscal year 2020 expense included severance and other associate-related charges in APAC of $0.6 million, adjustments to fiscal 2019 restructuring plans for associates in the United States of</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$1.7 million, and lease accruals and adjustments of $1.1 million. Of the associate-related accruals of $0.6 million, $0.2 million remained accrued as of March 31, 2020</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fiscal 2019, the Company recorded a total of $7.7 million in restructuring charges and adjustments included in gains, losses and other items, net in the consolidated statement of operations. The fiscal 2019 expense included restructuring plans primarily for associates in the United States and APAC of $6.1 million, lease accruals and adjustments of $0.8 million, and leasehold improvement write-offs of $0.8 million. The associate-related accruals of $6.1 million were paid out in fiscal 2020.</w:t>
      </w:r>
    </w:p>
    <w:p>
      <w:pPr>
        <w:spacing w:after="0" w:line="23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fiscal 2018, the Company recorded a total of $2.7 million in restructuring charges and adjustments included in gains, losses and other items, net in the consolidated statement of operations. The expense included severance and other associate-related charges of $0.2 million, and lease accruals and adjustments of $ 2.5 million. The associate-related accruals of $0.2 million were paid out in fiscal 2019. The lease accruals and adjustments of $2.5 million result from the Company's exit from certain leased office facilities.</w:t>
      </w: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fiscal 2017, the Company recorded a total of $3.0 million in restructuring charges and adjustments included in gains, losses and other items, net in the consolidated statement of operations. The expense included lease accruals and adjustments of $3.0 million resulting from the Company's exit from certain leased office facilities ($1.5 million) and adjustments to estimates related to the fiscal 2015 lease accruals ($1.5 million).</w:t>
      </w:r>
    </w:p>
    <w:p>
      <w:pPr>
        <w:spacing w:after="0" w:line="23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fiscal 2015, the Company recorded a total of $9.3 million in restructuring charges and adjustments included in gains, losses and other items, net in the consolidated statement of operations. The expense included severance and other associate-related charges of $2.6 million, lease accruals of $4.7 million, and the write-off of leasehold improvements of $2.0 million. Of the associate-related accruals of $2.6 million, $0.2 million remained accrued as of March 31, 2020. These amounts are expected to be paid out in fiscal 2021.</w:t>
      </w:r>
    </w:p>
    <w:p>
      <w:pPr>
        <w:spacing w:after="0" w:line="23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With respect to fiscal 2015, 2017, 2018, 2019, and 2020 lease accruals and adjustments described above, the Company intends to continue subleasing the facilities to the extent possible. The liabilities will be satisfied over the remainder of the leased properties' terms, which continue through November 2025. Of the total amount accrued, $6.2 million remained accrued as of March 31, 2020. Actual sublease receipts may differ from the estimates originally made by the Company. Any future changes in the estimates or in the actual sublease income could require future adjustments to the liabilities, which would impact net earnings (loss) in the period the adjustment is recorded.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Gains, Losses and Other Items, net</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table summarizes the activity included in gains, losses and other items, net in the consolidated statements of operations for each of the periods presented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10"/>
        </w:trPr>
        <w:tc>
          <w:tcPr>
            <w:tcW w:w="6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2018</w:t>
            </w:r>
          </w:p>
        </w:tc>
      </w:tr>
      <w:tr>
        <w:trPr>
          <w:trHeight w:val="25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plan charges and adjustments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7,745</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2,746</w:t>
            </w:r>
          </w:p>
        </w:tc>
      </w:tr>
      <w:tr>
        <w:trPr>
          <w:trHeight w:val="250"/>
        </w:trPr>
        <w:tc>
          <w:tcPr>
            <w:tcW w:w="6660" w:type="dxa"/>
            <w:vAlign w:val="bottom"/>
          </w:tcPr>
          <w:p>
            <w:pPr>
              <w:ind w:left="20"/>
              <w:spacing w:after="0"/>
              <w:rPr>
                <w:sz w:val="20"/>
                <w:szCs w:val="20"/>
                <w:color w:val="auto"/>
              </w:rPr>
            </w:pPr>
            <w:r>
              <w:rPr>
                <w:rFonts w:ascii="Arial" w:cs="Arial" w:eastAsia="Arial" w:hAnsi="Arial"/>
                <w:sz w:val="18"/>
                <w:szCs w:val="18"/>
                <w:color w:val="auto"/>
              </w:rPr>
              <w:t>Early contract terminations</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12,188</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w:t>
            </w:r>
          </w:p>
        </w:tc>
      </w:tr>
      <w:tr>
        <w:trPr>
          <w:trHeight w:val="257"/>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663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50"/>
        </w:trPr>
        <w:tc>
          <w:tcPr>
            <w:tcW w:w="666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5,001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19,933</w:t>
            </w:r>
          </w:p>
        </w:tc>
        <w:tc>
          <w:tcPr>
            <w:tcW w:w="14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2,723</w:t>
            </w:r>
          </w:p>
        </w:tc>
      </w:tr>
      <w:tr>
        <w:trPr>
          <w:trHeight w:val="27"/>
        </w:trPr>
        <w:tc>
          <w:tcPr>
            <w:tcW w:w="6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5. ACQUISITIONS: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Plus Math</w:t>
      </w:r>
    </w:p>
    <w:p>
      <w:pPr>
        <w:spacing w:after="0" w:line="2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July 2, 2019, the Company closed its merger with Data Plus Math Corporation ("DPM"), a media measurement company that works with brands, agencies, cable operators, streaming TV services and networks to tie cross-screen ad exposure with real-world outcomes. The Company has included the financial results of DPM in the condensed consolidated financial statements from the acquisition date. The acquisition date fair value of the consideration for DPM was approximately $118.0 million, which consisted of the following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net of $0.4 million cash acquired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100,886</w:t>
            </w:r>
          </w:p>
        </w:tc>
      </w:tr>
      <w:tr>
        <w:trPr>
          <w:trHeight w:val="250"/>
        </w:trPr>
        <w:tc>
          <w:tcPr>
            <w:tcW w:w="9660" w:type="dxa"/>
            <w:vAlign w:val="bottom"/>
          </w:tcPr>
          <w:p>
            <w:pPr>
              <w:ind w:left="20"/>
              <w:spacing w:after="0"/>
              <w:rPr>
                <w:sz w:val="20"/>
                <w:szCs w:val="20"/>
                <w:color w:val="auto"/>
              </w:rPr>
            </w:pPr>
            <w:r>
              <w:rPr>
                <w:rFonts w:ascii="Arial" w:cs="Arial" w:eastAsia="Arial" w:hAnsi="Arial"/>
                <w:sz w:val="18"/>
                <w:szCs w:val="18"/>
                <w:color w:val="auto"/>
              </w:rPr>
              <w:t>Restricted cash held in escrow</w:t>
            </w:r>
          </w:p>
        </w:tc>
        <w:tc>
          <w:tcPr>
            <w:tcW w:w="38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14,815</w:t>
            </w:r>
          </w:p>
        </w:tc>
      </w:tr>
      <w:tr>
        <w:trPr>
          <w:trHeight w:val="257"/>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replacement stock options considered a component of purchase price</w:t>
            </w: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2,300</w:t>
            </w:r>
          </w:p>
        </w:tc>
      </w:tr>
      <w:tr>
        <w:trPr>
          <w:trHeight w:val="257"/>
        </w:trPr>
        <w:tc>
          <w:tcPr>
            <w:tcW w:w="9660" w:type="dxa"/>
            <w:vAlign w:val="bottom"/>
          </w:tcPr>
          <w:p>
            <w:pPr>
              <w:ind w:left="220"/>
              <w:spacing w:after="0"/>
              <w:rPr>
                <w:sz w:val="20"/>
                <w:szCs w:val="20"/>
                <w:color w:val="auto"/>
              </w:rPr>
            </w:pPr>
            <w:r>
              <w:rPr>
                <w:rFonts w:ascii="Arial" w:cs="Arial" w:eastAsia="Arial" w:hAnsi="Arial"/>
                <w:sz w:val="18"/>
                <w:szCs w:val="18"/>
                <w:color w:val="auto"/>
              </w:rPr>
              <w:t>Total fair value of consideration transferred</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118,001</w:t>
            </w:r>
          </w:p>
        </w:tc>
      </w:tr>
      <w:tr>
        <w:trPr>
          <w:trHeight w:val="20"/>
        </w:trPr>
        <w:tc>
          <w:tcPr>
            <w:tcW w:w="9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the acquisition date, the Company delivered $14.8 million of cash to an escrow agent according to the terms of the purchase agreement. The principal escrow amount is owned by the Company until funds are delivered to the DPM sellers one year from the acquisition date. All interest and earnings on the principal escrow amount remain the property of the Company.</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The total fair value of the replacement stock options issued was $7.4 million of which $2.3 million was allocated to the purchase consideration and $5.1 million was allocated to future services and will be expensed over the future requisite service periods (see Note 13).</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connection with the DPM acquisition, the Company agreed to pay $24.7 million to certain key employees (see "Consideration Holdback" in Note 13). The consideration holdback is payable in 3 equal, annual increments, based on the anniversary dates of the acquisition, and is payable in shares of Company common stock. The number of shares to be issued annually will vary depending on the market price of the shares on the date of issuance. The consideration holdback is not part of the purchase price, as vesting is dependent on continued employment of the key employees. It will be recorded as non-cash stock-based compensation expense over the three-year earning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The following table summarizes the fair values of assets acquired and liabilities assumed as of the date of acquisition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July 2, 2019</w:t>
            </w:r>
          </w:p>
        </w:tc>
      </w:tr>
      <w:tr>
        <w:trPr>
          <w:trHeight w:val="24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9680" w:type="dxa"/>
            <w:vAlign w:val="bottom"/>
          </w:tcPr>
          <w:p>
            <w:pPr>
              <w:ind w:left="12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438</w:t>
            </w:r>
          </w:p>
        </w:tc>
      </w:tr>
      <w:tr>
        <w:trPr>
          <w:trHeight w:val="263"/>
        </w:trPr>
        <w:tc>
          <w:tcPr>
            <w:tcW w:w="9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957</w:t>
            </w:r>
          </w:p>
        </w:tc>
      </w:tr>
      <w:tr>
        <w:trPr>
          <w:trHeight w:val="250"/>
        </w:trPr>
        <w:tc>
          <w:tcPr>
            <w:tcW w:w="968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90,619</w:t>
            </w:r>
          </w:p>
        </w:tc>
      </w:tr>
      <w:tr>
        <w:trPr>
          <w:trHeight w:val="263"/>
        </w:trPr>
        <w:tc>
          <w:tcPr>
            <w:tcW w:w="9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34,000</w:t>
            </w:r>
          </w:p>
        </w:tc>
      </w:tr>
      <w:tr>
        <w:trPr>
          <w:trHeight w:val="250"/>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and noncurrent assets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1,186</w:t>
            </w:r>
          </w:p>
        </w:tc>
      </w:tr>
      <w:tr>
        <w:trPr>
          <w:trHeight w:val="257"/>
        </w:trPr>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127,200</w:t>
            </w:r>
          </w:p>
        </w:tc>
      </w:tr>
      <w:tr>
        <w:trPr>
          <w:trHeight w:val="250"/>
        </w:trPr>
        <w:tc>
          <w:tcPr>
            <w:tcW w:w="968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(6,034)</w:t>
            </w:r>
          </w:p>
        </w:tc>
      </w:tr>
      <w:tr>
        <w:trPr>
          <w:trHeight w:val="257"/>
        </w:trPr>
        <w:tc>
          <w:tcPr>
            <w:tcW w:w="9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(2,727)</w:t>
            </w:r>
          </w:p>
        </w:tc>
      </w:tr>
      <w:tr>
        <w:trPr>
          <w:trHeight w:val="250"/>
        </w:trPr>
        <w:tc>
          <w:tcPr>
            <w:tcW w:w="9680" w:type="dxa"/>
            <w:vAlign w:val="bottom"/>
          </w:tcPr>
          <w:p>
            <w:pPr>
              <w:ind w:left="340"/>
              <w:spacing w:after="0"/>
              <w:rPr>
                <w:sz w:val="20"/>
                <w:szCs w:val="20"/>
                <w:color w:val="auto"/>
              </w:rPr>
            </w:pPr>
            <w:r>
              <w:rPr>
                <w:rFonts w:ascii="Arial" w:cs="Arial" w:eastAsia="Arial" w:hAnsi="Arial"/>
                <w:sz w:val="18"/>
                <w:szCs w:val="18"/>
                <w:color w:val="auto"/>
              </w:rPr>
              <w:t>Net assets acquired</w:t>
            </w: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118,439</w:t>
            </w:r>
          </w:p>
        </w:tc>
      </w:tr>
      <w:tr>
        <w:trPr>
          <w:trHeight w:val="26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9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acquired</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(438)</w:t>
            </w:r>
          </w:p>
        </w:tc>
      </w:tr>
      <w:tr>
        <w:trPr>
          <w:trHeight w:val="257"/>
        </w:trPr>
        <w:tc>
          <w:tcPr>
            <w:tcW w:w="9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purchase price allocated</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118,001</w:t>
            </w:r>
          </w:p>
        </w:tc>
      </w:tr>
      <w:tr>
        <w:trPr>
          <w:trHeight w:val="250"/>
        </w:trPr>
        <w:tc>
          <w:tcPr>
            <w:tcW w:w="968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held in escrow</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(14,815)</w:t>
            </w:r>
          </w:p>
        </w:tc>
      </w:tr>
      <w:tr>
        <w:trPr>
          <w:trHeight w:val="250"/>
        </w:trPr>
        <w:tc>
          <w:tcPr>
            <w:tcW w:w="96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Fair value of replacement stock options considered a component of purchase price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(2,300)</w:t>
            </w:r>
          </w:p>
        </w:tc>
      </w:tr>
      <w:tr>
        <w:trPr>
          <w:trHeight w:val="281"/>
        </w:trPr>
        <w:tc>
          <w:tcPr>
            <w:tcW w:w="9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paid in acquisition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100,886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and is primarily attributed to expectations to development of future technology and products, development of future customer relationships, and the DPM's assembled workforce. The goodwill balance is not deductible for U.S. income tax purposes.</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amounts allocated to intangible assets in the table above included developed technology, data supply relationships, customer relationships, and trademarks. Intangible assets are being amortized on a straight-line basis over the estimated useful lives. The following table presents the components of intangible assets acquired and their estimated useful lives as of the acquisition date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288"/>
              <w:spacing w:after="0"/>
              <w:rPr>
                <w:sz w:val="20"/>
                <w:szCs w:val="20"/>
                <w:color w:val="auto"/>
              </w:rPr>
            </w:pPr>
            <w:r>
              <w:rPr>
                <w:rFonts w:ascii="Arial" w:cs="Arial" w:eastAsia="Arial" w:hAnsi="Arial"/>
                <w:sz w:val="14"/>
                <w:szCs w:val="14"/>
                <w:b w:val="1"/>
                <w:bCs w:val="1"/>
                <w:color w:val="auto"/>
              </w:rPr>
              <w:t>Useful life</w:t>
            </w:r>
          </w:p>
        </w:tc>
      </w:tr>
      <w:tr>
        <w:trPr>
          <w:trHeight w:val="222"/>
        </w:trPr>
        <w:tc>
          <w:tcPr>
            <w:tcW w:w="8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 years)</w:t>
            </w:r>
          </w:p>
        </w:tc>
      </w:tr>
      <w:tr>
        <w:trPr>
          <w:trHeight w:val="25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Data supply relationships</w:t>
            </w:r>
          </w:p>
        </w:tc>
        <w:tc>
          <w:tcPr>
            <w:tcW w:w="240" w:type="dxa"/>
            <w:vAlign w:val="bottom"/>
          </w:tcPr>
          <w:p>
            <w:pPr>
              <w:spacing w:after="0"/>
              <w:rPr>
                <w:sz w:val="21"/>
                <w:szCs w:val="21"/>
                <w:color w:val="auto"/>
              </w:rPr>
            </w:pP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16,000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6,000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1,000</w:t>
            </w:r>
          </w:p>
        </w:tc>
        <w:tc>
          <w:tcPr>
            <w:tcW w:w="15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w:t>
            </w:r>
          </w:p>
        </w:tc>
      </w:tr>
      <w:tr>
        <w:trPr>
          <w:trHeight w:val="275"/>
        </w:trPr>
        <w:tc>
          <w:tcPr>
            <w:tcW w:w="8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34,000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35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 Company has omitted disclosures of revenue and net loss of the acquired company from the acquisition date as the amounts are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bookmarkStart w:id="87" w:name="page88"/>
    <w:bookmarkEnd w:id="87"/>
    <w:p>
      <w:pPr>
        <w:ind w:right="60"/>
        <w:spacing w:after="0" w:line="252" w:lineRule="auto"/>
        <w:rPr>
          <w:sz w:val="20"/>
          <w:szCs w:val="20"/>
          <w:color w:val="auto"/>
        </w:rPr>
      </w:pPr>
      <w:r>
        <w:rPr>
          <w:rFonts w:ascii="Arial" w:cs="Arial" w:eastAsia="Arial" w:hAnsi="Arial"/>
          <w:sz w:val="18"/>
          <w:szCs w:val="18"/>
          <w:color w:val="auto"/>
        </w:rPr>
        <w:t>The unaudited pro forma financial information in the table below summarizes the combined results of operations for LiveRamp and DPM for the purposes of unaudited pro forma financial information disclosure as if the companies were combined as of the beginning of fiscal 2019. The unaudited pro forma financial information for all periods presented included the business combination accounting effects resulting from these acquisitions, including amortization charges from acquired intangible assets, stock-based compensation charges for unvested restricted stock-based awards and stock options assumed, if any, and the related tax effects as though the aforementioned companies were combined as of the beginning of fiscal 2019. The pro forma financial information as presented below is for informational purposes only and is not necessarily indicative of the results of operations that would have been achieved if the acquisitions had taken place at the beginning of fiscal 2019.</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unaudited pro forma financial information for the years ended March 31, 2020 and 2019, respectively, combined the historical results of LiveRamp for the years ended March 31, 2020 and 2019 and the historical results of DPM for the years ended December 31, 2019 and 2018 (adjusted due to differences in reporting periods) and the effects of the pro forma adjustments listed above. The unaudited pro forma financial information was as follows (dollars in thousands, except per share data):</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Year ended March 31,</w:t>
            </w:r>
          </w:p>
        </w:tc>
      </w:tr>
      <w:tr>
        <w:trPr>
          <w:trHeight w:val="210"/>
        </w:trPr>
        <w:tc>
          <w:tcPr>
            <w:tcW w:w="8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381,501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287,467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(129,211)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1,010,241</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13.47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13.47</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Faktor</w:t>
      </w:r>
    </w:p>
    <w:p>
      <w:pPr>
        <w:spacing w:after="0" w:line="25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On April 2, 2019, the Company acquired all of the outstanding shares of Faktor B. V. ("Faktor"). Faktor is a global consent management platform that allows consumers to control how their data is collected, used, and transferred for usage to another party. Faktor's platform provides individuals with notice and choice on websites and mobile apps and allows them to opt-in or opt-out via a visible banner on the page. The Company paid approximately $ 4.5 million in cash for the acquired shares. The Company has omitted pro forma disclosures related to this acquisition as the pro forma effect of this acquisition is not material. The results of operations for the acquisition are included in the Company's condensed consolidated results beginning April 2, 2019.</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purchase price allocation related to assets acquired and liabilities assumed (dollars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April 2, 2019</w:t>
            </w:r>
          </w:p>
        </w:tc>
      </w:tr>
      <w:tr>
        <w:trPr>
          <w:trHeight w:val="24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9640" w:type="dxa"/>
            <w:vAlign w:val="bottom"/>
          </w:tcPr>
          <w:p>
            <w:pPr>
              <w:ind w:left="120"/>
              <w:spacing w:after="0"/>
              <w:rPr>
                <w:sz w:val="20"/>
                <w:szCs w:val="20"/>
                <w:color w:val="auto"/>
              </w:rPr>
            </w:pPr>
            <w:r>
              <w:rPr>
                <w:rFonts w:ascii="Arial" w:cs="Arial" w:eastAsia="Arial" w:hAnsi="Arial"/>
                <w:sz w:val="18"/>
                <w:szCs w:val="18"/>
                <w:color w:val="auto"/>
              </w:rPr>
              <w:t>Cash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35</w:t>
            </w:r>
          </w:p>
        </w:tc>
      </w:tr>
      <w:tr>
        <w:trPr>
          <w:trHeight w:val="263"/>
        </w:trPr>
        <w:tc>
          <w:tcPr>
            <w:tcW w:w="9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receivable</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63</w:t>
            </w:r>
          </w:p>
        </w:tc>
      </w:tr>
      <w:tr>
        <w:trPr>
          <w:trHeight w:val="250"/>
        </w:trPr>
        <w:tc>
          <w:tcPr>
            <w:tcW w:w="9640" w:type="dxa"/>
            <w:vAlign w:val="bottom"/>
          </w:tcPr>
          <w:p>
            <w:pPr>
              <w:ind w:left="1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3,110</w:t>
            </w:r>
          </w:p>
        </w:tc>
      </w:tr>
      <w:tr>
        <w:trPr>
          <w:trHeight w:val="263"/>
        </w:trPr>
        <w:tc>
          <w:tcPr>
            <w:tcW w:w="9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1,700</w:t>
            </w:r>
          </w:p>
        </w:tc>
      </w:tr>
      <w:tr>
        <w:trPr>
          <w:trHeight w:val="250"/>
        </w:trPr>
        <w:tc>
          <w:tcPr>
            <w:tcW w:w="9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current and noncurrent assets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126</w:t>
            </w:r>
          </w:p>
        </w:tc>
      </w:tr>
      <w:tr>
        <w:trPr>
          <w:trHeight w:val="257"/>
        </w:trPr>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5,034</w:t>
            </w:r>
          </w:p>
        </w:tc>
      </w:tr>
      <w:tr>
        <w:trPr>
          <w:trHeight w:val="250"/>
        </w:trPr>
        <w:tc>
          <w:tcPr>
            <w:tcW w:w="9640" w:type="dxa"/>
            <w:vAlign w:val="bottom"/>
          </w:tcPr>
          <w:p>
            <w:pPr>
              <w:ind w:left="12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(194)</w:t>
            </w:r>
          </w:p>
        </w:tc>
      </w:tr>
      <w:tr>
        <w:trPr>
          <w:trHeight w:val="257"/>
        </w:trPr>
        <w:tc>
          <w:tcPr>
            <w:tcW w:w="9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(326)</w:t>
            </w:r>
          </w:p>
        </w:tc>
      </w:tr>
      <w:tr>
        <w:trPr>
          <w:trHeight w:val="250"/>
        </w:trPr>
        <w:tc>
          <w:tcPr>
            <w:tcW w:w="9640" w:type="dxa"/>
            <w:vAlign w:val="bottom"/>
          </w:tcPr>
          <w:p>
            <w:pPr>
              <w:ind w:left="340"/>
              <w:spacing w:after="0"/>
              <w:rPr>
                <w:sz w:val="20"/>
                <w:szCs w:val="20"/>
                <w:color w:val="auto"/>
              </w:rPr>
            </w:pPr>
            <w:r>
              <w:rPr>
                <w:rFonts w:ascii="Arial" w:cs="Arial" w:eastAsia="Arial" w:hAnsi="Arial"/>
                <w:sz w:val="18"/>
                <w:szCs w:val="18"/>
                <w:color w:val="auto"/>
              </w:rPr>
              <w:t>Net assets acquired</w:t>
            </w: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4,514</w:t>
            </w:r>
          </w:p>
        </w:tc>
      </w:tr>
      <w:tr>
        <w:trPr>
          <w:trHeight w:val="263"/>
        </w:trPr>
        <w:tc>
          <w:tcPr>
            <w:tcW w:w="9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96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Cash acquired</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w:t>
            </w:r>
          </w:p>
        </w:tc>
      </w:tr>
      <w:tr>
        <w:trPr>
          <w:trHeight w:val="282"/>
        </w:trPr>
        <w:tc>
          <w:tcPr>
            <w:tcW w:w="96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cash paid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4,479</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and is primarily attributed to development of future technology and products, development of future customer relationships, and the Faktor assembled workforce.</w:t>
      </w:r>
    </w:p>
    <w:p>
      <w:pPr>
        <w:sectPr>
          <w:pgSz w:w="11900" w:h="16838" w:orient="portrait"/>
          <w:cols w:equalWidth="0" w:num="1">
            <w:col w:w="11240"/>
          </w:cols>
          <w:pgMar w:left="320" w:top="9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u w:val="single" w:color="auto"/>
          <w:color w:val="auto"/>
        </w:rPr>
        <w:t>Pacific Data Partners</w:t>
      </w:r>
    </w:p>
    <w:p>
      <w:pPr>
        <w:spacing w:after="0" w:line="25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February 14, 2018, the Company acquired all the outstanding units of Pacific Data Partners LLC ("PDP") in order to accelerate its ability to power people-based B2B marketing. The Company paid approximately $4.5 million in cash, net of $0.5 million funds held in escrow and $0.2 million cash acquired. The escrow funds were delivered to the PDP sellers 18 months from the acquisition date, during fiscal 2020. The Company omitted pro forma disclosures related to this acquisition as the pro forma effect of this acquisition is not material. The results of operations of this acquisition are included in the Company's consolidated results beginning February 14,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purchase price allocation related to assets acquired and liabilities assumed (dollars in thousands):</w:t>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94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February 14, 2018</w:t>
            </w:r>
          </w:p>
        </w:tc>
      </w:tr>
      <w:tr>
        <w:trPr>
          <w:trHeight w:val="243"/>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acquired:</w:t>
            </w: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50"/>
        </w:trPr>
        <w:tc>
          <w:tcPr>
            <w:tcW w:w="9440" w:type="dxa"/>
            <w:vAlign w:val="bottom"/>
          </w:tcPr>
          <w:p>
            <w:pPr>
              <w:ind w:left="24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228</w:t>
            </w:r>
          </w:p>
        </w:tc>
      </w:tr>
      <w:tr>
        <w:trPr>
          <w:trHeight w:val="263"/>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Trade accounts receivable</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224</w:t>
            </w:r>
          </w:p>
        </w:tc>
      </w:tr>
      <w:tr>
        <w:trPr>
          <w:trHeight w:val="250"/>
        </w:trPr>
        <w:tc>
          <w:tcPr>
            <w:tcW w:w="944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2,200</w:t>
            </w:r>
          </w:p>
        </w:tc>
      </w:tr>
      <w:tr>
        <w:trPr>
          <w:trHeight w:val="257"/>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3,260</w:t>
            </w:r>
          </w:p>
        </w:tc>
      </w:tr>
      <w:tr>
        <w:trPr>
          <w:trHeight w:val="250"/>
        </w:trPr>
        <w:tc>
          <w:tcPr>
            <w:tcW w:w="944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200" w:type="dxa"/>
            <w:vAlign w:val="bottom"/>
          </w:tcPr>
          <w:p>
            <w:pPr>
              <w:spacing w:after="0"/>
              <w:rPr>
                <w:sz w:val="21"/>
                <w:szCs w:val="21"/>
                <w:color w:val="auto"/>
              </w:rPr>
            </w:pPr>
          </w:p>
        </w:tc>
        <w:tc>
          <w:tcPr>
            <w:tcW w:w="1560" w:type="dxa"/>
            <w:vAlign w:val="bottom"/>
          </w:tcPr>
          <w:p>
            <w:pPr>
              <w:jc w:val="right"/>
              <w:ind w:right="72"/>
              <w:spacing w:after="0"/>
              <w:rPr>
                <w:sz w:val="20"/>
                <w:szCs w:val="20"/>
                <w:color w:val="auto"/>
              </w:rPr>
            </w:pPr>
            <w:r>
              <w:rPr>
                <w:rFonts w:ascii="Arial" w:cs="Arial" w:eastAsia="Arial" w:hAnsi="Arial"/>
                <w:sz w:val="18"/>
                <w:szCs w:val="18"/>
                <w:color w:val="auto"/>
              </w:rPr>
              <w:t>5,912</w:t>
            </w:r>
          </w:p>
        </w:tc>
      </w:tr>
      <w:tr>
        <w:trPr>
          <w:trHeight w:val="277"/>
        </w:trPr>
        <w:tc>
          <w:tcPr>
            <w:tcW w:w="94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50"/>
        </w:trPr>
        <w:tc>
          <w:tcPr>
            <w:tcW w:w="9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(706)</w:t>
            </w:r>
          </w:p>
        </w:tc>
      </w:tr>
      <w:tr>
        <w:trPr>
          <w:trHeight w:val="257"/>
        </w:trPr>
        <w:tc>
          <w:tcPr>
            <w:tcW w:w="9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5,206</w:t>
            </w:r>
          </w:p>
        </w:tc>
      </w:tr>
      <w:tr>
        <w:trPr>
          <w:trHeight w:val="250"/>
        </w:trPr>
        <w:tc>
          <w:tcPr>
            <w:tcW w:w="9440" w:type="dxa"/>
            <w:vAlign w:val="bottom"/>
          </w:tcPr>
          <w:p>
            <w:pPr>
              <w:ind w:left="2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9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Funds held in escrow</w:t>
            </w: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r>
      <w:tr>
        <w:trPr>
          <w:trHeight w:val="250"/>
        </w:trPr>
        <w:tc>
          <w:tcPr>
            <w:tcW w:w="94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acquired</w:t>
            </w: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(228)</w:t>
            </w:r>
          </w:p>
        </w:tc>
      </w:tr>
      <w:tr>
        <w:trPr>
          <w:trHeight w:val="282"/>
        </w:trPr>
        <w:tc>
          <w:tcPr>
            <w:tcW w:w="9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paid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4,478</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In connection with the PDP acquisition, the Company assumed the outstanding performance compensation plan under the 2018 Equity Compensation Plan of Pacific Data Partners, LLC ("PDP PSU plan"). Under the PDP PSU plan, performance compensation will be paid to plan participants in four annual increments based on attainment of certain Connectivity B2B run rate revenue targets for the performance period covering April 1, 2018 to March 31, 2022. Each annual payout will be determined at the close of each fiscal year within the performance period, on a cumulative basis. The amount of each annual payout will be settled in shares of Company common stock. The number of shares of Company common stock issued to participants will be equal to 90% of the annual payout divided by the volume weighted average stock price for the 20 trading days prior to, and ending on, the end of each annual performance period, plus, 10% of the annual payout divided by the volume weighted average stock price for the 20 trading days prior to, and ending on, the date of the closing of the acquisition. Total performance attainment may result in combined payouts ranging from zero to $65.0 million.</w:t>
      </w:r>
    </w:p>
    <w:p>
      <w:pPr>
        <w:spacing w:after="0" w:line="2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performance compensation paid under the PDP PSU plan is being recorded as non-cash stock-based compensation as it is attributable to post-combination service (see Note 13 - Stockholders' Equity). The non-cash stock-based compensation expense is being recognized over the requisite service and performance period based on expected attainment. 90% of the performance compensation is settleable in a number of shares calculated using a variable 20-day stock price factor, determined in future periods, and is classified as a liability-based equity award. As of each reporting date, 90% of any recognized, but unpaid portions of the performance compensation plan are recorded in other accrued expenses in the consolidated balance sheets. The remaining 10% of the performance compensation is classified as an equity-classified equity award. During the fourth quarter of fiscal 2020, the Company converted the outstanding PDP PSU plan to a time-vesting restricted stock plan ("PDP RSU plan") at a 100.0% performance conversion rate. The PDP RSUs will vest over three annual increments beginning on March 31, 2020. As a result of the award modification, the Company will recognize $0.6 million of incremental compensation costs related to the equity-classified portion of the award in the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89" w:name="page90"/>
    <w:bookmarkEnd w:id="89"/>
    <w:p>
      <w:pPr>
        <w:ind w:right="60"/>
        <w:spacing w:after="0" w:line="256" w:lineRule="auto"/>
        <w:rPr>
          <w:sz w:val="20"/>
          <w:szCs w:val="20"/>
          <w:color w:val="auto"/>
        </w:rPr>
      </w:pPr>
      <w:r>
        <w:rPr>
          <w:rFonts w:ascii="Arial" w:cs="Arial" w:eastAsia="Arial" w:hAnsi="Arial"/>
          <w:sz w:val="18"/>
          <w:szCs w:val="18"/>
          <w:color w:val="auto"/>
        </w:rPr>
        <w:t>Through March 31, 2020, the Company has recognized a total of $37.8 million related to the PDP non-cash stock-based compensation plan. At March 31, 2020, the recognized, but unpaid, balance related to the PDP non-cash stock-based compensation plan in other accrued expenses in the consolidated balance sheet was $16.3 million.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Acxiom Marketing Solutions ("AMS") business</w:t>
      </w:r>
    </w:p>
    <w:p>
      <w:pPr>
        <w:spacing w:after="0" w:line="25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During fiscal 2019, the Company completed the sale of its AMS business to The Interpublic Group of Companies, Inc. (“IPG”) for $2.3 billion in cash. The business qualified for treatment as discontinued operations during fiscal 2019. At the closing of the transaction, the Company received total consideration of $2.3 billion ($2.3 billion stated sales price less closing adjustments, transaction costs and other items of $49.0 million). Additionally, the Company applied $ 230.5 million of proceeds from the sale to repay outstanding Company debt and related interest. The Company reported a gain of $1.7 billion on the sale, which was included in earnings from discontinued operations, net of tax.</w:t>
      </w:r>
    </w:p>
    <w:p>
      <w:pPr>
        <w:spacing w:after="0" w:line="23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Summary results of operations of AMS for the fiscal years ended March 31, 2020, 2019 and 2018 are segregated and included in earnings from discontinued operations, net of tax, in the consolidated statements of operations.</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The following is a reconciliation of the major classes of line items constituting earnings from discontinued operations, net of tax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8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10"/>
        </w:trPr>
        <w:tc>
          <w:tcPr>
            <w:tcW w:w="66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r>
      <w:tr>
        <w:trPr>
          <w:trHeight w:val="25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332,185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697,305</w:t>
            </w:r>
          </w:p>
        </w:tc>
      </w:tr>
      <w:tr>
        <w:trPr>
          <w:trHeight w:val="25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213,512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370,040</w:t>
            </w:r>
          </w:p>
        </w:tc>
      </w:tr>
      <w:tr>
        <w:trPr>
          <w:trHeight w:val="257"/>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88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118,673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327,265</w:t>
            </w:r>
          </w:p>
        </w:tc>
      </w:tr>
      <w:tr>
        <w:trPr>
          <w:trHeight w:val="230"/>
        </w:trPr>
        <w:tc>
          <w:tcPr>
            <w:tcW w:w="66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8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21,621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34,160</w:t>
            </w:r>
          </w:p>
        </w:tc>
      </w:tr>
      <w:tr>
        <w:trPr>
          <w:trHeight w:val="250"/>
        </w:trPr>
        <w:tc>
          <w:tcPr>
            <w:tcW w:w="6680" w:type="dxa"/>
            <w:vAlign w:val="bottom"/>
          </w:tcPr>
          <w:p>
            <w:pPr>
              <w:ind w:left="120"/>
              <w:spacing w:after="0"/>
              <w:rPr>
                <w:sz w:val="20"/>
                <w:szCs w:val="20"/>
                <w:color w:val="auto"/>
              </w:rPr>
            </w:pPr>
            <w:r>
              <w:rPr>
                <w:rFonts w:ascii="Arial" w:cs="Arial" w:eastAsia="Arial" w:hAnsi="Arial"/>
                <w:sz w:val="18"/>
                <w:szCs w:val="18"/>
                <w:color w:val="auto"/>
              </w:rPr>
              <w:t>Sales and marketing</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60,743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106,960</w:t>
            </w:r>
          </w:p>
        </w:tc>
      </w:tr>
      <w:tr>
        <w:trPr>
          <w:trHeight w:val="263"/>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71,500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38,372</w:t>
            </w:r>
          </w:p>
        </w:tc>
      </w:tr>
      <w:tr>
        <w:trPr>
          <w:trHeight w:val="250"/>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Gains, losses and other items, net</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(957)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(1,673,636)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3,650</w:t>
            </w:r>
          </w:p>
        </w:tc>
      </w:tr>
      <w:tr>
        <w:trPr>
          <w:trHeight w:val="250"/>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(957)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(1,519,772)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183,142</w:t>
            </w:r>
          </w:p>
        </w:tc>
      </w:tr>
      <w:tr>
        <w:trPr>
          <w:trHeight w:val="25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discontinued operations</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1,638,445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144,123</w:t>
            </w:r>
          </w:p>
        </w:tc>
      </w:tr>
      <w:tr>
        <w:trPr>
          <w:trHeight w:val="257"/>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(5,702)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(10,131)</w:t>
            </w:r>
          </w:p>
        </w:tc>
      </w:tr>
      <w:tr>
        <w:trPr>
          <w:trHeight w:val="250"/>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(261)</w:t>
            </w:r>
          </w:p>
        </w:tc>
      </w:tr>
      <w:tr>
        <w:trPr>
          <w:trHeight w:val="256"/>
        </w:trPr>
        <w:tc>
          <w:tcPr>
            <w:tcW w:w="6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discontinued operations before income taxes</w:t>
            </w:r>
          </w:p>
        </w:tc>
        <w:tc>
          <w:tcPr>
            <w:tcW w:w="8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957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1,632,840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133,731</w:t>
            </w:r>
          </w:p>
        </w:tc>
      </w:tr>
      <w:tr>
        <w:trPr>
          <w:trHeight w:val="250"/>
        </w:trPr>
        <w:tc>
          <w:tcPr>
            <w:tcW w:w="6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taxes</w:t>
            </w:r>
          </w:p>
        </w:tc>
        <w:tc>
          <w:tcPr>
            <w:tcW w:w="8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470,346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42,952</w:t>
            </w:r>
          </w:p>
        </w:tc>
      </w:tr>
      <w:tr>
        <w:trPr>
          <w:trHeight w:val="277"/>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from discontinued operations, net of tax</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1,162,494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90,779</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interest expense was allocated to discontinued operations.</w:t>
      </w:r>
    </w:p>
    <w:p>
      <w:pPr>
        <w:spacing w:after="0" w:line="25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Company entered into certain agreements with AMS in which services will be provided from the Company to AMS, and from AMS to the Company. The terms of these agreements are primarily 60 months from the date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90" w:name="page91"/>
    <w:bookmarkEnd w:id="90"/>
    <w:p>
      <w:pPr>
        <w:spacing w:after="0" w:line="256" w:lineRule="auto"/>
        <w:rPr>
          <w:sz w:val="20"/>
          <w:szCs w:val="20"/>
          <w:color w:val="auto"/>
        </w:rPr>
      </w:pPr>
      <w:r>
        <w:rPr>
          <w:rFonts w:ascii="Arial" w:cs="Arial" w:eastAsia="Arial" w:hAnsi="Arial"/>
          <w:sz w:val="18"/>
          <w:szCs w:val="18"/>
          <w:color w:val="auto"/>
        </w:rPr>
        <w:t>Cash inflows and outflows related to the agreements are included in cash flows from operating activities in the consolidated statements of cash flows. Revenues and expenses related to the agreements are included in loss from operations in the consolidated statements of operations. The related cash inflows and outflows and revenues and costs for the periods reported are shown below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For the twelve months</w:t>
            </w:r>
          </w:p>
        </w:tc>
        <w:tc>
          <w:tcPr>
            <w:tcW w:w="1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09"/>
        </w:trPr>
        <w:tc>
          <w:tcPr>
            <w:tcW w:w="7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ended</w:t>
            </w:r>
          </w:p>
        </w:tc>
        <w:tc>
          <w:tcPr>
            <w:tcW w:w="1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7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7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 2020</w:t>
            </w:r>
          </w:p>
        </w:tc>
        <w:tc>
          <w:tcPr>
            <w:tcW w:w="280" w:type="dxa"/>
            <w:vAlign w:val="bottom"/>
          </w:tcPr>
          <w:p>
            <w:pPr>
              <w:spacing w:after="0"/>
              <w:rPr>
                <w:sz w:val="19"/>
                <w:szCs w:val="19"/>
                <w:color w:val="auto"/>
              </w:rPr>
            </w:pPr>
          </w:p>
        </w:tc>
        <w:tc>
          <w:tcPr>
            <w:tcW w:w="160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6"/>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inflows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49,543</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20,173</w:t>
            </w: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Cash outflows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10,280</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3,609</w:t>
            </w:r>
          </w:p>
        </w:tc>
        <w:tc>
          <w:tcPr>
            <w:tcW w:w="0" w:type="dxa"/>
            <w:vAlign w:val="bottom"/>
          </w:tcPr>
          <w:p>
            <w:pPr>
              <w:spacing w:after="0"/>
              <w:rPr>
                <w:sz w:val="1"/>
                <w:szCs w:val="1"/>
                <w:color w:val="auto"/>
              </w:rPr>
            </w:pPr>
          </w:p>
        </w:tc>
      </w:tr>
      <w:tr>
        <w:trPr>
          <w:trHeight w:val="277"/>
        </w:trPr>
        <w:tc>
          <w:tcPr>
            <w:tcW w:w="7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1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78"/>
              <w:spacing w:after="0"/>
              <w:rPr>
                <w:sz w:val="20"/>
                <w:szCs w:val="20"/>
                <w:color w:val="auto"/>
              </w:rPr>
            </w:pPr>
            <w:r>
              <w:rPr>
                <w:rFonts w:ascii="Arial" w:cs="Arial" w:eastAsia="Arial" w:hAnsi="Arial"/>
                <w:sz w:val="18"/>
                <w:szCs w:val="18"/>
                <w:color w:val="auto"/>
              </w:rPr>
              <w:t>47,864</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74"/>
              <w:spacing w:after="0"/>
              <w:rPr>
                <w:sz w:val="20"/>
                <w:szCs w:val="20"/>
                <w:color w:val="auto"/>
              </w:rPr>
            </w:pPr>
            <w:r>
              <w:rPr>
                <w:rFonts w:ascii="Arial" w:cs="Arial" w:eastAsia="Arial" w:hAnsi="Arial"/>
                <w:sz w:val="18"/>
                <w:szCs w:val="18"/>
                <w:color w:val="auto"/>
              </w:rPr>
              <w:t>23,810</w:t>
            </w:r>
          </w:p>
        </w:tc>
        <w:tc>
          <w:tcPr>
            <w:tcW w:w="0" w:type="dxa"/>
            <w:vAlign w:val="bottom"/>
          </w:tcPr>
          <w:p>
            <w:pPr>
              <w:spacing w:after="0"/>
              <w:rPr>
                <w:sz w:val="1"/>
                <w:szCs w:val="1"/>
                <w:color w:val="auto"/>
              </w:rPr>
            </w:pPr>
          </w:p>
        </w:tc>
      </w:tr>
      <w:tr>
        <w:trPr>
          <w:trHeight w:val="26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6,985</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The revenues amount includes approximately $15.5 million of revenue from AMS's resale of LiveRamp services to its customers.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CURRENT AND NONCURRENT ASSETS: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 of the following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6"/>
        </w:trPr>
        <w:tc>
          <w:tcPr>
            <w:tcW w:w="8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12,737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9,058</w:t>
            </w:r>
          </w:p>
        </w:tc>
        <w:tc>
          <w:tcPr>
            <w:tcW w:w="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Receivable for cash settlement of withheld income tax withholdings on equity award releases</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Post-closing receivable from IPG</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17,625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2,497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Assets of non-qualified retirement plan</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11,623</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14,970</w:t>
            </w:r>
          </w:p>
        </w:tc>
        <w:tc>
          <w:tcPr>
            <w:tcW w:w="4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32,666</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44,150</w:t>
            </w:r>
          </w:p>
        </w:tc>
        <w:tc>
          <w:tcPr>
            <w:tcW w:w="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8240" w:type="dxa"/>
            <w:vAlign w:val="bottom"/>
            <w:gridSpan w:val="2"/>
            <w:vMerge w:val="restart"/>
          </w:tcPr>
          <w:p>
            <w:pPr>
              <w:spacing w:after="0"/>
              <w:rPr>
                <w:sz w:val="20"/>
                <w:szCs w:val="20"/>
                <w:color w:val="auto"/>
              </w:rPr>
            </w:pPr>
            <w:r>
              <w:rPr>
                <w:rFonts w:ascii="Arial" w:cs="Arial" w:eastAsia="Arial" w:hAnsi="Arial"/>
                <w:sz w:val="18"/>
                <w:szCs w:val="18"/>
                <w:color w:val="auto"/>
              </w:rPr>
              <w:t>Other noncurrent assets consist of the following (dollars in thousands):</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82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March 31, 2019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2,486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Right-of-use asset (see Note 2)</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17,830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2,562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2,463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miscellaneous noncurrent assets</w:t>
            </w: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5,032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5,819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240" w:type="dxa"/>
            <w:vAlign w:val="bottom"/>
            <w:gridSpan w:val="2"/>
          </w:tcPr>
          <w:p>
            <w:pPr>
              <w:ind w:left="20"/>
              <w:spacing w:after="0"/>
              <w:rPr>
                <w:sz w:val="20"/>
                <w:szCs w:val="20"/>
                <w:color w:val="auto"/>
              </w:rPr>
            </w:pPr>
            <w:r>
              <w:rPr>
                <w:rFonts w:ascii="Arial" w:cs="Arial" w:eastAsia="Arial" w:hAnsi="Arial"/>
                <w:sz w:val="18"/>
                <w:szCs w:val="18"/>
                <w:color w:val="auto"/>
              </w:rPr>
              <w:t>Other assets, net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27,165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10,803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949" w:right="5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8. OTHER ACCRUED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consist of the following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 of non-qualified retirement plan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11,623</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14,970</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color w:val="auto"/>
              </w:rPr>
              <w:t>Short-term lease liabilities (See Note 2)</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9,641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PDP performance plan liability (see Note 13)</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16,318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color w:val="auto"/>
              </w:rPr>
              <w:t>DPM consideration holdback (see Note 13)</w:t>
            </w:r>
          </w:p>
        </w:tc>
        <w:tc>
          <w:tcPr>
            <w:tcW w:w="14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6,185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miscellaneous accrued expenses</w:t>
            </w: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25,224</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25,946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40" w:type="dxa"/>
            <w:vAlign w:val="bottom"/>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68,991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40,916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b w:val="1"/>
                <w:bCs w:val="1"/>
                <w:color w:val="auto"/>
              </w:rPr>
              <w:t>9. GOODWILL:</w:t>
            </w: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4"/>
        </w:trPr>
        <w:tc>
          <w:tcPr>
            <w:tcW w:w="8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40" w:type="dxa"/>
            <w:vAlign w:val="bottom"/>
          </w:tcPr>
          <w:p>
            <w:pPr>
              <w:spacing w:after="0"/>
              <w:rPr>
                <w:sz w:val="20"/>
                <w:szCs w:val="20"/>
                <w:color w:val="auto"/>
              </w:rPr>
            </w:pPr>
            <w:r>
              <w:rPr>
                <w:rFonts w:ascii="Arial" w:cs="Arial" w:eastAsia="Arial" w:hAnsi="Arial"/>
                <w:sz w:val="18"/>
                <w:szCs w:val="18"/>
                <w:color w:val="auto"/>
              </w:rPr>
              <w:t>Goodwill for the years ended March 31, 2020 and 2019 was as follows (dollars in thousands):</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2018</w:t>
            </w:r>
          </w:p>
        </w:tc>
        <w:tc>
          <w:tcPr>
            <w:tcW w:w="14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203,639</w:t>
            </w:r>
          </w:p>
        </w:tc>
        <w:tc>
          <w:tcPr>
            <w:tcW w:w="2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Pr>
          <w:p>
            <w:pPr>
              <w:ind w:left="220"/>
              <w:spacing w:after="0"/>
              <w:rPr>
                <w:sz w:val="20"/>
                <w:szCs w:val="20"/>
                <w:color w:val="auto"/>
              </w:rPr>
            </w:pPr>
            <w:r>
              <w:rPr>
                <w:rFonts w:ascii="Arial" w:cs="Arial" w:eastAsia="Arial" w:hAnsi="Arial"/>
                <w:sz w:val="18"/>
                <w:szCs w:val="18"/>
                <w:color w:val="auto"/>
              </w:rPr>
              <w:t>Reallocation from AMS</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1,377</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204,656</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of Faktor</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3,110</w:t>
            </w:r>
          </w:p>
        </w:tc>
        <w:tc>
          <w:tcPr>
            <w:tcW w:w="2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Pr>
          <w:p>
            <w:pPr>
              <w:ind w:left="220"/>
              <w:spacing w:after="0"/>
              <w:rPr>
                <w:sz w:val="20"/>
                <w:szCs w:val="20"/>
                <w:color w:val="auto"/>
              </w:rPr>
            </w:pPr>
            <w:r>
              <w:rPr>
                <w:rFonts w:ascii="Arial" w:cs="Arial" w:eastAsia="Arial" w:hAnsi="Arial"/>
                <w:sz w:val="18"/>
                <w:szCs w:val="18"/>
                <w:color w:val="auto"/>
              </w:rPr>
              <w:t>Acquisition of DPM</w:t>
            </w: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90,619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w:t>
            </w:r>
          </w:p>
        </w:tc>
        <w:tc>
          <w:tcPr>
            <w:tcW w:w="1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2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240" w:type="dxa"/>
            <w:vAlign w:val="bottom"/>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297,796</w:t>
            </w: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240" w:type="dxa"/>
            <w:vAlign w:val="bottom"/>
            <w:vMerge w:val="restart"/>
          </w:tcPr>
          <w:p>
            <w:pPr>
              <w:spacing w:after="0"/>
              <w:rPr>
                <w:sz w:val="20"/>
                <w:szCs w:val="20"/>
                <w:color w:val="auto"/>
              </w:rPr>
            </w:pPr>
            <w:r>
              <w:rPr>
                <w:rFonts w:ascii="Arial" w:cs="Arial" w:eastAsia="Arial" w:hAnsi="Arial"/>
                <w:sz w:val="18"/>
                <w:szCs w:val="18"/>
                <w:color w:val="auto"/>
              </w:rPr>
              <w:t>Goodwill by geography as of March 31, 2020 was:</w:t>
            </w: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8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40" w:type="dxa"/>
            <w:vAlign w:val="bottom"/>
            <w:tcBorders>
              <w:top w:val="single" w:sz="8" w:color="CCEEFF"/>
            </w:tcBorders>
            <w:shd w:val="clear" w:color="auto" w:fill="CCEEFF"/>
          </w:tcPr>
          <w:p>
            <w:pPr>
              <w:spacing w:after="0"/>
              <w:rPr>
                <w:sz w:val="22"/>
                <w:szCs w:val="22"/>
                <w:color w:val="auto"/>
              </w:rPr>
            </w:pPr>
          </w:p>
        </w:tc>
        <w:tc>
          <w:tcPr>
            <w:tcW w:w="1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295,181</w:t>
            </w:r>
          </w:p>
        </w:tc>
        <w:tc>
          <w:tcPr>
            <w:tcW w:w="24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APAC</w:t>
            </w:r>
          </w:p>
        </w:tc>
        <w:tc>
          <w:tcPr>
            <w:tcW w:w="14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2,615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4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297,796</w:t>
            </w:r>
          </w:p>
        </w:tc>
        <w:tc>
          <w:tcPr>
            <w:tcW w:w="240" w:type="dxa"/>
            <w:vAlign w:val="bottom"/>
            <w:tcBorders>
              <w:left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5440"/>
              <w:spacing w:after="0"/>
              <w:rPr>
                <w:sz w:val="20"/>
                <w:szCs w:val="20"/>
                <w:color w:val="auto"/>
              </w:rPr>
            </w:pPr>
            <w:r>
              <w:rPr>
                <w:rFonts w:ascii="Arial" w:cs="Arial" w:eastAsia="Arial" w:hAnsi="Arial"/>
                <w:sz w:val="18"/>
                <w:szCs w:val="18"/>
                <w:color w:val="auto"/>
              </w:rPr>
              <w:t>F-50</w:t>
            </w: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5"/>
        </w:trPr>
        <w:tc>
          <w:tcPr>
            <w:tcW w:w="82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10. INTANGIBLE ASSETS:</w:t>
      </w:r>
    </w:p>
    <w:p>
      <w:pPr>
        <w:spacing w:after="0" w:line="274"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The amounts allocated to intangible assets from acquisitions include developed technology, customer relationships, trade names, and publisher relationships. The following table shows the amortization activity of intangible assets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7"/>
                <w:szCs w:val="17"/>
                <w:color w:val="auto"/>
              </w:rPr>
            </w:pPr>
          </w:p>
        </w:tc>
        <w:tc>
          <w:tcPr>
            <w:tcW w:w="1280" w:type="dxa"/>
            <w:vAlign w:val="bottom"/>
          </w:tcPr>
          <w:p>
            <w:pPr>
              <w:jc w:val="right"/>
              <w:ind w:right="131"/>
              <w:spacing w:after="0"/>
              <w:rPr>
                <w:sz w:val="20"/>
                <w:szCs w:val="20"/>
                <w:color w:val="auto"/>
              </w:rPr>
            </w:pPr>
            <w:r>
              <w:rPr>
                <w:rFonts w:ascii="Arial" w:cs="Arial" w:eastAsia="Arial" w:hAnsi="Arial"/>
                <w:sz w:val="14"/>
                <w:szCs w:val="14"/>
                <w:b w:val="1"/>
                <w:bCs w:val="1"/>
                <w:color w:val="auto"/>
              </w:rPr>
              <w:t>March 31, 2019</w:t>
            </w:r>
          </w:p>
        </w:tc>
      </w:tr>
      <w:tr>
        <w:trPr>
          <w:trHeight w:val="256"/>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 gross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66,451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54,000</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(54,713)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(49,625)</w:t>
            </w:r>
          </w:p>
        </w:tc>
      </w:tr>
      <w:tr>
        <w:trPr>
          <w:trHeight w:val="25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developed technology</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11,738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4,375</w:t>
            </w:r>
          </w:p>
        </w:tc>
      </w:tr>
      <w:tr>
        <w:trPr>
          <w:trHeight w:val="216"/>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relationship/Trade name, gross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42,993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35,800</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(33,109)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(26,128)</w:t>
            </w:r>
          </w:p>
        </w:tc>
      </w:tr>
      <w:tr>
        <w:trPr>
          <w:trHeight w:val="25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customer/trade name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9,884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9,672</w:t>
            </w:r>
          </w:p>
        </w:tc>
      </w:tr>
      <w:tr>
        <w:trPr>
          <w:trHeight w:val="216"/>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Publisher/Data supply relationships, gross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39,800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23,800</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amortization</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(16,222)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(9,255)</w:t>
            </w:r>
          </w:p>
        </w:tc>
      </w:tr>
      <w:tr>
        <w:trPr>
          <w:trHeight w:val="25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publisher relationship</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23,578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14,545</w:t>
            </w:r>
          </w:p>
        </w:tc>
      </w:tr>
      <w:tr>
        <w:trPr>
          <w:trHeight w:val="216"/>
        </w:trPr>
        <w:tc>
          <w:tcPr>
            <w:tcW w:w="8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7"/>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intangible assets, gross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149,244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113,600</w:t>
            </w:r>
          </w:p>
        </w:tc>
      </w:tr>
      <w:tr>
        <w:trPr>
          <w:trHeight w:val="25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accumulated amortization</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(104,044)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(85,008)</w:t>
            </w:r>
          </w:p>
        </w:tc>
      </w:tr>
      <w:tr>
        <w:trPr>
          <w:trHeight w:val="282"/>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 net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45,200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28,592</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Total amortization expense related to intangible assets was $19.0 million, $15.9 million, and $23.9 million for the fiscal years ended March 31, 2020, 2019 and 2018, respectively. The following table presents the estimated future amortization expenses related to purchased intangible assets (dollars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17,363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5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72"/>
              <w:spacing w:after="0"/>
              <w:rPr>
                <w:sz w:val="20"/>
                <w:szCs w:val="20"/>
                <w:color w:val="auto"/>
              </w:rPr>
            </w:pPr>
            <w:r>
              <w:rPr>
                <w:rFonts w:ascii="Arial" w:cs="Arial" w:eastAsia="Arial" w:hAnsi="Arial"/>
                <w:sz w:val="18"/>
                <w:szCs w:val="18"/>
                <w:color w:val="auto"/>
              </w:rPr>
              <w:t>14,092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11,683</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54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45,200</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11. PROPERTY AND EQUIPMENT:</w:t>
            </w: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03"/>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180" w:type="dxa"/>
            <w:vAlign w:val="bottom"/>
          </w:tcPr>
          <w:p>
            <w:pPr>
              <w:spacing w:after="0"/>
              <w:rPr>
                <w:sz w:val="20"/>
                <w:szCs w:val="20"/>
                <w:color w:val="auto"/>
              </w:rPr>
            </w:pPr>
            <w:r>
              <w:rPr>
                <w:rFonts w:ascii="Arial" w:cs="Arial" w:eastAsia="Arial" w:hAnsi="Arial"/>
                <w:sz w:val="18"/>
                <w:szCs w:val="18"/>
                <w:color w:val="auto"/>
              </w:rPr>
              <w:t>Property and equipment is summarized as follows (dollars in thousands):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56"/>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25,614</w:t>
            </w:r>
          </w:p>
        </w:tc>
        <w:tc>
          <w:tcPr>
            <w:tcW w:w="100" w:type="dxa"/>
            <w:vAlign w:val="bottom"/>
            <w:tcBorders>
              <w:top w:val="single" w:sz="8" w:color="auto"/>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20,097</w:t>
            </w:r>
          </w:p>
        </w:tc>
        <w:tc>
          <w:tcPr>
            <w:tcW w:w="80" w:type="dxa"/>
            <w:vAlign w:val="bottom"/>
            <w:tcBorders>
              <w:top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Data processing equipment</w:t>
            </w:r>
          </w:p>
        </w:tc>
        <w:tc>
          <w:tcPr>
            <w:tcW w:w="1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9,499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37,678</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other equipment</w:t>
            </w: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9,673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80" w:type="dxa"/>
            <w:vAlign w:val="bottom"/>
            <w:tcBorders>
              <w:bottom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73"/>
              <w:spacing w:after="0"/>
              <w:rPr>
                <w:sz w:val="20"/>
                <w:szCs w:val="20"/>
                <w:color w:val="auto"/>
              </w:rPr>
            </w:pPr>
            <w:r>
              <w:rPr>
                <w:rFonts w:ascii="Arial" w:cs="Arial" w:eastAsia="Arial" w:hAnsi="Arial"/>
                <w:sz w:val="18"/>
                <w:szCs w:val="18"/>
                <w:color w:val="auto"/>
              </w:rPr>
              <w:t>44,786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64,852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25,465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38,809</w:t>
            </w:r>
          </w:p>
        </w:tc>
        <w:tc>
          <w:tcPr>
            <w:tcW w:w="80" w:type="dxa"/>
            <w:vAlign w:val="bottom"/>
            <w:tcBorders>
              <w:bottom w:val="single" w:sz="8" w:color="auto"/>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19,321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26,043</w:t>
            </w: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vMerge w:val="restart"/>
          </w:tcPr>
          <w:p>
            <w:pPr>
              <w:ind w:left="5440"/>
              <w:spacing w:after="0"/>
              <w:rPr>
                <w:sz w:val="20"/>
                <w:szCs w:val="20"/>
                <w:color w:val="auto"/>
              </w:rPr>
            </w:pPr>
            <w:r>
              <w:rPr>
                <w:rFonts w:ascii="Arial" w:cs="Arial" w:eastAsia="Arial" w:hAnsi="Arial"/>
                <w:sz w:val="18"/>
                <w:szCs w:val="18"/>
                <w:color w:val="auto"/>
              </w:rPr>
              <w:t>F-51</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4"/>
        </w:trPr>
        <w:tc>
          <w:tcPr>
            <w:tcW w:w="8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3" w:name="page94"/>
    <w:bookmarkEnd w:id="93"/>
    <w:p>
      <w:pPr>
        <w:ind w:right="20"/>
        <w:spacing w:after="0" w:line="254" w:lineRule="auto"/>
        <w:rPr>
          <w:sz w:val="20"/>
          <w:szCs w:val="20"/>
          <w:color w:val="auto"/>
        </w:rPr>
      </w:pPr>
      <w:r>
        <w:rPr>
          <w:rFonts w:ascii="Arial" w:cs="Arial" w:eastAsia="Arial" w:hAnsi="Arial"/>
          <w:sz w:val="18"/>
          <w:szCs w:val="18"/>
          <w:color w:val="auto"/>
        </w:rPr>
        <w:t>Depreciation expense on property and equipment was $15.3 million, $15.6 million and $11.8 million for the fiscal years ended March 31, 2020, 2019 and 2018, respectively. Depreciation expense in fiscal 2020 and 2019 included $3.6 million and $3.8 million, respectively, of accelerated depreciation expense associated with the reduced useful life of certain IT equipment in connection with the Company's migration to a cloud-based data center solution.</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Matters</w:t>
      </w:r>
    </w:p>
    <w:p>
      <w:pPr>
        <w:spacing w:after="0" w:line="225"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Company is involved in various claims and legal proceedings. Management routinely assesses the likelihood of adverse judgments or outcomes to these matters, as well as ranges of probable losses, to the extent losses are reasonably estimable. The Company records accruals for these matters to the extent that management concludes a loss is probable and the financial impact, should an adverse outcome occur, is reasonably estimable. These accruals are reflected in the Company’s consolidated financial statements. In management’s opinion, the Company has made appropriate and adequate accruals for these matters, and management believes the probability of a material loss beyond the amounts accrued to be remote. However, the ultimate liability for these matters is uncertain, and if accruals are not adequate, an adverse outcome could have a material effect on the Company’s consolidated financial condition or results of operations. The Company maintains insurance coverage above certain limits. There are currently no matters pending against the Company or its subsidiaries for which the potential exposure is considered material to the Company’s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w:t>
      </w:r>
    </w:p>
    <w:p>
      <w:pPr>
        <w:spacing w:after="0" w:line="252" w:lineRule="exact"/>
        <w:rPr>
          <w:sz w:val="20"/>
          <w:szCs w:val="20"/>
          <w:color w:val="auto"/>
        </w:rPr>
      </w:pPr>
    </w:p>
    <w:p>
      <w:pPr>
        <w:ind w:right="600"/>
        <w:spacing w:after="0" w:line="256" w:lineRule="auto"/>
        <w:rPr>
          <w:sz w:val="20"/>
          <w:szCs w:val="20"/>
          <w:color w:val="auto"/>
        </w:rPr>
      </w:pPr>
      <w:r>
        <w:rPr>
          <w:rFonts w:ascii="Arial" w:cs="Arial" w:eastAsia="Arial" w:hAnsi="Arial"/>
          <w:sz w:val="18"/>
          <w:szCs w:val="18"/>
          <w:color w:val="auto"/>
        </w:rPr>
        <w:t>As of March 31, 2020, the Company has various non-cancellable operating lease commitments for office space that, as a result of the adoption of ASC 842, have been recorded as lease liabilities. Refer to Note 2 - Leases for additional information regarding lease commitments.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following table presents the Company’s purchase commitments at March 31, 2020. Purchase commitments primarily include contractual commitments for the purchase of data, and other commitments primarily include contractual commitments related to hosting services and software as a service providers. The table does not include the future payment of liabilities related to uncertain tax positions of $25.0 million as the Company is not able to predict the periods in which the payments will be made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For the years ending March 31,</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6"/>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commitments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11,298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5,293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3,392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20,127</w:t>
            </w:r>
          </w:p>
        </w:tc>
        <w:tc>
          <w:tcPr>
            <w:tcW w:w="0" w:type="dxa"/>
            <w:vAlign w:val="bottom"/>
          </w:tcPr>
          <w:p>
            <w:pPr>
              <w:spacing w:after="0"/>
              <w:rPr>
                <w:sz w:val="1"/>
                <w:szCs w:val="1"/>
                <w:color w:val="auto"/>
              </w:rPr>
            </w:pPr>
          </w:p>
        </w:tc>
      </w:tr>
      <w:tr>
        <w:trPr>
          <w:trHeight w:val="250"/>
        </w:trPr>
        <w:tc>
          <w:tcPr>
            <w:tcW w:w="3060" w:type="dxa"/>
            <w:vAlign w:val="bottom"/>
          </w:tcPr>
          <w:p>
            <w:pPr>
              <w:ind w:left="20"/>
              <w:spacing w:after="0"/>
              <w:rPr>
                <w:sz w:val="20"/>
                <w:szCs w:val="20"/>
                <w:color w:val="auto"/>
              </w:rPr>
            </w:pPr>
            <w:r>
              <w:rPr>
                <w:rFonts w:ascii="Arial" w:cs="Arial" w:eastAsia="Arial" w:hAnsi="Arial"/>
                <w:sz w:val="18"/>
                <w:szCs w:val="18"/>
                <w:color w:val="auto"/>
              </w:rPr>
              <w:t>Other commitments</w:t>
            </w:r>
          </w:p>
        </w:tc>
        <w:tc>
          <w:tcPr>
            <w:tcW w:w="240" w:type="dxa"/>
            <w:vAlign w:val="bottom"/>
          </w:tcPr>
          <w:p>
            <w:pPr>
              <w:spacing w:after="0"/>
              <w:rPr>
                <w:sz w:val="21"/>
                <w:szCs w:val="21"/>
                <w:color w:val="auto"/>
              </w:rPr>
            </w:pPr>
          </w:p>
        </w:tc>
        <w:tc>
          <w:tcPr>
            <w:tcW w:w="820" w:type="dxa"/>
            <w:vAlign w:val="bottom"/>
          </w:tcPr>
          <w:p>
            <w:pPr>
              <w:ind w:left="140"/>
              <w:spacing w:after="0"/>
              <w:rPr>
                <w:sz w:val="20"/>
                <w:szCs w:val="20"/>
                <w:color w:val="auto"/>
              </w:rPr>
            </w:pPr>
            <w:r>
              <w:rPr>
                <w:rFonts w:ascii="Arial" w:cs="Arial" w:eastAsia="Arial" w:hAnsi="Arial"/>
                <w:sz w:val="18"/>
                <w:szCs w:val="18"/>
                <w:color w:val="auto"/>
              </w:rPr>
              <w:t>22,316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25,754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27,867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55"/>
              <w:spacing w:after="0"/>
              <w:rPr>
                <w:sz w:val="20"/>
                <w:szCs w:val="20"/>
                <w:color w:val="auto"/>
              </w:rPr>
            </w:pPr>
            <w:r>
              <w:rPr>
                <w:rFonts w:ascii="Arial" w:cs="Arial" w:eastAsia="Arial" w:hAnsi="Arial"/>
                <w:sz w:val="18"/>
                <w:szCs w:val="18"/>
                <w:color w:val="auto"/>
              </w:rPr>
              <w:t>7,519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83,456</w:t>
            </w:r>
          </w:p>
        </w:tc>
        <w:tc>
          <w:tcPr>
            <w:tcW w:w="0" w:type="dxa"/>
            <w:vAlign w:val="bottom"/>
          </w:tcPr>
          <w:p>
            <w:pPr>
              <w:spacing w:after="0"/>
              <w:rPr>
                <w:sz w:val="1"/>
                <w:szCs w:val="1"/>
                <w:color w:val="auto"/>
              </w:rPr>
            </w:pPr>
          </w:p>
        </w:tc>
      </w:tr>
      <w:tr>
        <w:trPr>
          <w:trHeight w:val="215"/>
        </w:trPr>
        <w:tc>
          <w:tcPr>
            <w:tcW w:w="3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and other</w:t>
            </w: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ind w:left="140"/>
              <w:spacing w:after="0"/>
              <w:rPr>
                <w:sz w:val="20"/>
                <w:szCs w:val="20"/>
                <w:color w:val="auto"/>
              </w:rPr>
            </w:pPr>
            <w:r>
              <w:rPr>
                <w:rFonts w:ascii="Arial" w:cs="Arial" w:eastAsia="Arial" w:hAnsi="Arial"/>
                <w:sz w:val="18"/>
                <w:szCs w:val="18"/>
                <w:color w:val="auto"/>
              </w:rPr>
              <w:t>33,614</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31,047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vMerge w:val="restart"/>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31,259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7,615</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vMerge w:val="restart"/>
            <w:shd w:val="clear" w:color="auto" w:fill="CCEEFF"/>
          </w:tcPr>
          <w:p>
            <w:pPr>
              <w:jc w:val="right"/>
              <w:ind w:right="55"/>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shd w:val="clear" w:color="auto" w:fill="CCEEFF"/>
          </w:tcPr>
          <w:p>
            <w:pPr>
              <w:jc w:val="right"/>
              <w:ind w:right="75"/>
              <w:spacing w:after="0"/>
              <w:rPr>
                <w:sz w:val="20"/>
                <w:szCs w:val="20"/>
                <w:color w:val="auto"/>
              </w:rPr>
            </w:pPr>
            <w:r>
              <w:rPr>
                <w:rFonts w:ascii="Arial" w:cs="Arial" w:eastAsia="Arial" w:hAnsi="Arial"/>
                <w:sz w:val="18"/>
                <w:szCs w:val="18"/>
                <w:color w:val="auto"/>
              </w:rPr>
              <w:t>103,583</w:t>
            </w:r>
          </w:p>
        </w:tc>
        <w:tc>
          <w:tcPr>
            <w:tcW w:w="0" w:type="dxa"/>
            <w:vAlign w:val="bottom"/>
          </w:tcPr>
          <w:p>
            <w:pPr>
              <w:spacing w:after="0"/>
              <w:rPr>
                <w:sz w:val="1"/>
                <w:szCs w:val="1"/>
                <w:color w:val="auto"/>
              </w:rPr>
            </w:pPr>
          </w:p>
        </w:tc>
      </w:tr>
      <w:tr>
        <w:trPr>
          <w:trHeight w:val="223"/>
        </w:trPr>
        <w:tc>
          <w:tcPr>
            <w:tcW w:w="30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commitments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While the Company does not have any other material contractual commitments for capital expenditures, certain levels of investments in facilities and computer equipment continue to be necessary to support the growth of the business.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STOCKHOLDERS' EQUITY:</w:t>
      </w:r>
    </w:p>
    <w:p>
      <w:pPr>
        <w:spacing w:after="0" w:line="24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has authorized 200 million shares of $0.10 par value common stock and 1 million shares of $1.00 par value preferred stock. The board of directors of the Company may designate the relative rights and preferences of the preferred stock when and if issued. Such rights and preferences could include liquidation preferences, redemption rights, voting rights and dividends, and the shares could be issued in multiple series with different rights and preferences. The Company currently has no plans for the issuance of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49" w:right="359" w:bottom="1440" w:gutter="0" w:footer="0" w:header="0"/>
        </w:sectPr>
      </w:pPr>
    </w:p>
    <w:bookmarkStart w:id="94" w:name="page95"/>
    <w:bookmarkEnd w:id="94"/>
    <w:p>
      <w:pPr>
        <w:spacing w:after="0" w:line="251" w:lineRule="auto"/>
        <w:rPr>
          <w:sz w:val="20"/>
          <w:szCs w:val="20"/>
          <w:color w:val="auto"/>
        </w:rPr>
      </w:pPr>
      <w:r>
        <w:rPr>
          <w:rFonts w:ascii="Arial" w:cs="Arial" w:eastAsia="Arial" w:hAnsi="Arial"/>
          <w:sz w:val="18"/>
          <w:szCs w:val="18"/>
          <w:color w:val="auto"/>
        </w:rPr>
        <w:t>On August 29, 2011, the board of directors adopted a common stock repurchase program. That program was subsequently modified and expanded, most recently on October 25, 2018. On that date, the board of directors authorized a $500 million increase to the existing common stock repurchase program. Under the modified common stock repurchase program, the Company may purchase up to $1.0 billion of its common stock through the period ending December 31, 2020. During the fiscal year ended March 31, 2020, the Company repurchased 4.4 million shares of its common stock for $182.2 million under the stock repurchase program. During the fiscal year ended March 31, 2019, the Company repurchased 2.4 million shares of its common stock for $74.4 million under the stock repurchase program. During the fiscal year ended March 31, 2018, the Company repurchased 3.3 million shares of its common stock for $88.9 million. Through March 31, 2020, the Company has repurchased 26.9 million shares of its stock for $631.2 million, leaving remaining capacity of $368.8 million under the stock repurchase program.</w:t>
      </w:r>
    </w:p>
    <w:p>
      <w:pPr>
        <w:spacing w:after="0" w:line="2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October 25, 2018, the board of directors authorized a Dutch auction tender offer to purchase shares of its outstanding common stock at an initial aggregate purchase price not to exceed $500 million, plus up to 2% of the Company's outstanding shares of common stock in accordance with the rules and regulations of the SEC. On December 13, 2018, the Company accepted for purchase 11.2 million shares of its common stock at a price of $44.50 per share, for an aggregate cost of $503.4 million, including fees and expenses. These shares represented approximately 14.2% of the shares outstanding.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Company paid no dividends on its common stock for any of the years reported.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 Plans</w:t>
      </w:r>
    </w:p>
    <w:p>
      <w:pPr>
        <w:spacing w:after="0" w:line="25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has stock option and equity compensation plans for which a total of 42.3 million shares of the Company’s common stock have been reserved for issuance since the inception of the plans. At March 31, 2020, there were a total of 9.3 million shares available for future grants under the plans.</w:t>
      </w:r>
    </w:p>
    <w:p>
      <w:pPr>
        <w:spacing w:after="0" w:line="22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During the fiscal year ended March 31, 2019, the Board voted to amend the Amended and Restated 2005 Equity Compensation Plan to increase the number of shares available under the plan from 32.9 million shares at March 31, 2018 to 37.9 million shares at March 31, 2019, bringing the total number of shares reserved for issuance since inception of all plans from 34.5 million shares at March 31, 2018 to 42.3 million shares beginning in the quarter ended September 30, 2018. The amendment received shareholder approval at the September 20, 2018 annual shareholders'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stock-based compensation activity for the twelve months ended March 31, 2020, by award type, was (dollars in millions):</w:t>
      </w:r>
    </w:p>
    <w:p>
      <w:pPr>
        <w:spacing w:after="0" w:line="267"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26035</wp:posOffset>
            </wp:positionV>
            <wp:extent cx="2863215"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2863215" cy="15430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p>
      <w:pPr>
        <w:spacing w:after="0" w:line="69" w:lineRule="exact"/>
        <w:rPr>
          <w:sz w:val="20"/>
          <w:szCs w:val="20"/>
          <w:color w:val="auto"/>
        </w:rPr>
      </w:pPr>
    </w:p>
    <w:p>
      <w:pPr>
        <w:ind w:left="7160"/>
        <w:spacing w:after="0"/>
        <w:tabs>
          <w:tab w:leader="none" w:pos="86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w:t>
      </w:r>
    </w:p>
    <w:p>
      <w:pPr>
        <w:spacing w:after="0" w:line="29" w:lineRule="exact"/>
        <w:rPr>
          <w:sz w:val="20"/>
          <w:szCs w:val="20"/>
          <w:color w:val="auto"/>
        </w:rPr>
      </w:pPr>
    </w:p>
    <w:p>
      <w:pPr>
        <w:sectPr>
          <w:pgSz w:w="11900" w:h="16838" w:orient="portrait"/>
          <w:cols w:equalWidth="0" w:num="2">
            <w:col w:w="9500" w:space="720"/>
            <w:col w:w="1020"/>
          </w:cols>
          <w:pgMar w:left="320" w:top="949"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22"/>
                <w:szCs w:val="22"/>
                <w:color w:val="auto"/>
              </w:rPr>
            </w:pPr>
          </w:p>
        </w:tc>
        <w:tc>
          <w:tcPr>
            <w:tcW w:w="520" w:type="dxa"/>
            <w:vAlign w:val="bottom"/>
            <w:tcBorders>
              <w:top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4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Arbor acquisition consideration holdback</w:t>
            </w: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DPM acquisition consideration holdback</w:t>
            </w:r>
          </w:p>
        </w:tc>
        <w:tc>
          <w:tcPr>
            <w:tcW w:w="480" w:type="dxa"/>
            <w:vAlign w:val="bottom"/>
          </w:tcPr>
          <w:p>
            <w:pPr>
              <w:spacing w:after="0"/>
              <w:rPr>
                <w:sz w:val="21"/>
                <w:szCs w:val="21"/>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PDP assumed performance plan</w:t>
            </w:r>
          </w:p>
        </w:tc>
        <w:tc>
          <w:tcPr>
            <w:tcW w:w="4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non-employee stock-based compensation</w:t>
            </w:r>
          </w:p>
        </w:tc>
        <w:tc>
          <w:tcPr>
            <w:tcW w:w="4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non-cash stock-based compensation included in the consolidated</w:t>
            </w: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statements of operations</w:t>
            </w: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Less expense related to liability-based equity awards</w:t>
            </w:r>
          </w:p>
        </w:tc>
        <w:tc>
          <w:tcPr>
            <w:tcW w:w="4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of discontinued operations</w:t>
            </w:r>
          </w:p>
        </w:tc>
        <w:tc>
          <w:tcPr>
            <w:tcW w:w="4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6600" w:type="dxa"/>
            <w:vAlign w:val="bottom"/>
          </w:tcPr>
          <w:p>
            <w:pPr>
              <w:ind w:left="20"/>
              <w:spacing w:after="0"/>
              <w:rPr>
                <w:sz w:val="20"/>
                <w:szCs w:val="20"/>
                <w:color w:val="auto"/>
              </w:rPr>
            </w:pPr>
            <w:r>
              <w:rPr>
                <w:rFonts w:ascii="Arial" w:cs="Arial" w:eastAsia="Arial" w:hAnsi="Arial"/>
                <w:sz w:val="18"/>
                <w:szCs w:val="18"/>
                <w:color w:val="auto"/>
              </w:rPr>
              <w:t>Total non-cash stock-based compensation included in the consolidated</w:t>
            </w: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18"/>
                <w:szCs w:val="18"/>
                <w:color w:val="auto"/>
              </w:rPr>
            </w:pPr>
          </w:p>
        </w:tc>
        <w:tc>
          <w:tcPr>
            <w:tcW w:w="48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8"/>
                <w:szCs w:val="18"/>
                <w:color w:val="auto"/>
              </w:rPr>
            </w:pPr>
          </w:p>
        </w:tc>
        <w:tc>
          <w:tcPr>
            <w:tcW w:w="520" w:type="dxa"/>
            <w:vAlign w:val="bottom"/>
            <w:tcBorders>
              <w:top w:val="single" w:sz="8" w:color="auto"/>
            </w:tcBorders>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08"/>
        </w:trPr>
        <w:tc>
          <w:tcPr>
            <w:tcW w:w="6600" w:type="dxa"/>
            <w:vAlign w:val="bottom"/>
          </w:tcPr>
          <w:p>
            <w:pPr>
              <w:ind w:left="20"/>
              <w:spacing w:after="0" w:line="203" w:lineRule="exact"/>
              <w:rPr>
                <w:sz w:val="20"/>
                <w:szCs w:val="20"/>
                <w:color w:val="auto"/>
              </w:rPr>
            </w:pPr>
            <w:r>
              <w:rPr>
                <w:rFonts w:ascii="Arial" w:cs="Arial" w:eastAsia="Arial" w:hAnsi="Arial"/>
                <w:sz w:val="18"/>
                <w:szCs w:val="18"/>
                <w:color w:val="auto"/>
              </w:rPr>
              <w:t>statements of equity</w:t>
            </w:r>
          </w:p>
        </w:tc>
        <w:tc>
          <w:tcPr>
            <w:tcW w:w="48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t>The effect of stock-based compensation expense on income, by financial statement line item, was (dollars in millions):</w:t>
      </w:r>
    </w:p>
    <w:p>
      <w:pPr>
        <w:spacing w:after="0" w:line="267" w:lineRule="exact"/>
        <w:rPr>
          <w:sz w:val="20"/>
          <w:szCs w:val="20"/>
          <w:color w:val="auto"/>
        </w:rPr>
      </w:pPr>
    </w:p>
    <w:p>
      <w:pPr>
        <w:jc w:val="right"/>
        <w:ind w:right="1560"/>
        <w:spacing w:after="0"/>
        <w:rPr>
          <w:sz w:val="20"/>
          <w:szCs w:val="20"/>
          <w:color w:val="auto"/>
        </w:rPr>
      </w:pPr>
      <w:r>
        <w:rPr>
          <w:rFonts w:ascii="Arial" w:cs="Arial" w:eastAsia="Arial" w:hAnsi="Arial"/>
          <w:sz w:val="14"/>
          <w:szCs w:val="14"/>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26035</wp:posOffset>
            </wp:positionV>
            <wp:extent cx="289750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2897505" cy="15430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sectPr>
      </w:pPr>
    </w:p>
    <w:p>
      <w:pPr>
        <w:spacing w:after="0" w:line="69" w:lineRule="exact"/>
        <w:rPr>
          <w:sz w:val="20"/>
          <w:szCs w:val="20"/>
          <w:color w:val="auto"/>
        </w:rPr>
      </w:pPr>
    </w:p>
    <w:p>
      <w:pPr>
        <w:ind w:left="7160"/>
        <w:spacing w:after="0"/>
        <w:tabs>
          <w:tab w:leader="none" w:pos="8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w:t>
      </w:r>
    </w:p>
    <w:p>
      <w:pPr>
        <w:spacing w:after="0" w:line="29" w:lineRule="exact"/>
        <w:rPr>
          <w:sz w:val="20"/>
          <w:szCs w:val="20"/>
          <w:color w:val="auto"/>
        </w:rPr>
      </w:pPr>
    </w:p>
    <w:p>
      <w:pPr>
        <w:sectPr>
          <w:pgSz w:w="11900" w:h="16838" w:orient="portrait"/>
          <w:cols w:equalWidth="0" w:num="2">
            <w:col w:w="9580" w:space="720"/>
            <w:col w:w="880"/>
          </w:cols>
          <w:pgMar w:left="320" w:top="949" w:right="39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3.8</w:t>
            </w:r>
          </w:p>
        </w:tc>
        <w:tc>
          <w:tcPr>
            <w:tcW w:w="14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22"/>
                <w:szCs w:val="22"/>
                <w:color w:val="auto"/>
              </w:rPr>
            </w:pPr>
          </w:p>
        </w:tc>
        <w:tc>
          <w:tcPr>
            <w:tcW w:w="540" w:type="dxa"/>
            <w:vAlign w:val="bottom"/>
            <w:tcBorders>
              <w:top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5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non-cash stock-based compensation included in the consolidated</w:t>
            </w:r>
          </w:p>
        </w:tc>
        <w:tc>
          <w:tcPr>
            <w:tcW w:w="520" w:type="dxa"/>
            <w:vAlign w:val="bottom"/>
            <w:vMerge w:val="restart"/>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89.4</w:t>
            </w:r>
          </w:p>
        </w:tc>
        <w:tc>
          <w:tcPr>
            <w:tcW w:w="140" w:type="dxa"/>
            <w:vAlign w:val="bottom"/>
            <w:shd w:val="clear" w:color="auto" w:fill="CCEEFF"/>
          </w:tcPr>
          <w:p>
            <w:pPr>
              <w:spacing w:after="0"/>
              <w:rPr>
                <w:sz w:val="18"/>
                <w:szCs w:val="18"/>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statements of operations</w:t>
            </w:r>
          </w:p>
        </w:tc>
        <w:tc>
          <w:tcPr>
            <w:tcW w:w="5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2019, the Company accelerated the vesting of certain time-vesting restricted stock units that would have otherwise vested over the next six months to take advantage of significant cash tax savings opportunities. This resulted in the release of restricted stock units covering approximately 0.5 million shares of common stock. The Company recognized $19.8 million of compensation costs related to the accelerated vesting and release of these units, which is included in loss from operations in the consolidated statement of operations. Of the $ 19.8 million compensation costs, $14.3 million represented incremental compensation cost and $5.5 million represented accelerated original grant date fair value compensation cost.</w:t>
      </w:r>
    </w:p>
    <w:p>
      <w:pPr>
        <w:spacing w:after="0" w:line="2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provides the expected future expense for all of the Company's outstanding equity awards at March 31, 2020, by award type (dollars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For the years ending</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09"/>
        </w:trPr>
        <w:tc>
          <w:tcPr>
            <w:tcW w:w="47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r>
      <w:tr>
        <w:trPr>
          <w:trHeight w:val="25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1.1</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3.8</w:t>
            </w:r>
          </w:p>
        </w:tc>
      </w:tr>
      <w:tr>
        <w:trPr>
          <w:trHeight w:val="250"/>
        </w:trPr>
        <w:tc>
          <w:tcPr>
            <w:tcW w:w="470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122.5</w:t>
            </w:r>
          </w:p>
        </w:tc>
      </w:tr>
      <w:tr>
        <w:trPr>
          <w:trHeight w:val="26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DPM acquisition consideration holdback</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18.6</w:t>
            </w:r>
          </w:p>
        </w:tc>
      </w:tr>
      <w:tr>
        <w:trPr>
          <w:trHeight w:val="25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PDP assumed performance plan</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27.2</w:t>
            </w:r>
          </w:p>
        </w:tc>
      </w:tr>
      <w:tr>
        <w:trPr>
          <w:trHeight w:val="270"/>
        </w:trPr>
        <w:tc>
          <w:tcPr>
            <w:tcW w:w="47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57.7</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172.1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 of Continuing Operations</w:t>
      </w:r>
    </w:p>
    <w:p>
      <w:pPr>
        <w:spacing w:after="0" w:line="270"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fiscal 2020, in connection with the acquisition of DPM, the Company replaced all outstanding stock options held by DPM associates immediately prior to the acquisition with options to acquire shares of LiveRamp common stock having substantially the same terms and conditions as were applicable under the original options. In total, the Company issued 162,481 replacement options at a weighted-average exercise price of $1.64 per share. The acquisition-date fair value of the replacement stock options was $7.4 million and was determined using a binomial lattice model with the following assumptions: dividend yield of 0.0% since LiveRamp is currently not paying dividends and there are no plans to pay dividends; risk-free interest rates from 1.86% to 1.96%, based on the rate of U.S. Treasury securities with a term equal to the remaining term of each option; remaining terms of each option from 7.33 years to 9.55 years; expected volatility of 45.00% considering the implied volatility of publicly traded LiveRamp options and historical volatility of LiveRamp stock.</w:t>
      </w:r>
    </w:p>
    <w:p>
      <w:pPr>
        <w:spacing w:after="0" w:line="23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Of the total replacement options issued, 48,619 were fully vested and required no post-combination employee service. The remaining replacement options had components of both pre-combination and post-combination service requirements. As a result, $2.3 million of the acquisition-date fair value of the replacement options was calculated and identified as consideration transferred in the DPM acquisition. The remaining $5.1 million acquisition-date fair value is considered future compensation costs and will be recognized as stock-based compensation cost over the remaining service period.</w:t>
      </w: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color w:val="auto"/>
        </w:rPr>
        <w:t>Stock option activity for the twelve months ended March 31, 2020 was: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6"/>
        </w:trPr>
        <w:tc>
          <w:tcPr>
            <w:tcW w:w="46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96"/>
              <w:spacing w:after="0"/>
              <w:rPr>
                <w:sz w:val="20"/>
                <w:szCs w:val="20"/>
                <w:color w:val="auto"/>
              </w:rPr>
            </w:pPr>
            <w:r>
              <w:rPr>
                <w:rFonts w:ascii="Arial" w:cs="Arial" w:eastAsia="Arial" w:hAnsi="Arial"/>
                <w:sz w:val="14"/>
                <w:szCs w:val="14"/>
                <w:b w:val="1"/>
                <w:bCs w:val="1"/>
                <w:color w:val="auto"/>
              </w:rPr>
              <w:t>Weighted-average</w:t>
            </w: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466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8"/>
                <w:szCs w:val="18"/>
                <w:color w:val="auto"/>
              </w:rPr>
            </w:pPr>
          </w:p>
        </w:tc>
        <w:tc>
          <w:tcPr>
            <w:tcW w:w="1500" w:type="dxa"/>
            <w:vAlign w:val="bottom"/>
          </w:tcPr>
          <w:p>
            <w:pPr>
              <w:jc w:val="center"/>
              <w:ind w:right="96"/>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 term</w:t>
            </w:r>
          </w:p>
        </w:tc>
        <w:tc>
          <w:tcPr>
            <w:tcW w:w="14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Intrinsic value</w:t>
            </w:r>
          </w:p>
        </w:tc>
      </w:tr>
      <w:tr>
        <w:trPr>
          <w:trHeight w:val="222"/>
        </w:trPr>
        <w:tc>
          <w:tcPr>
            <w:tcW w:w="4660" w:type="dxa"/>
            <w:vAlign w:val="bottom"/>
          </w:tcPr>
          <w:p>
            <w:pPr>
              <w:spacing w:after="0"/>
              <w:rPr>
                <w:sz w:val="19"/>
                <w:szCs w:val="19"/>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9"/>
                <w:szCs w:val="19"/>
                <w:color w:val="auto"/>
              </w:rPr>
            </w:pPr>
          </w:p>
        </w:tc>
        <w:tc>
          <w:tcPr>
            <w:tcW w:w="1500" w:type="dxa"/>
            <w:vAlign w:val="bottom"/>
          </w:tcPr>
          <w:p>
            <w:pPr>
              <w:jc w:val="center"/>
              <w:ind w:right="96"/>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9"/>
                <w:szCs w:val="19"/>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 years)</w:t>
            </w:r>
          </w:p>
        </w:tc>
        <w:tc>
          <w:tcPr>
            <w:tcW w:w="140" w:type="dxa"/>
            <w:vAlign w:val="bottom"/>
          </w:tcPr>
          <w:p>
            <w:pPr>
              <w:spacing w:after="0"/>
              <w:rPr>
                <w:sz w:val="19"/>
                <w:szCs w:val="19"/>
                <w:color w:val="auto"/>
              </w:rPr>
            </w:pPr>
          </w:p>
        </w:tc>
        <w:tc>
          <w:tcPr>
            <w:tcW w:w="1220" w:type="dxa"/>
            <w:vAlign w:val="bottom"/>
          </w:tcPr>
          <w:p>
            <w:pPr>
              <w:jc w:val="center"/>
              <w:ind w:right="5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3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1,374,430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14.81</w:t>
            </w:r>
          </w:p>
        </w:tc>
        <w:tc>
          <w:tcPr>
            <w:tcW w:w="100" w:type="dxa"/>
            <w:vAlign w:val="bottom"/>
            <w:tcBorders>
              <w:top w:val="single" w:sz="8" w:color="CCEEFF"/>
            </w:tcBorders>
            <w:shd w:val="clear" w:color="auto" w:fill="CCEEFF"/>
          </w:tcPr>
          <w:p>
            <w:pPr>
              <w:spacing w:after="0"/>
              <w:rPr>
                <w:sz w:val="22"/>
                <w:szCs w:val="22"/>
                <w:color w:val="auto"/>
              </w:rPr>
            </w:pPr>
          </w:p>
        </w:tc>
        <w:tc>
          <w:tcPr>
            <w:tcW w:w="17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1220" w:type="dxa"/>
            <w:vAlign w:val="bottom"/>
            <w:tcBorders>
              <w:top w:val="single" w:sz="8" w:color="auto"/>
            </w:tcBorders>
            <w:shd w:val="clear" w:color="auto" w:fill="CCEEFF"/>
          </w:tcPr>
          <w:p>
            <w:pPr>
              <w:spacing w:after="0"/>
              <w:rPr>
                <w:sz w:val="22"/>
                <w:szCs w:val="22"/>
                <w:color w:val="auto"/>
              </w:rPr>
            </w:pPr>
          </w:p>
        </w:tc>
      </w:tr>
      <w:tr>
        <w:trPr>
          <w:trHeight w:val="250"/>
        </w:trPr>
        <w:tc>
          <w:tcPr>
            <w:tcW w:w="4660" w:type="dxa"/>
            <w:vAlign w:val="bottom"/>
          </w:tcPr>
          <w:p>
            <w:pPr>
              <w:ind w:left="20"/>
              <w:spacing w:after="0"/>
              <w:rPr>
                <w:sz w:val="20"/>
                <w:szCs w:val="20"/>
                <w:color w:val="auto"/>
              </w:rPr>
            </w:pPr>
            <w:r>
              <w:rPr>
                <w:rFonts w:ascii="Arial" w:cs="Arial" w:eastAsia="Arial" w:hAnsi="Arial"/>
                <w:sz w:val="18"/>
                <w:szCs w:val="18"/>
                <w:color w:val="auto"/>
              </w:rPr>
              <w:t>DPM replacement stock options issued</w:t>
            </w:r>
          </w:p>
        </w:tc>
        <w:tc>
          <w:tcPr>
            <w:tcW w:w="1320" w:type="dxa"/>
            <w:vAlign w:val="bottom"/>
          </w:tcPr>
          <w:p>
            <w:pPr>
              <w:jc w:val="right"/>
              <w:ind w:right="75"/>
              <w:spacing w:after="0"/>
              <w:rPr>
                <w:sz w:val="20"/>
                <w:szCs w:val="20"/>
                <w:color w:val="auto"/>
              </w:rPr>
            </w:pPr>
            <w:r>
              <w:rPr>
                <w:rFonts w:ascii="Arial" w:cs="Arial" w:eastAsia="Arial" w:hAnsi="Arial"/>
                <w:sz w:val="18"/>
                <w:szCs w:val="18"/>
                <w:color w:val="auto"/>
              </w:rPr>
              <w:t>162,481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6"/>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6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(177,459)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22"/>
                <w:szCs w:val="22"/>
                <w:color w:val="auto"/>
              </w:rPr>
            </w:pPr>
          </w:p>
        </w:tc>
        <w:tc>
          <w:tcPr>
            <w:tcW w:w="1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6,666</w:t>
            </w:r>
          </w:p>
        </w:tc>
      </w:tr>
      <w:tr>
        <w:trPr>
          <w:trHeight w:val="25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3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(8,794)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tcPr>
          <w:p>
            <w:pPr>
              <w:spacing w:after="0"/>
              <w:rPr>
                <w:sz w:val="21"/>
                <w:szCs w:val="21"/>
                <w:color w:val="auto"/>
              </w:rPr>
            </w:pPr>
          </w:p>
        </w:tc>
        <w:tc>
          <w:tcPr>
            <w:tcW w:w="17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r>
      <w:tr>
        <w:trPr>
          <w:trHeight w:val="282"/>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1,350,658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14.43</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24,972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Exercisable at March 31, 2020</w:t>
            </w: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1,262,493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15.32</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22,226</w:t>
            </w:r>
          </w:p>
        </w:tc>
      </w:tr>
      <w:tr>
        <w:trPr>
          <w:trHeight w:val="21"/>
        </w:trPr>
        <w:tc>
          <w:tcPr>
            <w:tcW w:w="4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5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aggregate intrinsic value for options exercised in fiscal 2020, 2019, and 2018 was $6.7 million, $35.3 million, and $6.5 million, respectively. The aggregate intrinsic value at period end represents the total pre-tax intrinsic value (the difference between LiveRamp’s closing stock price on the last trading day of the period and the exercise price for each in-the-money option) that would have been received by the option holders had they exercised their options on March 31, 2020. This amount changes based upon changes in the fair market value of LiveRamp’s common stock.</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options outstanding and exercisable as of March 31, 2020 was: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auto"/>
            </w:tcBorders>
            <w:gridSpan w:val="4"/>
          </w:tcPr>
          <w:p>
            <w:pPr>
              <w:jc w:val="right"/>
              <w:ind w:right="958"/>
              <w:spacing w:after="0"/>
              <w:rPr>
                <w:sz w:val="20"/>
                <w:szCs w:val="20"/>
                <w:color w:val="auto"/>
              </w:rPr>
            </w:pPr>
            <w:r>
              <w:rPr>
                <w:rFonts w:ascii="Arial" w:cs="Arial" w:eastAsia="Arial" w:hAnsi="Arial"/>
                <w:sz w:val="14"/>
                <w:szCs w:val="14"/>
                <w:b w:val="1"/>
                <w:bCs w:val="1"/>
                <w:color w:val="auto"/>
              </w:rPr>
              <w:t>Options exercisable</w:t>
            </w:r>
          </w:p>
        </w:tc>
      </w:tr>
      <w:tr>
        <w:trPr>
          <w:trHeight w:val="204"/>
        </w:trPr>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rPr>
              <w:t>Range of</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160" w:type="dxa"/>
            <w:vAlign w:val="bottom"/>
          </w:tcPr>
          <w:p>
            <w:pPr>
              <w:spacing w:after="0"/>
              <w:rPr>
                <w:sz w:val="17"/>
                <w:szCs w:val="17"/>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Weighted-average</w:t>
            </w: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rPr>
              <w:t>Weighted-average</w:t>
            </w:r>
          </w:p>
        </w:tc>
      </w:tr>
      <w:tr>
        <w:trPr>
          <w:trHeight w:val="216"/>
        </w:trPr>
        <w:tc>
          <w:tcPr>
            <w:tcW w:w="160" w:type="dxa"/>
            <w:vAlign w:val="bottom"/>
          </w:tcPr>
          <w:p>
            <w:pPr>
              <w:spacing w:after="0"/>
              <w:rPr>
                <w:sz w:val="18"/>
                <w:szCs w:val="18"/>
                <w:color w:val="auto"/>
              </w:rPr>
            </w:pPr>
          </w:p>
        </w:tc>
        <w:tc>
          <w:tcPr>
            <w:tcW w:w="1440" w:type="dxa"/>
            <w:vAlign w:val="bottom"/>
            <w:gridSpan w:val="3"/>
          </w:tcPr>
          <w:p>
            <w:pPr>
              <w:jc w:val="center"/>
              <w:ind w:left="355"/>
              <w:spacing w:after="0"/>
              <w:rPr>
                <w:sz w:val="20"/>
                <w:szCs w:val="20"/>
                <w:color w:val="auto"/>
              </w:rPr>
            </w:pPr>
            <w:r>
              <w:rPr>
                <w:rFonts w:ascii="Arial" w:cs="Arial" w:eastAsia="Arial" w:hAnsi="Arial"/>
                <w:sz w:val="14"/>
                <w:szCs w:val="14"/>
                <w:b w:val="1"/>
                <w:bCs w:val="1"/>
                <w:color w:val="auto"/>
              </w:rPr>
              <w:t>exercise price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ind w:left="540"/>
              <w:spacing w:after="0"/>
              <w:rPr>
                <w:sz w:val="20"/>
                <w:szCs w:val="20"/>
                <w:color w:val="auto"/>
              </w:rPr>
            </w:pPr>
            <w:r>
              <w:rPr>
                <w:rFonts w:ascii="Arial" w:cs="Arial" w:eastAsia="Arial" w:hAnsi="Arial"/>
                <w:sz w:val="14"/>
                <w:szCs w:val="14"/>
                <w:b w:val="1"/>
                <w:bCs w:val="1"/>
                <w:color w:val="auto"/>
              </w:rPr>
              <w:t>Options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exercise price</w:t>
            </w:r>
          </w:p>
        </w:tc>
        <w:tc>
          <w:tcPr>
            <w:tcW w:w="1760" w:type="dxa"/>
            <w:vAlign w:val="bottom"/>
            <w:gridSpan w:val="2"/>
          </w:tcPr>
          <w:p>
            <w:pPr>
              <w:ind w:left="54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8"/>
                <w:szCs w:val="18"/>
                <w:color w:val="auto"/>
              </w:rPr>
            </w:pPr>
          </w:p>
        </w:tc>
        <w:tc>
          <w:tcPr>
            <w:tcW w:w="1540" w:type="dxa"/>
            <w:vAlign w:val="bottom"/>
          </w:tcPr>
          <w:p>
            <w:pPr>
              <w:jc w:val="center"/>
              <w:ind w:right="98"/>
              <w:spacing w:after="0"/>
              <w:rPr>
                <w:sz w:val="20"/>
                <w:szCs w:val="20"/>
                <w:color w:val="auto"/>
              </w:rPr>
            </w:pPr>
            <w:r>
              <w:rPr>
                <w:rFonts w:ascii="Arial" w:cs="Arial" w:eastAsia="Arial" w:hAnsi="Arial"/>
                <w:sz w:val="14"/>
                <w:szCs w:val="14"/>
                <w:b w:val="1"/>
                <w:bCs w:val="1"/>
                <w:color w:val="auto"/>
              </w:rPr>
              <w:t>exercise price</w:t>
            </w:r>
          </w:p>
        </w:tc>
      </w:tr>
      <w:tr>
        <w:trPr>
          <w:trHeight w:val="222"/>
        </w:trPr>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rPr>
              <w:t>per share</w:t>
            </w: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contractual life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per share</w:t>
            </w:r>
          </w:p>
        </w:tc>
      </w:tr>
      <w:tr>
        <w:trPr>
          <w:trHeight w:val="256"/>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233,296</w:t>
            </w:r>
          </w:p>
        </w:tc>
        <w:tc>
          <w:tcPr>
            <w:tcW w:w="12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5.4 years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145,131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1.51</w:t>
            </w:r>
          </w:p>
        </w:tc>
      </w:tr>
      <w:tr>
        <w:trPr>
          <w:trHeight w:val="250"/>
        </w:trPr>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10.00</w:t>
            </w: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19.99</w:t>
            </w:r>
          </w:p>
        </w:tc>
        <w:tc>
          <w:tcPr>
            <w:tcW w:w="120" w:type="dxa"/>
            <w:vAlign w:val="bottom"/>
          </w:tcPr>
          <w:p>
            <w:pPr>
              <w:spacing w:after="0"/>
              <w:rPr>
                <w:sz w:val="21"/>
                <w:szCs w:val="21"/>
                <w:color w:val="auto"/>
              </w:rPr>
            </w:pPr>
          </w:p>
        </w:tc>
        <w:tc>
          <w:tcPr>
            <w:tcW w:w="1620" w:type="dxa"/>
            <w:vAlign w:val="bottom"/>
          </w:tcPr>
          <w:p>
            <w:pPr>
              <w:jc w:val="right"/>
              <w:ind w:right="56"/>
              <w:spacing w:after="0"/>
              <w:rPr>
                <w:sz w:val="20"/>
                <w:szCs w:val="20"/>
                <w:color w:val="auto"/>
              </w:rPr>
            </w:pPr>
            <w:r>
              <w:rPr>
                <w:rFonts w:ascii="Arial" w:cs="Arial" w:eastAsia="Arial" w:hAnsi="Arial"/>
                <w:sz w:val="18"/>
                <w:szCs w:val="18"/>
                <w:color w:val="auto"/>
              </w:rPr>
              <w:t>709,672</w:t>
            </w:r>
          </w:p>
        </w:tc>
        <w:tc>
          <w:tcPr>
            <w:tcW w:w="120" w:type="dxa"/>
            <w:vAlign w:val="bottom"/>
          </w:tcPr>
          <w:p>
            <w:pPr>
              <w:spacing w:after="0"/>
              <w:rPr>
                <w:sz w:val="21"/>
                <w:szCs w:val="21"/>
                <w:color w:val="auto"/>
              </w:rPr>
            </w:pPr>
          </w:p>
        </w:tc>
        <w:tc>
          <w:tcPr>
            <w:tcW w:w="1800" w:type="dxa"/>
            <w:vAlign w:val="bottom"/>
            <w:gridSpan w:val="2"/>
          </w:tcPr>
          <w:p>
            <w:pPr>
              <w:ind w:left="920"/>
              <w:spacing w:after="0"/>
              <w:rPr>
                <w:sz w:val="20"/>
                <w:szCs w:val="20"/>
                <w:color w:val="auto"/>
              </w:rPr>
            </w:pPr>
            <w:r>
              <w:rPr>
                <w:rFonts w:ascii="Arial" w:cs="Arial" w:eastAsia="Arial" w:hAnsi="Arial"/>
                <w:sz w:val="18"/>
                <w:szCs w:val="18"/>
                <w:color w:val="auto"/>
              </w:rPr>
              <w:t>2.6 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14.69</w:t>
            </w:r>
          </w:p>
        </w:tc>
        <w:tc>
          <w:tcPr>
            <w:tcW w:w="120" w:type="dxa"/>
            <w:vAlign w:val="bottom"/>
          </w:tcPr>
          <w:p>
            <w:pPr>
              <w:spacing w:after="0"/>
              <w:rPr>
                <w:sz w:val="21"/>
                <w:szCs w:val="21"/>
                <w:color w:val="auto"/>
              </w:rPr>
            </w:pPr>
          </w:p>
        </w:tc>
        <w:tc>
          <w:tcPr>
            <w:tcW w:w="1640" w:type="dxa"/>
            <w:vAlign w:val="bottom"/>
          </w:tcPr>
          <w:p>
            <w:pPr>
              <w:jc w:val="right"/>
              <w:ind w:right="78"/>
              <w:spacing w:after="0"/>
              <w:rPr>
                <w:sz w:val="20"/>
                <w:szCs w:val="20"/>
                <w:color w:val="auto"/>
              </w:rPr>
            </w:pPr>
            <w:r>
              <w:rPr>
                <w:rFonts w:ascii="Arial" w:cs="Arial" w:eastAsia="Arial" w:hAnsi="Arial"/>
                <w:sz w:val="18"/>
                <w:szCs w:val="18"/>
                <w:color w:val="auto"/>
              </w:rPr>
              <w:t>709,672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8"/>
              <w:spacing w:after="0"/>
              <w:rPr>
                <w:sz w:val="20"/>
                <w:szCs w:val="20"/>
                <w:color w:val="auto"/>
              </w:rPr>
            </w:pPr>
            <w:r>
              <w:rPr>
                <w:rFonts w:ascii="Arial" w:cs="Arial" w:eastAsia="Arial" w:hAnsi="Arial"/>
                <w:sz w:val="18"/>
                <w:szCs w:val="18"/>
                <w:color w:val="auto"/>
              </w:rPr>
              <w:t>14.69</w:t>
            </w:r>
          </w:p>
        </w:tc>
      </w:tr>
      <w:tr>
        <w:trPr>
          <w:trHeight w:val="257"/>
        </w:trPr>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24.99</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407,690</w:t>
            </w:r>
          </w:p>
        </w:tc>
        <w:tc>
          <w:tcPr>
            <w:tcW w:w="120" w:type="dxa"/>
            <w:vAlign w:val="bottom"/>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w w:val="99"/>
              </w:rPr>
              <w:t>4.3 years</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21.31</w:t>
            </w:r>
          </w:p>
        </w:tc>
        <w:tc>
          <w:tcPr>
            <w:tcW w:w="120" w:type="dxa"/>
            <w:vAlign w:val="bottom"/>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407,690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21.31</w:t>
            </w:r>
          </w:p>
        </w:tc>
      </w:tr>
      <w:tr>
        <w:trPr>
          <w:trHeight w:val="250"/>
        </w:trPr>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ind w:right="56"/>
              <w:spacing w:after="0"/>
              <w:rPr>
                <w:sz w:val="20"/>
                <w:szCs w:val="20"/>
                <w:color w:val="auto"/>
              </w:rPr>
            </w:pPr>
            <w:r>
              <w:rPr>
                <w:rFonts w:ascii="Arial" w:cs="Arial" w:eastAsia="Arial" w:hAnsi="Arial"/>
                <w:sz w:val="18"/>
                <w:szCs w:val="18"/>
                <w:color w:val="auto"/>
              </w:rPr>
              <w:t>1,350,658</w:t>
            </w:r>
          </w:p>
        </w:tc>
        <w:tc>
          <w:tcPr>
            <w:tcW w:w="120" w:type="dxa"/>
            <w:vAlign w:val="bottom"/>
          </w:tcPr>
          <w:p>
            <w:pPr>
              <w:spacing w:after="0"/>
              <w:rPr>
                <w:sz w:val="21"/>
                <w:szCs w:val="21"/>
                <w:color w:val="auto"/>
              </w:rPr>
            </w:pPr>
          </w:p>
        </w:tc>
        <w:tc>
          <w:tcPr>
            <w:tcW w:w="1800" w:type="dxa"/>
            <w:vAlign w:val="bottom"/>
            <w:gridSpan w:val="2"/>
          </w:tcPr>
          <w:p>
            <w:pPr>
              <w:ind w:left="920"/>
              <w:spacing w:after="0"/>
              <w:rPr>
                <w:sz w:val="20"/>
                <w:szCs w:val="20"/>
                <w:color w:val="auto"/>
              </w:rPr>
            </w:pPr>
            <w:r>
              <w:rPr>
                <w:rFonts w:ascii="Arial" w:cs="Arial" w:eastAsia="Arial" w:hAnsi="Arial"/>
                <w:sz w:val="18"/>
                <w:szCs w:val="18"/>
                <w:color w:val="auto"/>
              </w:rPr>
              <w:t>3.6 years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1640" w:type="dxa"/>
            <w:vAlign w:val="bottom"/>
          </w:tcPr>
          <w:p>
            <w:pPr>
              <w:jc w:val="right"/>
              <w:ind w:right="78"/>
              <w:spacing w:after="0"/>
              <w:rPr>
                <w:sz w:val="20"/>
                <w:szCs w:val="20"/>
                <w:color w:val="auto"/>
              </w:rPr>
            </w:pPr>
            <w:r>
              <w:rPr>
                <w:rFonts w:ascii="Arial" w:cs="Arial" w:eastAsia="Arial" w:hAnsi="Arial"/>
                <w:sz w:val="18"/>
                <w:szCs w:val="18"/>
                <w:color w:val="auto"/>
              </w:rPr>
              <w:t>1,262,493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8"/>
              <w:spacing w:after="0"/>
              <w:rPr>
                <w:sz w:val="20"/>
                <w:szCs w:val="20"/>
                <w:color w:val="auto"/>
              </w:rPr>
            </w:pPr>
            <w:r>
              <w:rPr>
                <w:rFonts w:ascii="Arial" w:cs="Arial" w:eastAsia="Arial" w:hAnsi="Arial"/>
                <w:sz w:val="18"/>
                <w:szCs w:val="18"/>
                <w:color w:val="auto"/>
              </w:rPr>
              <w:t>15.32</w:t>
            </w:r>
          </w:p>
        </w:tc>
      </w:tr>
      <w:tr>
        <w:trPr>
          <w:trHeight w:val="27"/>
        </w:trPr>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5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540" w:type="dxa"/>
            <w:vAlign w:val="bottom"/>
            <w:tcBorders>
              <w:top w:val="single" w:sz="8" w:color="auto"/>
              <w:bottom w:val="single" w:sz="8" w:color="auto"/>
            </w:tcBorders>
          </w:tcPr>
          <w:p>
            <w:pPr>
              <w:spacing w:after="0"/>
              <w:rPr>
                <w:sz w:val="2"/>
                <w:szCs w:val="2"/>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Option Unit Activity of Continuing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Performance stock option unit activity for the twelve months ended March 31, 2020 was: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Weighted-average</w:t>
            </w:r>
          </w:p>
        </w:tc>
        <w:tc>
          <w:tcPr>
            <w:tcW w:w="1300" w:type="dxa"/>
            <w:vAlign w:val="bottom"/>
          </w:tcPr>
          <w:p>
            <w:pPr>
              <w:spacing w:after="0"/>
              <w:rPr>
                <w:sz w:val="16"/>
                <w:szCs w:val="16"/>
                <w:color w:val="auto"/>
              </w:rPr>
            </w:pPr>
          </w:p>
        </w:tc>
      </w:tr>
      <w:tr>
        <w:trPr>
          <w:trHeight w:val="216"/>
        </w:trPr>
        <w:tc>
          <w:tcPr>
            <w:tcW w:w="45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8"/>
                <w:szCs w:val="18"/>
                <w:color w:val="auto"/>
              </w:rPr>
            </w:pP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remaining</w:t>
            </w: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Aggregate</w:t>
            </w:r>
          </w:p>
        </w:tc>
      </w:tr>
      <w:tr>
        <w:trPr>
          <w:trHeight w:val="216"/>
        </w:trPr>
        <w:tc>
          <w:tcPr>
            <w:tcW w:w="456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8"/>
                <w:szCs w:val="18"/>
                <w:color w:val="auto"/>
              </w:rPr>
            </w:pPr>
          </w:p>
        </w:tc>
        <w:tc>
          <w:tcPr>
            <w:tcW w:w="1520" w:type="dxa"/>
            <w:vAlign w:val="bottom"/>
          </w:tcPr>
          <w:p>
            <w:pPr>
              <w:jc w:val="center"/>
              <w:ind w:right="78"/>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8"/>
                <w:szCs w:val="18"/>
                <w:color w:val="auto"/>
              </w:rPr>
            </w:pP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contractual term</w:t>
            </w: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intrinsic value</w:t>
            </w:r>
          </w:p>
        </w:tc>
      </w:tr>
      <w:tr>
        <w:trPr>
          <w:trHeight w:val="222"/>
        </w:trPr>
        <w:tc>
          <w:tcPr>
            <w:tcW w:w="4560" w:type="dxa"/>
            <w:vAlign w:val="bottom"/>
          </w:tcPr>
          <w:p>
            <w:pPr>
              <w:spacing w:after="0"/>
              <w:rPr>
                <w:sz w:val="19"/>
                <w:szCs w:val="19"/>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9"/>
                <w:szCs w:val="19"/>
                <w:color w:val="auto"/>
              </w:rPr>
            </w:pPr>
          </w:p>
        </w:tc>
        <w:tc>
          <w:tcPr>
            <w:tcW w:w="1520" w:type="dxa"/>
            <w:vAlign w:val="bottom"/>
          </w:tcPr>
          <w:p>
            <w:pPr>
              <w:jc w:val="center"/>
              <w:ind w:right="98"/>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9"/>
                <w:szCs w:val="19"/>
                <w:color w:val="auto"/>
              </w:rPr>
            </w:pP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(in years)</w:t>
            </w:r>
          </w:p>
        </w:tc>
        <w:tc>
          <w:tcPr>
            <w:tcW w:w="1300" w:type="dxa"/>
            <w:vAlign w:val="bottom"/>
          </w:tcPr>
          <w:p>
            <w:pPr>
              <w:jc w:val="center"/>
              <w:ind w:right="10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30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130,154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21.44</w:t>
            </w:r>
          </w:p>
        </w:tc>
        <w:tc>
          <w:tcPr>
            <w:tcW w:w="12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spacing w:after="0"/>
              <w:rPr>
                <w:sz w:val="22"/>
                <w:szCs w:val="22"/>
                <w:color w:val="auto"/>
              </w:rPr>
            </w:pPr>
          </w:p>
        </w:tc>
      </w:tr>
      <w:tr>
        <w:trPr>
          <w:trHeight w:val="25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(130,154)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21.44</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r>
      <w:tr>
        <w:trPr>
          <w:trHeight w:val="27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Exercisable at March 31, 2020</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8"/>
                <w:szCs w:val="18"/>
                <w:color w:val="auto"/>
              </w:rPr>
              <w:t>—   $</w:t>
            </w:r>
          </w:p>
        </w:tc>
        <w:tc>
          <w:tcPr>
            <w:tcW w:w="1300" w:type="dxa"/>
            <w:vAlign w:val="bottom"/>
          </w:tcPr>
          <w:p>
            <w:pPr>
              <w:ind w:left="960"/>
              <w:spacing w:after="0"/>
              <w:rPr>
                <w:sz w:val="20"/>
                <w:szCs w:val="20"/>
                <w:color w:val="auto"/>
              </w:rPr>
            </w:pPr>
            <w:r>
              <w:rPr>
                <w:rFonts w:ascii="Arial" w:cs="Arial" w:eastAsia="Arial" w:hAnsi="Arial"/>
                <w:sz w:val="18"/>
                <w:szCs w:val="18"/>
                <w:color w:val="auto"/>
              </w:rPr>
              <w:t>—</w:t>
            </w:r>
          </w:p>
        </w:tc>
      </w:tr>
      <w:tr>
        <w:trPr>
          <w:trHeight w:val="20"/>
        </w:trPr>
        <w:tc>
          <w:tcPr>
            <w:tcW w:w="45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323"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The performance stock option units outstanding at March 31, 2019 reached maturity of the relevant performance period at March 31, 2019. The units attained a 0% attainment level, resulting in cancellation of the units in the current fiscal year.</w:t>
      </w:r>
    </w:p>
    <w:p>
      <w:pPr>
        <w:spacing w:after="0" w:line="180" w:lineRule="exact"/>
        <w:rPr>
          <w:sz w:val="20"/>
          <w:szCs w:val="20"/>
          <w:color w:val="auto"/>
        </w:rPr>
      </w:pPr>
    </w:p>
    <w:p>
      <w:pPr>
        <w:jc w:val="center"/>
        <w:ind w:right="5400"/>
        <w:spacing w:after="0"/>
        <w:rPr>
          <w:sz w:val="20"/>
          <w:szCs w:val="20"/>
          <w:color w:val="auto"/>
        </w:rPr>
      </w:pPr>
      <w:r>
        <w:rPr>
          <w:rFonts w:ascii="Arial" w:cs="Arial" w:eastAsia="Arial" w:hAnsi="Arial"/>
          <w:sz w:val="18"/>
          <w:szCs w:val="18"/>
          <w:i w:val="1"/>
          <w:iCs w:val="1"/>
          <w:color w:val="auto"/>
        </w:rPr>
        <w:t>Fiscal 2019 Restricted Stock Unit Activity Related to Disposition of AMS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Performance-based Restricted Stock Unit Conversions</w:t>
      </w:r>
    </w:p>
    <w:p>
      <w:pPr>
        <w:spacing w:after="0" w:line="9" w:lineRule="exact"/>
        <w:rPr>
          <w:sz w:val="20"/>
          <w:szCs w:val="20"/>
          <w:color w:val="auto"/>
        </w:rPr>
      </w:pPr>
    </w:p>
    <w:p>
      <w:pPr>
        <w:ind w:left="660" w:right="220"/>
        <w:spacing w:after="0" w:line="256" w:lineRule="auto"/>
        <w:rPr>
          <w:sz w:val="20"/>
          <w:szCs w:val="20"/>
          <w:color w:val="auto"/>
        </w:rPr>
      </w:pPr>
      <w:r>
        <w:rPr>
          <w:rFonts w:ascii="Arial" w:cs="Arial" w:eastAsia="Arial" w:hAnsi="Arial"/>
          <w:sz w:val="18"/>
          <w:szCs w:val="18"/>
          <w:color w:val="auto"/>
        </w:rPr>
        <w:t>In conjunction with the disposition of AMS, the Company converted its outstanding TSR-based performance restricted stock units ("PSUs") to time-vesting restricted stock units ("RSUs"). On the conversion date, the performance period was truncated and attainment measured, resulting in conversion of the PSUs to RSUs</w:t>
      </w:r>
    </w:p>
    <w:p>
      <w:pPr>
        <w:sectPr>
          <w:pgSz w:w="11900" w:h="16838" w:orient="portrait"/>
          <w:cols w:equalWidth="0" w:num="1">
            <w:col w:w="11120"/>
          </w:cols>
          <w:pgMar w:left="320" w:top="949" w:right="45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49" w:right="459" w:bottom="1440" w:gutter="0" w:footer="0" w:header="0"/>
          <w:type w:val="continuous"/>
        </w:sectPr>
      </w:pPr>
    </w:p>
    <w:bookmarkStart w:id="97" w:name="page98"/>
    <w:bookmarkEnd w:id="97"/>
    <w:p>
      <w:pPr>
        <w:spacing w:after="0" w:line="261" w:lineRule="auto"/>
        <w:rPr>
          <w:sz w:val="20"/>
          <w:szCs w:val="20"/>
          <w:color w:val="auto"/>
        </w:rPr>
      </w:pPr>
      <w:r>
        <w:rPr>
          <w:rFonts w:ascii="Arial" w:cs="Arial" w:eastAsia="Arial" w:hAnsi="Arial"/>
          <w:sz w:val="18"/>
          <w:szCs w:val="18"/>
          <w:color w:val="auto"/>
        </w:rPr>
        <w:t>at a 200% conversion rate. Each converted RSU held by an AMS associate was vested immediately. The remaining converted RSUs will cliff vest on the same date as the original PSU performance period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activity related to these conversions was:</w:t>
      </w:r>
    </w:p>
    <w:p>
      <w:pPr>
        <w:spacing w:after="0" w:line="51"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Total Continuing</w:t>
            </w:r>
          </w:p>
        </w:tc>
        <w:tc>
          <w:tcPr>
            <w:tcW w:w="0" w:type="dxa"/>
            <w:vAlign w:val="bottom"/>
          </w:tcPr>
          <w:p>
            <w:pPr>
              <w:spacing w:after="0"/>
              <w:rPr>
                <w:sz w:val="1"/>
                <w:szCs w:val="1"/>
                <w:color w:val="auto"/>
              </w:rPr>
            </w:pPr>
          </w:p>
        </w:tc>
      </w:tr>
      <w:tr>
        <w:trPr>
          <w:trHeight w:val="162"/>
        </w:trPr>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ind w:left="320"/>
              <w:spacing w:after="0"/>
              <w:rPr>
                <w:sz w:val="20"/>
                <w:szCs w:val="20"/>
                <w:color w:val="auto"/>
              </w:rPr>
            </w:pPr>
            <w:r>
              <w:rPr>
                <w:rFonts w:ascii="Arial" w:cs="Arial" w:eastAsia="Arial" w:hAnsi="Arial"/>
                <w:sz w:val="14"/>
                <w:szCs w:val="14"/>
                <w:b w:val="1"/>
                <w:bCs w:val="1"/>
                <w:color w:val="auto"/>
              </w:rPr>
              <w:t>Continuing</w:t>
            </w: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Discontinued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and Discontinued</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Operations</w:t>
            </w:r>
          </w:p>
        </w:tc>
        <w:tc>
          <w:tcPr>
            <w:tcW w:w="15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rPr>
              <w:t>Operations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Operations</w:t>
            </w:r>
          </w:p>
        </w:tc>
        <w:tc>
          <w:tcPr>
            <w:tcW w:w="0" w:type="dxa"/>
            <w:vAlign w:val="bottom"/>
          </w:tcPr>
          <w:p>
            <w:pPr>
              <w:spacing w:after="0"/>
              <w:rPr>
                <w:sz w:val="1"/>
                <w:szCs w:val="1"/>
                <w:color w:val="auto"/>
              </w:rPr>
            </w:pPr>
          </w:p>
        </w:tc>
      </w:tr>
      <w:tr>
        <w:trPr>
          <w:trHeight w:val="180"/>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TSR-based performance restricted stock units</w:t>
            </w: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converted to time-based restricted stock units, by fiscal</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Original Performance</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year granted:</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Maturity Date:</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2017 PSU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(168,378)</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(46,218)</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(214,596)</w:t>
            </w:r>
          </w:p>
        </w:tc>
        <w:tc>
          <w:tcPr>
            <w:tcW w:w="0" w:type="dxa"/>
            <w:vAlign w:val="bottom"/>
          </w:tcPr>
          <w:p>
            <w:pPr>
              <w:spacing w:after="0"/>
              <w:rPr>
                <w:sz w:val="1"/>
                <w:szCs w:val="1"/>
                <w:color w:val="auto"/>
              </w:rPr>
            </w:pPr>
          </w:p>
        </w:tc>
      </w:tr>
      <w:tr>
        <w:trPr>
          <w:trHeight w:val="25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Fiscal 2018 PSU</w:t>
            </w:r>
          </w:p>
        </w:tc>
        <w:tc>
          <w:tcPr>
            <w:tcW w:w="1420" w:type="dxa"/>
            <w:vAlign w:val="bottom"/>
          </w:tcPr>
          <w:p>
            <w:pPr>
              <w:jc w:val="right"/>
              <w:spacing w:after="0"/>
              <w:rPr>
                <w:sz w:val="20"/>
                <w:szCs w:val="20"/>
                <w:color w:val="auto"/>
              </w:rPr>
            </w:pPr>
            <w:r>
              <w:rPr>
                <w:rFonts w:ascii="Arial" w:cs="Arial" w:eastAsia="Arial" w:hAnsi="Arial"/>
                <w:sz w:val="18"/>
                <w:szCs w:val="18"/>
                <w:color w:val="auto"/>
              </w:rPr>
              <w:t>3/31/2020</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(148,963)</w:t>
            </w:r>
          </w:p>
        </w:tc>
        <w:tc>
          <w:tcPr>
            <w:tcW w:w="12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(36,815)</w:t>
            </w:r>
          </w:p>
        </w:tc>
        <w:tc>
          <w:tcPr>
            <w:tcW w:w="12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(185,778)</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2019 PSU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3/31/2021</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(186,539)</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(30,188)</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(216,727)</w:t>
            </w:r>
          </w:p>
        </w:tc>
        <w:tc>
          <w:tcPr>
            <w:tcW w:w="0" w:type="dxa"/>
            <w:vAlign w:val="bottom"/>
          </w:tcPr>
          <w:p>
            <w:pPr>
              <w:spacing w:after="0"/>
              <w:rPr>
                <w:sz w:val="1"/>
                <w:szCs w:val="1"/>
                <w:color w:val="auto"/>
              </w:rPr>
            </w:pPr>
          </w:p>
        </w:tc>
      </w:tr>
      <w:tr>
        <w:trPr>
          <w:trHeight w:val="25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Totals</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(503,880)</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(113,221)</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(617,101)</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RSU Cliff Vest Date</w:t>
            </w: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2"/>
        </w:trPr>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740" w:type="dxa"/>
            <w:vAlign w:val="bottom"/>
            <w:gridSpan w:val="2"/>
          </w:tcPr>
          <w:p>
            <w:pPr>
              <w:ind w:left="20"/>
              <w:spacing w:after="0"/>
              <w:rPr>
                <w:sz w:val="20"/>
                <w:szCs w:val="20"/>
                <w:color w:val="auto"/>
              </w:rPr>
            </w:pPr>
            <w:r>
              <w:rPr>
                <w:rFonts w:ascii="Arial" w:cs="Arial" w:eastAsia="Arial" w:hAnsi="Arial"/>
                <w:sz w:val="14"/>
                <w:szCs w:val="14"/>
                <w:color w:val="auto"/>
              </w:rPr>
              <w:t>Time-based restricted stock units converted from TSR-</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rPr>
              <w:t>(Continuing Ops</w:t>
            </w: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based performance restricted stock units</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Only):</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2017 PSU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3/31/2019</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336,756</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92,436</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429,192</w:t>
            </w:r>
          </w:p>
        </w:tc>
        <w:tc>
          <w:tcPr>
            <w:tcW w:w="0" w:type="dxa"/>
            <w:vAlign w:val="bottom"/>
          </w:tcPr>
          <w:p>
            <w:pPr>
              <w:spacing w:after="0"/>
              <w:rPr>
                <w:sz w:val="1"/>
                <w:szCs w:val="1"/>
                <w:color w:val="auto"/>
              </w:rPr>
            </w:pPr>
          </w:p>
        </w:tc>
      </w:tr>
      <w:tr>
        <w:trPr>
          <w:trHeight w:val="250"/>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Fiscal 2018 PSU</w:t>
            </w:r>
          </w:p>
        </w:tc>
        <w:tc>
          <w:tcPr>
            <w:tcW w:w="1420" w:type="dxa"/>
            <w:vAlign w:val="bottom"/>
          </w:tcPr>
          <w:p>
            <w:pPr>
              <w:jc w:val="right"/>
              <w:spacing w:after="0"/>
              <w:rPr>
                <w:sz w:val="20"/>
                <w:szCs w:val="20"/>
                <w:color w:val="auto"/>
              </w:rPr>
            </w:pPr>
            <w:r>
              <w:rPr>
                <w:rFonts w:ascii="Arial" w:cs="Arial" w:eastAsia="Arial" w:hAnsi="Arial"/>
                <w:sz w:val="18"/>
                <w:szCs w:val="18"/>
                <w:color w:val="auto"/>
              </w:rPr>
              <w:t>3/31/2020</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297,926</w:t>
            </w:r>
          </w:p>
        </w:tc>
        <w:tc>
          <w:tcPr>
            <w:tcW w:w="120" w:type="dxa"/>
            <w:vAlign w:val="bottom"/>
          </w:tcPr>
          <w:p>
            <w:pPr>
              <w:spacing w:after="0"/>
              <w:rPr>
                <w:sz w:val="21"/>
                <w:szCs w:val="21"/>
                <w:color w:val="auto"/>
              </w:rPr>
            </w:pPr>
          </w:p>
        </w:tc>
        <w:tc>
          <w:tcPr>
            <w:tcW w:w="1420" w:type="dxa"/>
            <w:vAlign w:val="bottom"/>
          </w:tcPr>
          <w:p>
            <w:pPr>
              <w:jc w:val="right"/>
              <w:ind w:right="74"/>
              <w:spacing w:after="0"/>
              <w:rPr>
                <w:sz w:val="20"/>
                <w:szCs w:val="20"/>
                <w:color w:val="auto"/>
              </w:rPr>
            </w:pPr>
            <w:r>
              <w:rPr>
                <w:rFonts w:ascii="Arial" w:cs="Arial" w:eastAsia="Arial" w:hAnsi="Arial"/>
                <w:sz w:val="18"/>
                <w:szCs w:val="18"/>
                <w:color w:val="auto"/>
              </w:rPr>
              <w:t>73,630</w:t>
            </w:r>
          </w:p>
        </w:tc>
        <w:tc>
          <w:tcPr>
            <w:tcW w:w="120" w:type="dxa"/>
            <w:vAlign w:val="bottom"/>
          </w:tcPr>
          <w:p>
            <w:pPr>
              <w:spacing w:after="0"/>
              <w:rPr>
                <w:sz w:val="21"/>
                <w:szCs w:val="21"/>
                <w:color w:val="auto"/>
              </w:rPr>
            </w:pP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371,556</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Fiscal 2019 PSU</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3/31/2021</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373,078</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60,376</w:t>
            </w:r>
          </w:p>
        </w:tc>
        <w:tc>
          <w:tcPr>
            <w:tcW w:w="120" w:type="dxa"/>
            <w:vAlign w:val="bottom"/>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433,454</w:t>
            </w:r>
          </w:p>
        </w:tc>
        <w:tc>
          <w:tcPr>
            <w:tcW w:w="0" w:type="dxa"/>
            <w:vAlign w:val="bottom"/>
          </w:tcPr>
          <w:p>
            <w:pPr>
              <w:spacing w:after="0"/>
              <w:rPr>
                <w:sz w:val="1"/>
                <w:szCs w:val="1"/>
                <w:color w:val="auto"/>
              </w:rPr>
            </w:pPr>
          </w:p>
        </w:tc>
      </w:tr>
      <w:tr>
        <w:trPr>
          <w:trHeight w:val="257"/>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Totals</w:t>
            </w: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1,007,760</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226,442</w:t>
            </w:r>
          </w:p>
        </w:tc>
        <w:tc>
          <w:tcPr>
            <w:tcW w:w="120" w:type="dxa"/>
            <w:vAlign w:val="bottom"/>
          </w:tcPr>
          <w:p>
            <w:pPr>
              <w:spacing w:after="0"/>
              <w:rPr>
                <w:sz w:val="22"/>
                <w:szCs w:val="22"/>
                <w:color w:val="auto"/>
              </w:rPr>
            </w:pPr>
          </w:p>
        </w:tc>
        <w:tc>
          <w:tcPr>
            <w:tcW w:w="14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1,234,202</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Company recognized both incremental and accelerated compensation costs in the consolidated statement of operations related to the PSU conversions. The impact on compensation costs was (dollars in thousands):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rPr>
              <w:t>Total Continuing</w:t>
            </w:r>
          </w:p>
        </w:tc>
      </w:tr>
      <w:tr>
        <w:trPr>
          <w:trHeight w:val="162"/>
        </w:trPr>
        <w:tc>
          <w:tcPr>
            <w:tcW w:w="5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279"/>
              <w:spacing w:after="0"/>
              <w:rPr>
                <w:sz w:val="20"/>
                <w:szCs w:val="20"/>
                <w:color w:val="auto"/>
              </w:rPr>
            </w:pPr>
            <w:r>
              <w:rPr>
                <w:rFonts w:ascii="Arial" w:cs="Arial" w:eastAsia="Arial" w:hAnsi="Arial"/>
                <w:sz w:val="14"/>
                <w:szCs w:val="14"/>
                <w:b w:val="1"/>
                <w:bCs w:val="1"/>
                <w:color w:val="auto"/>
              </w:rPr>
              <w:t>Continuing</w:t>
            </w:r>
          </w:p>
        </w:tc>
        <w:tc>
          <w:tcPr>
            <w:tcW w:w="300" w:type="dxa"/>
            <w:vAlign w:val="bottom"/>
          </w:tcPr>
          <w:p>
            <w:pPr>
              <w:spacing w:after="0"/>
              <w:rPr>
                <w:sz w:val="14"/>
                <w:szCs w:val="14"/>
                <w:color w:val="auto"/>
              </w:rPr>
            </w:pP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rPr>
              <w:t>Discontinued</w:t>
            </w:r>
          </w:p>
        </w:tc>
        <w:tc>
          <w:tcPr>
            <w:tcW w:w="240" w:type="dxa"/>
            <w:vAlign w:val="bottom"/>
          </w:tcPr>
          <w:p>
            <w:pPr>
              <w:spacing w:after="0"/>
              <w:rPr>
                <w:sz w:val="14"/>
                <w:szCs w:val="14"/>
                <w:color w:val="auto"/>
              </w:rPr>
            </w:pPr>
          </w:p>
        </w:tc>
        <w:tc>
          <w:tcPr>
            <w:tcW w:w="1340" w:type="dxa"/>
            <w:vAlign w:val="bottom"/>
          </w:tcPr>
          <w:p>
            <w:pPr>
              <w:jc w:val="center"/>
              <w:ind w:right="41"/>
              <w:spacing w:after="0"/>
              <w:rPr>
                <w:sz w:val="20"/>
                <w:szCs w:val="20"/>
                <w:color w:val="auto"/>
              </w:rPr>
            </w:pPr>
            <w:r>
              <w:rPr>
                <w:rFonts w:ascii="Arial" w:cs="Arial" w:eastAsia="Arial" w:hAnsi="Arial"/>
                <w:sz w:val="14"/>
                <w:szCs w:val="14"/>
                <w:b w:val="1"/>
                <w:bCs w:val="1"/>
                <w:color w:val="auto"/>
              </w:rPr>
              <w:t>and Discontinued</w:t>
            </w:r>
          </w:p>
        </w:tc>
      </w:tr>
      <w:tr>
        <w:trPr>
          <w:trHeight w:val="196"/>
        </w:trPr>
        <w:tc>
          <w:tcPr>
            <w:tcW w:w="52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Operations</w:t>
            </w: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Operations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Operations</w:t>
            </w:r>
          </w:p>
        </w:tc>
      </w:tr>
      <w:tr>
        <w:trPr>
          <w:trHeight w:val="256"/>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Incremental compensation costs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7,179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1,599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8,778</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Accelerated compensation costs of original grant date fair value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related to immediate vesting of converted PSUs of AMS</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7"/>
        </w:trPr>
        <w:tc>
          <w:tcPr>
            <w:tcW w:w="5240" w:type="dxa"/>
            <w:vAlign w:val="bottom"/>
          </w:tcPr>
          <w:p>
            <w:pPr>
              <w:ind w:left="20"/>
              <w:spacing w:after="0"/>
              <w:rPr>
                <w:sz w:val="20"/>
                <w:szCs w:val="20"/>
                <w:color w:val="auto"/>
              </w:rPr>
            </w:pPr>
            <w:r>
              <w:rPr>
                <w:rFonts w:ascii="Arial" w:cs="Arial" w:eastAsia="Arial" w:hAnsi="Arial"/>
                <w:sz w:val="18"/>
                <w:szCs w:val="18"/>
                <w:color w:val="auto"/>
              </w:rPr>
              <w:t>associates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1,607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1"/>
              <w:spacing w:after="0"/>
              <w:rPr>
                <w:sz w:val="20"/>
                <w:szCs w:val="20"/>
                <w:color w:val="auto"/>
              </w:rPr>
            </w:pPr>
            <w:r>
              <w:rPr>
                <w:rFonts w:ascii="Arial" w:cs="Arial" w:eastAsia="Arial" w:hAnsi="Arial"/>
                <w:sz w:val="18"/>
                <w:szCs w:val="18"/>
                <w:color w:val="auto"/>
              </w:rPr>
              <w:t>1,607</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AMS Restricted Stock Unit Accelerations</w:t>
      </w:r>
    </w:p>
    <w:p>
      <w:pPr>
        <w:spacing w:after="0" w:line="9"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In conjunction with the disposition of AMS, the Company accelerated the vesting of substantially all outstanding time-vesting restricted stock units of AMS associates to the date of disposition, including converted PSU shares, resulting in the release of restricted stock units covering 1,187,344 shares of common stock. The Company recognized $54.0 million of compensation costs related to the accelerated vesting and release of these units, which is included in net earnings from discontinued operations, net of tax in the consolidated statement of operations. Of the $54.0 million compensation costs, $ 27.0 million represented incremental compensation cost and $27.0 million represented accelerated original grant date fair value compensation cost.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49" w:right="359" w:bottom="1440" w:gutter="0" w:footer="0" w:header="0"/>
        </w:sectPr>
      </w:pPr>
    </w:p>
    <w:bookmarkStart w:id="98" w:name="page99"/>
    <w:bookmarkEnd w:id="98"/>
    <w:p>
      <w:pPr>
        <w:spacing w:after="0"/>
        <w:rPr>
          <w:sz w:val="20"/>
          <w:szCs w:val="20"/>
          <w:color w:val="auto"/>
        </w:rPr>
      </w:pPr>
      <w:r>
        <w:rPr>
          <w:rFonts w:ascii="Arial" w:cs="Arial" w:eastAsia="Arial" w:hAnsi="Arial"/>
          <w:sz w:val="18"/>
          <w:szCs w:val="18"/>
          <w:i w:val="1"/>
          <w:iCs w:val="1"/>
          <w:color w:val="auto"/>
        </w:rPr>
        <w:t>Restricted Stock Unit Activity of Continuing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Time-vesting restricted stock units -</w:t>
      </w:r>
    </w:p>
    <w:p>
      <w:pPr>
        <w:spacing w:after="0" w:line="2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During the twelve months ended March 31, 2020, the Company granted time-vesting restricted stock units covering 1,697,506 shares of common stock and having a fair value at the date of grant of $ 85.6 million. All of the restricted stock units granted in the current period vest over four years. Grant date fair value of these units is equal to the quoted market price for the shares on the date of grant. Included in the restricted stock units granted in the current fiscal year were units related to the DPM acquisition. Following the closing of the DPM acquisition, the Company granted new awards of restricted stock units covering 155,346 shares of common stock to select employees to induce them to accept employment with the Company (the "DPM inducement awards"). The DPM inducement awards had a grant date fair value of $7.3 million.</w:t>
      </w:r>
    </w:p>
    <w:p>
      <w:pPr>
        <w:spacing w:after="0" w:line="20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During fiscal 2019, the Company granted time-vesting restricted stock units covering 1,939,746 shares of common stock with a fair value at the date of grant of $69.5 million. Of the restricted stock units granted in the current period, 1,856,444 vest over four years and 83,302 vest over one year.</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fiscal 2018, the Company granted time-vesting restricted stock units covering 1,386,448 shares of common stock with a fair value at the date of grant of $36.2 million. Of the restricted stock units granted in fiscal 2018, 1,089,379 vest over four years, 106,571 vest over three years, 174,368 vest over two years, and 16,130 vest over one year.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Time-vesting restricted stock unit activity for the twelve months ended March 31, 2020 was: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78"/>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78"/>
              <w:spacing w:after="0"/>
              <w:rPr>
                <w:sz w:val="20"/>
                <w:szCs w:val="20"/>
                <w:color w:val="auto"/>
              </w:rPr>
            </w:pPr>
            <w:r>
              <w:rPr>
                <w:rFonts w:ascii="Arial" w:cs="Arial" w:eastAsia="Arial" w:hAnsi="Arial"/>
                <w:sz w:val="14"/>
                <w:szCs w:val="14"/>
                <w:b w:val="1"/>
                <w:bCs w:val="1"/>
                <w:color w:val="auto"/>
              </w:rPr>
              <w:t>fair value per</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216"/>
        </w:trPr>
        <w:tc>
          <w:tcPr>
            <w:tcW w:w="590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8"/>
                <w:szCs w:val="18"/>
                <w:color w:val="auto"/>
              </w:rPr>
            </w:pPr>
          </w:p>
        </w:tc>
        <w:tc>
          <w:tcPr>
            <w:tcW w:w="1500" w:type="dxa"/>
            <w:vAlign w:val="bottom"/>
          </w:tcPr>
          <w:p>
            <w:pPr>
              <w:jc w:val="center"/>
              <w:ind w:right="78"/>
              <w:spacing w:after="0"/>
              <w:rPr>
                <w:sz w:val="20"/>
                <w:szCs w:val="20"/>
                <w:color w:val="auto"/>
              </w:rPr>
            </w:pPr>
            <w:r>
              <w:rPr>
                <w:rFonts w:ascii="Arial" w:cs="Arial" w:eastAsia="Arial" w:hAnsi="Arial"/>
                <w:sz w:val="14"/>
                <w:szCs w:val="14"/>
                <w:b w:val="1"/>
                <w:bCs w:val="1"/>
                <w:color w:val="auto"/>
              </w:rPr>
              <w:t>share at grant</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remaining contractual</w:t>
            </w:r>
          </w:p>
        </w:tc>
      </w:tr>
      <w:tr>
        <w:trPr>
          <w:trHeight w:val="222"/>
        </w:trPr>
        <w:tc>
          <w:tcPr>
            <w:tcW w:w="59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3,054,750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30.91</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ind w:left="340"/>
              <w:spacing w:after="0"/>
              <w:rPr>
                <w:sz w:val="20"/>
                <w:szCs w:val="20"/>
                <w:color w:val="auto"/>
              </w:rPr>
            </w:pPr>
            <w:r>
              <w:rPr>
                <w:rFonts w:ascii="Arial" w:cs="Arial" w:eastAsia="Arial" w:hAnsi="Arial"/>
                <w:sz w:val="18"/>
                <w:szCs w:val="18"/>
                <w:color w:val="auto"/>
              </w:rPr>
              <w:t>1,697,506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50.44</w:t>
            </w: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6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(963,532)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27.73</w:t>
            </w: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r>
      <w:tr>
        <w:trPr>
          <w:trHeight w:val="25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canceled</w:t>
            </w:r>
          </w:p>
        </w:tc>
        <w:tc>
          <w:tcPr>
            <w:tcW w:w="13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(437,086)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78"/>
              <w:spacing w:after="0"/>
              <w:rPr>
                <w:sz w:val="20"/>
                <w:szCs w:val="20"/>
                <w:color w:val="auto"/>
              </w:rPr>
            </w:pPr>
            <w:r>
              <w:rPr>
                <w:rFonts w:ascii="Arial" w:cs="Arial" w:eastAsia="Arial" w:hAnsi="Arial"/>
                <w:sz w:val="18"/>
                <w:szCs w:val="18"/>
                <w:color w:val="auto"/>
              </w:rPr>
              <w:t>38.82</w:t>
            </w:r>
          </w:p>
        </w:tc>
        <w:tc>
          <w:tcPr>
            <w:tcW w:w="120" w:type="dxa"/>
            <w:vAlign w:val="bottom"/>
            <w:tcBorders>
              <w:bottom w:val="single" w:sz="8" w:color="CCEEFF"/>
            </w:tcBorders>
          </w:tcPr>
          <w:p>
            <w:pPr>
              <w:spacing w:after="0"/>
              <w:rPr>
                <w:sz w:val="21"/>
                <w:szCs w:val="21"/>
                <w:color w:val="auto"/>
              </w:rPr>
            </w:pPr>
          </w:p>
        </w:tc>
        <w:tc>
          <w:tcPr>
            <w:tcW w:w="1960" w:type="dxa"/>
            <w:vAlign w:val="bottom"/>
            <w:tcBorders>
              <w:bottom w:val="single" w:sz="8" w:color="CCEEFF"/>
            </w:tcBorders>
          </w:tcPr>
          <w:p>
            <w:pPr>
              <w:spacing w:after="0"/>
              <w:rPr>
                <w:sz w:val="21"/>
                <w:szCs w:val="21"/>
                <w:color w:val="auto"/>
              </w:rPr>
            </w:pPr>
          </w:p>
        </w:tc>
      </w:tr>
      <w:tr>
        <w:trPr>
          <w:trHeight w:val="281"/>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2020</w:t>
            </w:r>
          </w:p>
        </w:tc>
        <w:tc>
          <w:tcPr>
            <w:tcW w:w="13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3,351,638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color w:val="auto"/>
              </w:rPr>
              <w:t>40.68</w:t>
            </w:r>
          </w:p>
        </w:tc>
        <w:tc>
          <w:tcPr>
            <w:tcW w:w="2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r>
    </w:tbl>
    <w:p>
      <w:pPr>
        <w:spacing w:after="0" w:line="350"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The total fair value of time-vesting restricted stock units vested for the twelve months ended March 31, 2020, 2019 and 2018 was $59.8 million, $93.1 million, and $24.1 million, respectively and is measured as the quoted market price of the Company's common stock on the vesting date for the number of shares 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31" w:right="4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color w:val="auto"/>
        </w:rPr>
        <w:t>Performance-based restricted stock units -</w:t>
      </w:r>
    </w:p>
    <w:p>
      <w:pPr>
        <w:spacing w:after="0" w:line="2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the twelve months ended March 31, 2020, the Company granted performance-based restricted stock units covering 202,818 shares of common stock having a fair value at the date of grant of $12.3 million. The grants were made under two separate performance plans. Under the first performance plan, units covering 60,844 shares of common stock were granted having a fair value at the date of grant of $4.4 million, determined using a Monte Carlo simulation model. The units vest subject to attainment of market conditions established by the compensation committee of the board of directors (“compensation committee”) and continuous employment through the vesting date. The 60,844 units may vest in a number of shares from 0% to 200% of the award, based on the total shareholder return of LiveRamp common stock compared to total shareholder return of the Russell 2000 market index for the period from April 1, 2019 to March 31, 2022. Under the second performance plan, units covering 141,974 shares of common stock were granted having a fair value at the date of grant of $7.9 million equal to the quoted market price for the shares on the date of grant. The units vest subject to attainment of performance criteria established by the compensation committee of the board of directors. 82,494 units may vest in a number of shares from 0% to 200% of the award, based on attainment of the Company's three-year revenue compound annual growth rate target for the period from April 1, 2019 to March 31, 2022. The remaining 59,480 units will vest in three equal annual increments in a number of shares from 0% to 200% of the award, based on attainment of the year-over-year revenue growth targets for the annual period from April 1, 2019 to March 31, 2020. The 59,480 units reached maturity of the relevant performance period at March 31, 2020. These units are expected to vest at an approximate 164.36% attainment level, resulting in release of approximately 97,761 shares of stock vesting in three equal annual increments.</w:t>
      </w:r>
    </w:p>
    <w:p>
      <w:pPr>
        <w:spacing w:after="0" w:line="23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During fiscal 2019, the Company granted performance-based restricted stock units, in two separate plans, covering 534,438 shares of common stock having a fair value at the date of grant of $22.0 million. Under the first performance plan, units covering 186,539 shares of common stock were granted having a fair value at the date of grant of $5.8 million, determined using a Monte Carlo simulation model. The units vest subject to attainment of market conditions established by the compensation committee and continuous employment through the vesting date. The 186,539 units may vest in a number of shares from 25% to 200% of the award, based on the total shareholder return of LiveRamp common stock compared to total shareholder return of a group of peer companies established by the compensation committee for the period from April 1, 2018 to March 31, 2021. All of these awards were converted to RSUs at the time of the AMS disposition. Under the second performance plan, units covering 347,899 shares of common stock were granted having a fair value at the date of grant of $16.2 million equal to the quoted market price for the shares on the date of grant. The units vest subject to attainment of performance criteria established by the compensation committee for the period October 1, 2018 to September 30, 2022. The units may vest in a number of shares from zero to 200% of the award, based on the attainment of revenue growth and margin targets. Vesting will be evaluated and performance measured on a quarterly basis beginning with the period ending June 30, 2020.</w:t>
      </w:r>
    </w:p>
    <w:p>
      <w:pPr>
        <w:spacing w:after="0" w:line="23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fiscal 2018, the Company granted performance-based restricted stock units covering 389,065 shares of common stock having a fair value at the date of grant of $10.1 million. Of the performance-based restricted stock units granted in fiscal 2018, 184,931 units - having a fair value at the date of grant of $5.1 million, determined using a Monte Carlo simulation model - vest subject to attainment of performance criteria established by the compensation committee and continuous employment through the vesting date. The 184,931 units may vest in a number of shares from zero to 200% of the award, based on the total shareholder return of LiveRamp common stock compared to TSR established by the compensation committee for the period from April 1, 2017 to March 31, 2020. All of these awards were converted to RSUs at the time of the AMS disposition.</w:t>
      </w:r>
    </w:p>
    <w:p>
      <w:pPr>
        <w:spacing w:after="0" w:line="23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Of the performance-based restricted stock units granted in fiscal 2018, 87,184 units - having a fair value at the date of grant of $2.1 million, based on the quoted market price for the shares on the date of grant - vest over two years, each being subject to attainment of performance criteria established by the compensation committee and continuous employment through the vesting date. These units vested at 50.2% attainment in fiscal 2019 resulting in release of 43,768 shares of stock and cancellation of remaining units.</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remaining 116,950 performance-based restricted stock units granted in fiscal 2018 - having a fair value at the date of grant of $2.9 million, based on the quoted market price for the shares on the date of grant - vest in three equal tranches, each being subject to attainment of performance criteria established by the compensation committee and continuous employment through the vesting date. Each of the three tranches may vest in a number of shares, from zero to 300% of the initial award, based on the attainment of certain revenue growth and operating</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0" w:name="page101"/>
    <w:bookmarkEnd w:id="100"/>
    <w:p>
      <w:pPr>
        <w:ind w:right="20"/>
        <w:spacing w:after="0" w:line="254" w:lineRule="auto"/>
        <w:rPr>
          <w:sz w:val="20"/>
          <w:szCs w:val="20"/>
          <w:color w:val="auto"/>
        </w:rPr>
      </w:pPr>
      <w:r>
        <w:rPr>
          <w:rFonts w:ascii="Arial" w:cs="Arial" w:eastAsia="Arial" w:hAnsi="Arial"/>
          <w:sz w:val="18"/>
          <w:szCs w:val="18"/>
          <w:color w:val="auto"/>
        </w:rPr>
        <w:t>margin targets for the years ending March 31, 2018, 2019, and 2020, respectively. The first tranche vested at 53.3% attainment in fiscal 2019 resulting in release of 17,562 shares of stock. The second tranche vested at 0% attainment in fiscal 2020 resulting in cancellation of the tranche two units. The 18,275 units outstanding at March 31, 2020, reached maturity of the relevant performance period at March 31, 2020. Those units are expected to vest at an approximate 0% attainment level, resulting in cancellation of the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Non-vested performance-based restricted stock unit activity for the twelve months ended March 31, 2020 was: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79"/>
              <w:spacing w:after="0"/>
              <w:rPr>
                <w:sz w:val="20"/>
                <w:szCs w:val="20"/>
                <w:color w:val="auto"/>
              </w:rPr>
            </w:pPr>
            <w:r>
              <w:rPr>
                <w:rFonts w:ascii="Arial" w:cs="Arial" w:eastAsia="Arial" w:hAnsi="Arial"/>
                <w:sz w:val="14"/>
                <w:szCs w:val="14"/>
                <w:b w:val="1"/>
                <w:bCs w:val="1"/>
                <w:color w:val="auto"/>
              </w:rPr>
              <w:t>Weighted-average</w:t>
            </w:r>
          </w:p>
        </w:tc>
        <w:tc>
          <w:tcPr>
            <w:tcW w:w="12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16"/>
        </w:trPr>
        <w:tc>
          <w:tcPr>
            <w:tcW w:w="5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4"/>
                <w:szCs w:val="14"/>
                <w:b w:val="1"/>
                <w:bCs w:val="1"/>
                <w:color w:val="auto"/>
              </w:rPr>
              <w:t>fair value per</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216"/>
        </w:trPr>
        <w:tc>
          <w:tcPr>
            <w:tcW w:w="5900" w:type="dxa"/>
            <w:vAlign w:val="bottom"/>
          </w:tcPr>
          <w:p>
            <w:pPr>
              <w:spacing w:after="0"/>
              <w:rPr>
                <w:sz w:val="18"/>
                <w:szCs w:val="18"/>
                <w:color w:val="auto"/>
              </w:rPr>
            </w:pPr>
          </w:p>
        </w:tc>
        <w:tc>
          <w:tcPr>
            <w:tcW w:w="1420" w:type="dxa"/>
            <w:vAlign w:val="bottom"/>
            <w:gridSpan w:val="2"/>
          </w:tcPr>
          <w:p>
            <w:pPr>
              <w:ind w:left="38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8"/>
                <w:szCs w:val="18"/>
                <w:color w:val="auto"/>
              </w:rPr>
            </w:pPr>
          </w:p>
        </w:tc>
        <w:tc>
          <w:tcPr>
            <w:tcW w:w="1500" w:type="dxa"/>
            <w:vAlign w:val="bottom"/>
          </w:tcPr>
          <w:p>
            <w:pPr>
              <w:jc w:val="center"/>
              <w:ind w:right="79"/>
              <w:spacing w:after="0"/>
              <w:rPr>
                <w:sz w:val="20"/>
                <w:szCs w:val="20"/>
                <w:color w:val="auto"/>
              </w:rPr>
            </w:pPr>
            <w:r>
              <w:rPr>
                <w:rFonts w:ascii="Arial" w:cs="Arial" w:eastAsia="Arial" w:hAnsi="Arial"/>
                <w:sz w:val="14"/>
                <w:szCs w:val="14"/>
                <w:b w:val="1"/>
                <w:bCs w:val="1"/>
                <w:color w:val="auto"/>
              </w:rPr>
              <w:t>share at grant</w:t>
            </w:r>
          </w:p>
        </w:tc>
        <w:tc>
          <w:tcPr>
            <w:tcW w:w="1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remaining contractual</w:t>
            </w:r>
          </w:p>
        </w:tc>
      </w:tr>
      <w:tr>
        <w:trPr>
          <w:trHeight w:val="222"/>
        </w:trPr>
        <w:tc>
          <w:tcPr>
            <w:tcW w:w="59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of shares</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rPr>
              <w:t>date</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(in years)</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March 31, 2019</w:t>
            </w:r>
          </w:p>
        </w:tc>
        <w:tc>
          <w:tcPr>
            <w:tcW w:w="130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394,188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43.88</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50"/>
        </w:trPr>
        <w:tc>
          <w:tcPr>
            <w:tcW w:w="590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202,818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79"/>
              <w:spacing w:after="0"/>
              <w:rPr>
                <w:sz w:val="20"/>
                <w:szCs w:val="20"/>
                <w:color w:val="auto"/>
              </w:rPr>
            </w:pPr>
            <w:r>
              <w:rPr>
                <w:rFonts w:ascii="Arial" w:cs="Arial" w:eastAsia="Arial" w:hAnsi="Arial"/>
                <w:sz w:val="18"/>
                <w:szCs w:val="18"/>
                <w:color w:val="auto"/>
              </w:rPr>
              <w:t>60.65</w:t>
            </w:r>
          </w:p>
        </w:tc>
        <w:tc>
          <w:tcPr>
            <w:tcW w:w="120" w:type="dxa"/>
            <w:vAlign w:val="bottom"/>
          </w:tcPr>
          <w:p>
            <w:pPr>
              <w:spacing w:after="0"/>
              <w:rPr>
                <w:sz w:val="21"/>
                <w:szCs w:val="21"/>
                <w:color w:val="auto"/>
              </w:rPr>
            </w:pPr>
          </w:p>
        </w:tc>
        <w:tc>
          <w:tcPr>
            <w:tcW w:w="1960" w:type="dxa"/>
            <w:vAlign w:val="bottom"/>
          </w:tcPr>
          <w:p>
            <w:pPr>
              <w:spacing w:after="0"/>
              <w:rPr>
                <w:sz w:val="21"/>
                <w:szCs w:val="21"/>
                <w:color w:val="auto"/>
              </w:rPr>
            </w:pPr>
          </w:p>
        </w:tc>
      </w:tr>
      <w:tr>
        <w:trPr>
          <w:trHeight w:val="257"/>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canceled</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(51,560)</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r>
      <w:tr>
        <w:trPr>
          <w:trHeight w:val="257"/>
        </w:trPr>
        <w:tc>
          <w:tcPr>
            <w:tcW w:w="590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30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545,446</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51.01</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2.24</w:t>
            </w:r>
          </w:p>
        </w:tc>
      </w:tr>
      <w:tr>
        <w:trPr>
          <w:trHeight w:val="20"/>
        </w:trPr>
        <w:tc>
          <w:tcPr>
            <w:tcW w:w="59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During fiscal 2019, 61,330 performance-based restricted stock units vested. Of the units vested, 43,768 relate to 50.2% attainment on a fiscal 2018 plan, and 17,562 relate to 53.3% attainment on a fiscal 2018 plan. During fiscal 2018, 580,133 performance-based restricted stock units vested. The total fair value of performance-based restricted stock units vested in fiscal 2019 and 2018 was $2.2 million and $14.1 million, respectively and is measured as the quoted market price of the Company’s common stock on the vesting date for the number of shares vested.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 Related to Discontinued Operations</w:t>
      </w:r>
    </w:p>
    <w:p>
      <w:pPr>
        <w:spacing w:after="0" w:line="2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Total stock-based compensation expense related to discontinued operations for fiscal 2019 and 2018 was $62.8 million and $10.3 million, respectively and is included in non-cash stock-based compensation in the consolidated statements of equity.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Holdback</w:t>
      </w:r>
    </w:p>
    <w:p>
      <w:pPr>
        <w:spacing w:after="0" w:line="27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As part of the Company's acquisition of DPM in the current fiscal year, $ 24.7 million of the acquisition consideration otherwise payable with respect to shares of DPM common stock held by certain key employees was subject to holdback by the Company pursuant to agreements with those employees (each, a "Holdback Agreement"). The Holdback Agreement specifies that the consideration holdback will vest in three equal annual increments on the anniversary of the closing date. Vesting is subject to the DPM key employees' continued employment through each annual vesting date and will be settled in shares of Company common stock. Through March 31, 2020, the Company has recognized a total of $6.2 million related to the DPM consideration holdback. At March 31, 2020, the recognized, but unpaid, balance related to the DPM consideration holdback in other accrued expenses in the consolidated balance sheet was $6.2 million.</w:t>
      </w:r>
    </w:p>
    <w:p>
      <w:pPr>
        <w:spacing w:after="0" w:line="23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As part of the Company’s acquisition of Arbor in fiscal 2017, $38.3 million of the acquisition consideration otherwise payable with respect to shares of restricted Arbor common stock held by certain key employees was subject to holdback by the Company pursuant to agreements with those employees (each, a “Holdback Agreement”). The Holdback Agreement specifies the payment of the consideration in monthly installments using LiveRamp shares over a thirty-month period, ending in the quarter ended June 30, 2019. As of June 30, 2019, the Company had met its full obligation for the consideration holdback due to the Arbor key employees. Through March 31, 2020, the Company had recognized a total of $38.3 million expense related to the Arbor Holdback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PDP Assumed Performance Plan</w:t>
      </w:r>
    </w:p>
    <w:p>
      <w:pPr>
        <w:spacing w:after="0" w:line="270" w:lineRule="exact"/>
        <w:rPr>
          <w:sz w:val="20"/>
          <w:szCs w:val="20"/>
          <w:color w:val="auto"/>
        </w:rPr>
      </w:pPr>
    </w:p>
    <w:p>
      <w:pPr>
        <w:ind w:right="300"/>
        <w:spacing w:after="0" w:line="253" w:lineRule="auto"/>
        <w:rPr>
          <w:sz w:val="20"/>
          <w:szCs w:val="20"/>
          <w:color w:val="auto"/>
        </w:rPr>
      </w:pPr>
      <w:r>
        <w:rPr>
          <w:rFonts w:ascii="Arial" w:cs="Arial" w:eastAsia="Arial" w:hAnsi="Arial"/>
          <w:sz w:val="18"/>
          <w:szCs w:val="18"/>
          <w:color w:val="auto"/>
        </w:rPr>
        <w:t>In connection with the fiscal 2018 acquisition of PDP (see Note 5 - Acquisitions), the Company assumed the outstanding performance compensation plan under the PDP 2018 Equity Compensation Plan ("PDP PSU plan"). During the second quarter of fiscal 2020, the year-one performance payout under the plan was finalized resulting in a $ 19.7 million payout to the plan participants. On the settlement date, a total of 465,389 shares of Company common stock was delivered to the PDP PSU plan participants to settle the year-one performance payout obligation, of which 393,306 shares represented the liability-classified portion of the award.</w:t>
      </w:r>
    </w:p>
    <w:p>
      <w:pPr>
        <w:spacing w:after="0" w:line="23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performance compensation paid under the PDP PSU plan is being recorded as non-cash stock-based compensation as it is attributable to post-combination service. The non-cash stock-based compensation expense is being recognized over the requisite service and performance period based on expected attainment. 90% of the performance compensation is settleable in a number of shares calculated using a variable 20-day stock price factor, determined in future periods, and is classified as a liability-based equity award. As of each reporting date, 90% of any recognized, but unpaid portions of the performance compensation plan are recorded in other accrued expenses in the consolidated balance sheets. The remaining 10% of the performance compensation is classified as an equity-classified equity award. During the fourth quarter of fiscal 2020, the Company converted the outstanding PDP PSU plan to a time-vesting restricted stock plan ("PDP RSU plan") at a 100.0% performance conversion rate. The PDP RSUs will vest over three annual increments beginning on March 31, 2020. As a result of the award modification, the Company will recognize $0.6 million of incremental compensation costs related to the equity-classified portion of the award in the consolidated statement of operations.</w:t>
      </w:r>
    </w:p>
    <w:p>
      <w:pPr>
        <w:spacing w:after="0" w:line="23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Through March 31, 2020, the Company has recognized a total of $37.8 million related to the PDP non-cash stock-based compensation plan. At March 31, 2020, the recognized, but unpaid, balance related to the PDP non-cash stock-based compensation plan in other accrued expenses in the consolidated balance sheet was $16.3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Qualified Employee Stock Purchase Plan</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addition to the stock-based plans, the Company maintains a qualified employee stock purchase plan (“ESPP”) that permits substantially all employees to purchase shares of common stock at a discount from the market price. At March 31, 2020, there were approximately 0.5 million shares available for issuance under the ESPP.</w:t>
      </w:r>
    </w:p>
    <w:p>
      <w:pPr>
        <w:spacing w:after="0" w:line="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During the combined fiscal years of 2020, 2019, and 2018, 264,996 shares were purchased under the plan. The total expense to the Company, representing the discount to the market price, for fiscal 2020, 2019, and 2018 was approximately $0.5 million, $0.4 million, and $0.2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w:t>
      </w:r>
    </w:p>
    <w:p>
      <w:pPr>
        <w:spacing w:after="0" w:line="2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Accumulated other comprehensive income accumulated balances of $5.7 million and $7.8 million at March 31, 2020 and March 31, 2019, respectively, reflect accumulated foreign currency translation adjustments.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w:t>
      </w:r>
    </w:p>
    <w:p>
      <w:pPr>
        <w:spacing w:after="0" w:line="274" w:lineRule="exact"/>
        <w:rPr>
          <w:sz w:val="20"/>
          <w:szCs w:val="20"/>
          <w:color w:val="auto"/>
        </w:rPr>
      </w:pPr>
    </w:p>
    <w:p>
      <w:pPr>
        <w:ind w:left="80"/>
        <w:spacing w:after="0"/>
        <w:rPr>
          <w:sz w:val="20"/>
          <w:szCs w:val="20"/>
          <w:color w:val="auto"/>
        </w:rPr>
      </w:pPr>
      <w:r>
        <w:rPr>
          <w:rFonts w:ascii="Arial" w:cs="Arial" w:eastAsia="Arial" w:hAnsi="Arial"/>
          <w:sz w:val="18"/>
          <w:szCs w:val="18"/>
          <w:color w:val="auto"/>
        </w:rPr>
        <w:t>Total income tax expense (benefit) was allocated as follows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Continuing operations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(40,276)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(45,409)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rPr>
              <w:t>(65,723)</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Discontinued operations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470,346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left="155"/>
              <w:spacing w:after="0"/>
              <w:rPr>
                <w:sz w:val="20"/>
                <w:szCs w:val="20"/>
                <w:color w:val="auto"/>
              </w:rPr>
            </w:pPr>
            <w:r>
              <w:rPr>
                <w:rFonts w:ascii="Arial" w:cs="Arial" w:eastAsia="Arial" w:hAnsi="Arial"/>
                <w:sz w:val="18"/>
                <w:szCs w:val="18"/>
                <w:color w:val="auto"/>
                <w:w w:val="98"/>
              </w:rPr>
              <w:t>42,952</w:t>
            </w: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(40,069)</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424,937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135"/>
              <w:spacing w:after="0"/>
              <w:rPr>
                <w:sz w:val="20"/>
                <w:szCs w:val="20"/>
                <w:color w:val="auto"/>
              </w:rPr>
            </w:pPr>
            <w:r>
              <w:rPr>
                <w:rFonts w:ascii="Arial" w:cs="Arial" w:eastAsia="Arial" w:hAnsi="Arial"/>
                <w:sz w:val="18"/>
                <w:szCs w:val="18"/>
                <w:color w:val="auto"/>
              </w:rPr>
              <w:t>(22,771)</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Income tax expense (benefit) attributable to loss from continuing operations consists of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4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50"/>
        </w:trPr>
        <w:tc>
          <w:tcPr>
            <w:tcW w:w="6580" w:type="dxa"/>
            <w:vAlign w:val="bottom"/>
          </w:tcPr>
          <w:p>
            <w:pPr>
              <w:ind w:left="24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(33,715)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(39,534)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(33,626)</w:t>
            </w:r>
          </w:p>
        </w:tc>
      </w:tr>
      <w:tr>
        <w:trPr>
          <w:trHeight w:val="263"/>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Non-U.S.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115</w:t>
            </w:r>
          </w:p>
        </w:tc>
      </w:tr>
      <w:tr>
        <w:trPr>
          <w:trHeight w:val="250"/>
        </w:trPr>
        <w:tc>
          <w:tcPr>
            <w:tcW w:w="65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(16,092)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(4,414)</w:t>
            </w:r>
          </w:p>
        </w:tc>
      </w:tr>
      <w:tr>
        <w:trPr>
          <w:trHeight w:val="257"/>
        </w:trPr>
        <w:tc>
          <w:tcPr>
            <w:tcW w:w="65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(33,398)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(55,303)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(37,925)</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Deferred:</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63"/>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Federal</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(26,884)</w:t>
            </w:r>
          </w:p>
        </w:tc>
      </w:tr>
      <w:tr>
        <w:trPr>
          <w:trHeight w:val="250"/>
        </w:trPr>
        <w:tc>
          <w:tcPr>
            <w:tcW w:w="6580" w:type="dxa"/>
            <w:vAlign w:val="bottom"/>
          </w:tcPr>
          <w:p>
            <w:pPr>
              <w:ind w:left="240"/>
              <w:spacing w:after="0"/>
              <w:rPr>
                <w:sz w:val="20"/>
                <w:szCs w:val="20"/>
                <w:color w:val="auto"/>
              </w:rPr>
            </w:pPr>
            <w:r>
              <w:rPr>
                <w:rFonts w:ascii="Arial" w:cs="Arial" w:eastAsia="Arial" w:hAnsi="Arial"/>
                <w:sz w:val="18"/>
                <w:szCs w:val="18"/>
                <w:color w:val="auto"/>
              </w:rPr>
              <w:t>Non-U.S.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21</w:t>
            </w:r>
          </w:p>
        </w:tc>
      </w:tr>
      <w:tr>
        <w:trPr>
          <w:trHeight w:val="257"/>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(935)</w:t>
            </w:r>
          </w:p>
        </w:tc>
      </w:tr>
      <w:tr>
        <w:trPr>
          <w:trHeight w:val="250"/>
        </w:trPr>
        <w:tc>
          <w:tcPr>
            <w:tcW w:w="65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9,894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(27,798)</w:t>
            </w:r>
          </w:p>
        </w:tc>
      </w:tr>
      <w:tr>
        <w:trPr>
          <w:trHeight w:val="276"/>
        </w:trPr>
        <w:tc>
          <w:tcPr>
            <w:tcW w:w="65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(40,276)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(45,409)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(65,723)</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Loss before income tax attributable to U.S. and non-U.S. continuing operations consists of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2018</w:t>
            </w: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(160,457)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(174,867)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(132,552)</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Non-U.S.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(5,080)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(470)</w:t>
            </w:r>
          </w:p>
        </w:tc>
      </w:tr>
      <w:tr>
        <w:trPr>
          <w:trHeight w:val="277"/>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(165,537)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(179,356)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(133,022)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Loss before income taxes, as shown above, is based on the location of the entity to which such losses are attributable. However, since such losses may be subject to taxation in more than one country, the income tax provision shown above as U.S. or non-U.S. may not correspond to the loss shown above.</w:t>
      </w:r>
    </w:p>
    <w:p>
      <w:pPr>
        <w:spacing w:after="0" w:line="2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Below is a reconciliation of expected income tax benefit computed by applying the U.S. federal statutory rate of 21.0% for fiscal 2020 and 2019 and the blended U.S. federal statutory rate of 31.5% for fiscal 2018 to loss before income taxes to actual income tax benefit from continuing operations (dollars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5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2018</w:t>
            </w:r>
          </w:p>
        </w:tc>
      </w:tr>
      <w:tr>
        <w:trPr>
          <w:trHeight w:val="25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Computed expected income tax benefit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(34,763)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(37,665)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(41,967)</w:t>
            </w:r>
          </w:p>
        </w:tc>
      </w:tr>
      <w:tr>
        <w:trPr>
          <w:trHeight w:val="250"/>
        </w:trPr>
        <w:tc>
          <w:tcPr>
            <w:tcW w:w="6580" w:type="dxa"/>
            <w:vAlign w:val="bottom"/>
          </w:tcPr>
          <w:p>
            <w:pPr>
              <w:ind w:left="20"/>
              <w:spacing w:after="0"/>
              <w:rPr>
                <w:sz w:val="20"/>
                <w:szCs w:val="20"/>
                <w:color w:val="auto"/>
              </w:rPr>
            </w:pPr>
            <w:r>
              <w:rPr>
                <w:rFonts w:ascii="Arial" w:cs="Arial" w:eastAsia="Arial" w:hAnsi="Arial"/>
                <w:sz w:val="18"/>
                <w:szCs w:val="18"/>
                <w:color w:val="auto"/>
              </w:rPr>
              <w:t>Increase (reduction) in income taxes resulting from:</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63"/>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 income taxes, net of federal benefit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(3,329)</w:t>
            </w:r>
          </w:p>
        </w:tc>
      </w:tr>
      <w:tr>
        <w:trPr>
          <w:trHeight w:val="250"/>
        </w:trPr>
        <w:tc>
          <w:tcPr>
            <w:tcW w:w="6580" w:type="dxa"/>
            <w:vAlign w:val="bottom"/>
          </w:tcPr>
          <w:p>
            <w:pPr>
              <w:ind w:left="240"/>
              <w:spacing w:after="0"/>
              <w:rPr>
                <w:sz w:val="20"/>
                <w:szCs w:val="20"/>
                <w:color w:val="auto"/>
              </w:rPr>
            </w:pPr>
            <w:r>
              <w:rPr>
                <w:rFonts w:ascii="Arial" w:cs="Arial" w:eastAsia="Arial" w:hAnsi="Arial"/>
                <w:sz w:val="18"/>
                <w:szCs w:val="18"/>
                <w:color w:val="auto"/>
              </w:rPr>
              <w:t>Research and other tax credits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(1,229)</w:t>
            </w:r>
          </w:p>
        </w:tc>
      </w:tr>
      <w:tr>
        <w:trPr>
          <w:trHeight w:val="263"/>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Effect of federal rate change on deferred taxes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(24,565)</w:t>
            </w:r>
          </w:p>
        </w:tc>
      </w:tr>
      <w:tr>
        <w:trPr>
          <w:trHeight w:val="250"/>
        </w:trPr>
        <w:tc>
          <w:tcPr>
            <w:tcW w:w="6580" w:type="dxa"/>
            <w:vAlign w:val="bottom"/>
          </w:tcPr>
          <w:p>
            <w:pPr>
              <w:ind w:left="240"/>
              <w:spacing w:after="0"/>
              <w:rPr>
                <w:sz w:val="20"/>
                <w:szCs w:val="20"/>
                <w:color w:val="auto"/>
              </w:rPr>
            </w:pPr>
            <w:r>
              <w:rPr>
                <w:rFonts w:ascii="Arial" w:cs="Arial" w:eastAsia="Arial" w:hAnsi="Arial"/>
                <w:sz w:val="18"/>
                <w:szCs w:val="18"/>
                <w:color w:val="auto"/>
              </w:rPr>
              <w:t>Nondeductible expenses</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431</w:t>
            </w:r>
          </w:p>
        </w:tc>
      </w:tr>
      <w:tr>
        <w:trPr>
          <w:trHeight w:val="263"/>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5,025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4,452</w:t>
            </w:r>
          </w:p>
        </w:tc>
      </w:tr>
      <w:tr>
        <w:trPr>
          <w:trHeight w:val="250"/>
        </w:trPr>
        <w:tc>
          <w:tcPr>
            <w:tcW w:w="6580" w:type="dxa"/>
            <w:vAlign w:val="bottom"/>
          </w:tcPr>
          <w:p>
            <w:pPr>
              <w:ind w:left="240"/>
              <w:spacing w:after="0"/>
              <w:rPr>
                <w:sz w:val="20"/>
                <w:szCs w:val="20"/>
                <w:color w:val="auto"/>
              </w:rPr>
            </w:pPr>
            <w:r>
              <w:rPr>
                <w:rFonts w:ascii="Arial" w:cs="Arial" w:eastAsia="Arial" w:hAnsi="Arial"/>
                <w:sz w:val="18"/>
                <w:szCs w:val="18"/>
                <w:color w:val="auto"/>
              </w:rPr>
              <w:t>Non-U.S. subsidiaries taxed at other than 35%</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332</w:t>
            </w:r>
          </w:p>
        </w:tc>
      </w:tr>
      <w:tr>
        <w:trPr>
          <w:trHeight w:val="263"/>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Adjustment to valuation allowances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(2,245)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5,204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r>
      <w:tr>
        <w:trPr>
          <w:trHeight w:val="250"/>
        </w:trPr>
        <w:tc>
          <w:tcPr>
            <w:tcW w:w="6580" w:type="dxa"/>
            <w:vAlign w:val="bottom"/>
          </w:tcPr>
          <w:p>
            <w:pPr>
              <w:ind w:left="240"/>
              <w:spacing w:after="0"/>
              <w:rPr>
                <w:sz w:val="20"/>
                <w:szCs w:val="20"/>
                <w:color w:val="auto"/>
              </w:rPr>
            </w:pPr>
            <w:r>
              <w:rPr>
                <w:rFonts w:ascii="Arial" w:cs="Arial" w:eastAsia="Arial" w:hAnsi="Arial"/>
                <w:sz w:val="18"/>
                <w:szCs w:val="18"/>
                <w:color w:val="auto"/>
              </w:rPr>
              <w:t>Net operating loss carryback taxed at other rates</w:t>
            </w: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57"/>
        </w:trPr>
        <w:tc>
          <w:tcPr>
            <w:tcW w:w="65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152</w:t>
            </w:r>
          </w:p>
        </w:tc>
      </w:tr>
      <w:tr>
        <w:trPr>
          <w:trHeight w:val="250"/>
        </w:trPr>
        <w:tc>
          <w:tcPr>
            <w:tcW w:w="65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(40,276)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(45,409)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(65,723)</w:t>
            </w:r>
          </w:p>
        </w:tc>
      </w:tr>
      <w:tr>
        <w:trPr>
          <w:trHeight w:val="27"/>
        </w:trPr>
        <w:tc>
          <w:tcPr>
            <w:tcW w:w="658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r>
    </w:tbl>
    <w:p>
      <w:pPr>
        <w:spacing w:after="0" w:line="323"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On March 27, 2020, the U.S. enacted The Coronavirus Aid, Relief, and Economic Security Act (“CARES Act”). The CARES Act included several significant changes and clarifications to existing tax law, including changes to the treatment of net operating losses (“NOLs”). Under the CARES Act, NOLs arising in tax years beginning after December 31, 2017, and before January 1, 2021 may be carried back to each of the five tax years preceding the tax year of the loss. As such, the Company plans to carry back its fiscal 2020 NOL, resulting in an expected refund of approximately $32 million.</w:t>
      </w:r>
    </w:p>
    <w:p>
      <w:pPr>
        <w:sectPr>
          <w:pgSz w:w="11900" w:h="16838" w:orient="portrait"/>
          <w:cols w:equalWidth="0" w:num="1">
            <w:col w:w="11180"/>
          </w:cols>
          <w:pgMar w:left="320" w:top="949" w:right="39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49" w:right="399" w:bottom="1440" w:gutter="0" w:footer="0" w:header="0"/>
          <w:type w:val="continuous"/>
        </w:sectPr>
      </w:pPr>
    </w:p>
    <w:bookmarkStart w:id="103" w:name="page104"/>
    <w:bookmarkEnd w:id="103"/>
    <w:p>
      <w:pPr>
        <w:ind w:right="100"/>
        <w:spacing w:after="0" w:line="252" w:lineRule="auto"/>
        <w:rPr>
          <w:sz w:val="20"/>
          <w:szCs w:val="20"/>
          <w:color w:val="auto"/>
        </w:rPr>
      </w:pPr>
      <w:r>
        <w:rPr>
          <w:rFonts w:ascii="Arial" w:cs="Arial" w:eastAsia="Arial" w:hAnsi="Arial"/>
          <w:sz w:val="18"/>
          <w:szCs w:val="18"/>
          <w:color w:val="auto"/>
        </w:rPr>
        <w:t>On December 22, 2017, the U.S. enacted significant tax law changes following the passage of H.R.1, “An Act to Provide for Reconciliation Pursuant to Titles II and V of the Concurrent Resolution on the Budget for Fiscal Year 2018” (the “Tax Act”) (previously known as “The Tax Cuts and Jobs Act”). The Tax Act included significant changes to existing tax law, including a permanent reduction to the U.S. federal corporate income tax rate from 35% to 21%, a one-time repatriation tax on deferred foreign income, and numerous other changes to business-related deductions. Because the effective date of the permanent tax rate reduction did not fall on the first day of our fiscal year ended March 31, 2018, we were required to apply a blended tax rate for the entire fiscal year based on a weighted daily average rate. Accordingly, our U.S. federal statutory corporate income tax rate was 21.0% for the fiscal years ended March 31, 2020 and 2019 and 31.5% for the fiscal year ended March 31, 2018.</w:t>
      </w:r>
    </w:p>
    <w:p>
      <w:pPr>
        <w:spacing w:after="0" w:line="23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tax effects of temporary differences that give rise to significant portions of the deferred tax assets and liabilities at March 31, 2020 and 2019 are presented below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4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200" w:type="dxa"/>
            <w:vAlign w:val="bottom"/>
          </w:tcPr>
          <w:p>
            <w:pPr>
              <w:ind w:left="560"/>
              <w:spacing w:after="0"/>
              <w:rPr>
                <w:sz w:val="20"/>
                <w:szCs w:val="20"/>
                <w:color w:val="auto"/>
              </w:rPr>
            </w:pPr>
            <w:r>
              <w:rPr>
                <w:rFonts w:ascii="Arial" w:cs="Arial" w:eastAsia="Arial" w:hAnsi="Arial"/>
                <w:sz w:val="18"/>
                <w:szCs w:val="18"/>
                <w:color w:val="auto"/>
              </w:rPr>
              <w:t>Accrued expenses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3,347</w:t>
            </w:r>
          </w:p>
        </w:tc>
      </w:tr>
      <w:tr>
        <w:trPr>
          <w:trHeight w:val="263"/>
        </w:trPr>
        <w:tc>
          <w:tcPr>
            <w:tcW w:w="8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Deferred revenue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19</w:t>
            </w:r>
          </w:p>
        </w:tc>
      </w:tr>
      <w:tr>
        <w:trPr>
          <w:trHeight w:val="250"/>
        </w:trPr>
        <w:tc>
          <w:tcPr>
            <w:tcW w:w="8200" w:type="dxa"/>
            <w:vAlign w:val="bottom"/>
          </w:tcPr>
          <w:p>
            <w:pPr>
              <w:ind w:left="560"/>
              <w:spacing w:after="0"/>
              <w:rPr>
                <w:sz w:val="20"/>
                <w:szCs w:val="20"/>
                <w:color w:val="auto"/>
              </w:rPr>
            </w:pPr>
            <w:r>
              <w:rPr>
                <w:rFonts w:ascii="Arial" w:cs="Arial" w:eastAsia="Arial" w:hAnsi="Arial"/>
                <w:sz w:val="18"/>
                <w:szCs w:val="18"/>
                <w:color w:val="auto"/>
              </w:rPr>
              <w:t>Lease liabilities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4,939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8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operating loss carryforwards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33,516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29,032</w:t>
            </w:r>
          </w:p>
        </w:tc>
      </w:tr>
      <w:tr>
        <w:trPr>
          <w:trHeight w:val="250"/>
        </w:trPr>
        <w:tc>
          <w:tcPr>
            <w:tcW w:w="8200" w:type="dxa"/>
            <w:vAlign w:val="bottom"/>
          </w:tcPr>
          <w:p>
            <w:pPr>
              <w:ind w:left="5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10,770</w:t>
            </w:r>
          </w:p>
        </w:tc>
      </w:tr>
      <w:tr>
        <w:trPr>
          <w:trHeight w:val="263"/>
        </w:trPr>
        <w:tc>
          <w:tcPr>
            <w:tcW w:w="8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Nonqualified deferred compensation</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2,815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3,147</w:t>
            </w:r>
          </w:p>
        </w:tc>
      </w:tr>
      <w:tr>
        <w:trPr>
          <w:trHeight w:val="250"/>
        </w:trPr>
        <w:tc>
          <w:tcPr>
            <w:tcW w:w="8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4,018</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3,102</w:t>
            </w:r>
          </w:p>
        </w:tc>
      </w:tr>
      <w:tr>
        <w:trPr>
          <w:trHeight w:val="257"/>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57,358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49,417</w:t>
            </w:r>
          </w:p>
        </w:tc>
      </w:tr>
      <w:tr>
        <w:trPr>
          <w:trHeight w:val="250"/>
        </w:trPr>
        <w:tc>
          <w:tcPr>
            <w:tcW w:w="82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Less valuation allowance</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(32,971)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(34,356)</w:t>
            </w:r>
          </w:p>
        </w:tc>
      </w:tr>
      <w:tr>
        <w:trPr>
          <w:trHeight w:val="256"/>
        </w:trPr>
        <w:tc>
          <w:tcPr>
            <w:tcW w:w="8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deferred tax assets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24,387</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15,061</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8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(2,239)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(1,222)</w:t>
            </w:r>
          </w:p>
        </w:tc>
      </w:tr>
      <w:tr>
        <w:trPr>
          <w:trHeight w:val="250"/>
        </w:trPr>
        <w:tc>
          <w:tcPr>
            <w:tcW w:w="8200" w:type="dxa"/>
            <w:vAlign w:val="bottom"/>
          </w:tcPr>
          <w:p>
            <w:pPr>
              <w:ind w:left="560"/>
              <w:spacing w:after="0"/>
              <w:rPr>
                <w:sz w:val="20"/>
                <w:szCs w:val="20"/>
                <w:color w:val="auto"/>
              </w:rPr>
            </w:pPr>
            <w:r>
              <w:rPr>
                <w:rFonts w:ascii="Arial" w:cs="Arial" w:eastAsia="Arial" w:hAnsi="Arial"/>
                <w:sz w:val="18"/>
                <w:szCs w:val="18"/>
                <w:color w:val="auto"/>
              </w:rPr>
              <w:t>Capitalized software costs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(636)</w:t>
            </w:r>
          </w:p>
        </w:tc>
      </w:tr>
      <w:tr>
        <w:trPr>
          <w:trHeight w:val="263"/>
        </w:trPr>
        <w:tc>
          <w:tcPr>
            <w:tcW w:w="8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r>
      <w:tr>
        <w:trPr>
          <w:trHeight w:val="250"/>
        </w:trPr>
        <w:tc>
          <w:tcPr>
            <w:tcW w:w="8200" w:type="dxa"/>
            <w:vAlign w:val="bottom"/>
          </w:tcPr>
          <w:p>
            <w:pPr>
              <w:ind w:left="560"/>
              <w:spacing w:after="0"/>
              <w:rPr>
                <w:sz w:val="20"/>
                <w:szCs w:val="20"/>
                <w:color w:val="auto"/>
              </w:rPr>
            </w:pPr>
            <w:r>
              <w:rPr>
                <w:rFonts w:ascii="Arial" w:cs="Arial" w:eastAsia="Arial" w:hAnsi="Arial"/>
                <w:sz w:val="18"/>
                <w:szCs w:val="18"/>
                <w:color w:val="auto"/>
              </w:rPr>
              <w:t>Right-of-use assets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(4,147)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63"/>
        </w:trPr>
        <w:tc>
          <w:tcPr>
            <w:tcW w:w="8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Intangible assets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(9,605)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(5,631)</w:t>
            </w:r>
          </w:p>
        </w:tc>
      </w:tr>
      <w:tr>
        <w:trPr>
          <w:trHeight w:val="250"/>
        </w:trPr>
        <w:tc>
          <w:tcPr>
            <w:tcW w:w="8200" w:type="dxa"/>
            <w:vAlign w:val="bottom"/>
          </w:tcPr>
          <w:p>
            <w:pPr>
              <w:ind w:left="560"/>
              <w:spacing w:after="0"/>
              <w:rPr>
                <w:sz w:val="20"/>
                <w:szCs w:val="20"/>
                <w:color w:val="auto"/>
              </w:rPr>
            </w:pPr>
            <w:r>
              <w:rPr>
                <w:rFonts w:ascii="Arial" w:cs="Arial" w:eastAsia="Arial" w:hAnsi="Arial"/>
                <w:sz w:val="18"/>
                <w:szCs w:val="18"/>
                <w:color w:val="auto"/>
              </w:rPr>
              <w:t>Deferred commissions</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(3,817)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(2,586)</w:t>
            </w:r>
          </w:p>
        </w:tc>
      </w:tr>
      <w:tr>
        <w:trPr>
          <w:trHeight w:val="257"/>
        </w:trPr>
        <w:tc>
          <w:tcPr>
            <w:tcW w:w="8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(2,189)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(4,550)</w:t>
            </w:r>
          </w:p>
        </w:tc>
      </w:tr>
      <w:tr>
        <w:trPr>
          <w:trHeight w:val="250"/>
        </w:trPr>
        <w:tc>
          <w:tcPr>
            <w:tcW w:w="8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(23,739)</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(15,065)</w:t>
            </w:r>
          </w:p>
        </w:tc>
      </w:tr>
      <w:tr>
        <w:trPr>
          <w:trHeight w:val="282"/>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648</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Certain balances in the above table as of March 31, 2019 have been restated to conform with current year presentation.</w:t>
      </w:r>
    </w:p>
    <w:p>
      <w:pPr>
        <w:spacing w:after="0" w:line="25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At March 31, 2020, the Company has net operating loss carryforwards of approximately $21.7 million and $70.0 million for U.S. federal and state income tax purposes, respectively. Of the net operating loss carryforwards, $11.5 million and $9.5 million will not expire for federal and state purposes, respectively. The remaining carryforwards will expire in various amounts and will completely expire if not used by 2040. The Company has foreign net operating loss carryforwards of approximately $99.9 million. Of this amount, $93.3 million do not have expiration dates. The remainder expires in various amounts and will completely expire if not used by 2025. The Company has state credit carryforwards of $2.1 million that will not expire.</w:t>
      </w:r>
    </w:p>
    <w:p>
      <w:pPr>
        <w:spacing w:after="0" w:line="20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assessing the realizability of deferred tax assets, management considers whether it is more likely than not that some portion or all of the deferred tax assets will not be realized. Realization of the Company’s net deferred tax assets is dependent upon its generation of sufficient taxable income of the proper character in future years in appropriate tax jurisdictions to obtain benefit from the reversal of temporary differences and net operating loss carryforwards.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2" w:right="359" w:bottom="1440" w:gutter="0" w:footer="0" w:header="0"/>
        </w:sectPr>
      </w:pPr>
    </w:p>
    <w:bookmarkStart w:id="104" w:name="page105"/>
    <w:bookmarkEnd w:id="104"/>
    <w:p>
      <w:pPr>
        <w:ind w:right="220"/>
        <w:spacing w:after="0" w:line="256" w:lineRule="auto"/>
        <w:rPr>
          <w:sz w:val="20"/>
          <w:szCs w:val="20"/>
          <w:color w:val="auto"/>
        </w:rPr>
      </w:pPr>
      <w:r>
        <w:rPr>
          <w:rFonts w:ascii="Arial" w:cs="Arial" w:eastAsia="Arial" w:hAnsi="Arial"/>
          <w:sz w:val="18"/>
          <w:szCs w:val="18"/>
          <w:color w:val="auto"/>
        </w:rPr>
        <w:t>Based upon the weight of available evidence, including the Company’s history of losses from continuing operations, management believes that it is not more likely than not the Company will realize the benefits of the deductible temporary differences and net operating loss carryforwards. Accordingly, the Company has established valuation allowances against its deferred tax assets.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Based upon the Company's history of losses in certain non-U.S. jurisdictions, the Company has not recorded a benefit for current foreign losses in these jurisdictions. In addition, management believes it is not more than likely than not the Company will realize the benefits of certain foreign loss carryforwards and has established valuation allowances in the amount of $ 26.6 million against deferred tax assets in such jurisdictions. No valuation allowance has been established against deferred tax assets in non-U.S. jurisdictions in which historical profits and forecasted continuing profits exist.</w:t>
      </w:r>
    </w:p>
    <w:p>
      <w:pPr>
        <w:spacing w:after="0" w:line="20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 following table sets forth changes in the total gross unrecognized tax benefits for the fiscal years ended March 31, 2020, 2019 and 2018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2"/>
        </w:trPr>
        <w:tc>
          <w:tcPr>
            <w:tcW w:w="66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19,600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15,415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12,870</w:t>
            </w:r>
          </w:p>
        </w:tc>
      </w:tr>
      <w:tr>
        <w:trPr>
          <w:trHeight w:val="250"/>
        </w:trPr>
        <w:tc>
          <w:tcPr>
            <w:tcW w:w="6600" w:type="dxa"/>
            <w:vAlign w:val="bottom"/>
          </w:tcPr>
          <w:p>
            <w:pPr>
              <w:ind w:left="240"/>
              <w:spacing w:after="0"/>
              <w:rPr>
                <w:sz w:val="20"/>
                <w:szCs w:val="20"/>
                <w:color w:val="auto"/>
              </w:rPr>
            </w:pPr>
            <w:r>
              <w:rPr>
                <w:rFonts w:ascii="Arial" w:cs="Arial" w:eastAsia="Arial" w:hAnsi="Arial"/>
                <w:sz w:val="18"/>
                <w:szCs w:val="18"/>
                <w:color w:val="auto"/>
              </w:rPr>
              <w:t>Increases related to prior year tax positions</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1,134</w:t>
            </w:r>
          </w:p>
        </w:tc>
      </w:tr>
      <w:tr>
        <w:trPr>
          <w:trHeight w:val="263"/>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Decreases related to prior year tax positions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(208)</w:t>
            </w:r>
          </w:p>
        </w:tc>
      </w:tr>
      <w:tr>
        <w:trPr>
          <w:trHeight w:val="250"/>
        </w:trPr>
        <w:tc>
          <w:tcPr>
            <w:tcW w:w="6600" w:type="dxa"/>
            <w:vAlign w:val="bottom"/>
          </w:tcPr>
          <w:p>
            <w:pPr>
              <w:ind w:left="240"/>
              <w:spacing w:after="0"/>
              <w:rPr>
                <w:sz w:val="20"/>
                <w:szCs w:val="20"/>
                <w:color w:val="auto"/>
              </w:rPr>
            </w:pPr>
            <w:r>
              <w:rPr>
                <w:rFonts w:ascii="Arial" w:cs="Arial" w:eastAsia="Arial" w:hAnsi="Arial"/>
                <w:sz w:val="18"/>
                <w:szCs w:val="18"/>
                <w:color w:val="auto"/>
              </w:rPr>
              <w:t>Increases related to current year tax positions</w:t>
            </w: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2,433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5,483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3,172</w:t>
            </w:r>
          </w:p>
        </w:tc>
      </w:tr>
      <w:tr>
        <w:trPr>
          <w:trHeight w:val="257"/>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Lapse of statute of limitations</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(1,553)</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23,400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19,600</w:t>
            </w:r>
          </w:p>
        </w:tc>
        <w:tc>
          <w:tcPr>
            <w:tcW w:w="1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15,415</w:t>
            </w:r>
          </w:p>
        </w:tc>
      </w:tr>
      <w:tr>
        <w:trPr>
          <w:trHeight w:val="20"/>
        </w:trPr>
        <w:tc>
          <w:tcPr>
            <w:tcW w:w="66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Gross unrecognized tax benefits as of March 31, 2020 was $23.4 million, which would reduce the Company’s effective tax rate in future periods if and when realized. The Company reports accrued interest and penalties related to unrecognized tax benefits in income tax expense. The combined amount of accrued interest and penalties related to tax positions on tax returns was approximately $2.5 million as of March 31, 2020. Accrued interest and penalties increased by $2.1 million during fiscal 2020. The Company does not anticipate a reduction of unrecognized tax benefits within the next 12 months.</w:t>
      </w:r>
    </w:p>
    <w:p>
      <w:pPr>
        <w:spacing w:after="0" w:line="205"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Company files a consolidated U.S. federal income tax return and tax returns in various state and local jurisdictions. The Company’s subsidiaries also file tax returns in various foreign jurisdictions in which they operate. In the U.S., the statute of limitations for Internal Revenue Service examinations remains open for the Company’s federal income tax returns for fiscal years after 2015. The status of U.S. federal, state and foreign tax examinations varies by jurisdiction. The Company does not anticipate any material adjustments to its financial statements resulting from tax examinations currently in progress.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RETIREMENT PLANS:</w:t>
      </w:r>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has a qualified 401(k) retirement savings plan that covers substantially all U.S. employees. The Company also offers a supplemental non-qualified deferred compensation plan (“SNQDC Plan”) for certain highly-compensated employees. Through December 31, 2018, the Company matched 50% of the first 6% of employee’s annual aggregate contributions. Effective January 1, 2019 the Company matches 100% of the first 6% of employee's annual aggregate contributions. The Company may also contribute additional amounts to the plans at the discretion of the board of directors.</w:t>
      </w:r>
    </w:p>
    <w:p>
      <w:pPr>
        <w:spacing w:after="0" w:line="205"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Company contributions for the above plans amounted to approximately $7.9 million, $2.9 million, and $1.9 million in fiscal years 2020, 2019, and 2018, respectively. Included in both other current assets and other accrued liabilities are the assets and liabilities of the SNQDC Plan in the amount of $11.6 million and $15.0 million at March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16. FOREIGN OPERATIONS: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attributes revenue to each geographic region based on the location of the Company’s operations. The following table shows financial information by geographic area for fiscal 2020, 2019 and 2018 (dollars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March 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Revenue</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354,437</w:t>
            </w:r>
          </w:p>
        </w:tc>
        <w:tc>
          <w:tcPr>
            <w:tcW w:w="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262,135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197,613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40"/>
              <w:spacing w:after="0"/>
              <w:rPr>
                <w:sz w:val="20"/>
                <w:szCs w:val="20"/>
                <w:color w:val="auto"/>
              </w:rPr>
            </w:pPr>
            <w:r>
              <w:rPr>
                <w:rFonts w:ascii="Arial" w:cs="Arial" w:eastAsia="Arial" w:hAnsi="Arial"/>
                <w:sz w:val="18"/>
                <w:szCs w:val="18"/>
                <w:color w:val="auto"/>
              </w:rPr>
              <w:t>Foreign</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20,789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18,566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18,397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5,346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4,919</w:t>
            </w: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4,091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All Foreign</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26,135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23,485</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22,488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380,572</w:t>
            </w:r>
          </w:p>
        </w:tc>
        <w:tc>
          <w:tcPr>
            <w:tcW w:w="5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285,620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220,101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vMerge w:val="restart"/>
          </w:tcPr>
          <w:p>
            <w:pPr>
              <w:spacing w:after="0"/>
              <w:rPr>
                <w:sz w:val="20"/>
                <w:szCs w:val="20"/>
                <w:color w:val="auto"/>
              </w:rPr>
            </w:pPr>
            <w:r>
              <w:rPr>
                <w:rFonts w:ascii="Arial" w:cs="Arial" w:eastAsia="Arial" w:hAnsi="Arial"/>
                <w:sz w:val="18"/>
                <w:szCs w:val="18"/>
                <w:i w:val="1"/>
                <w:iCs w:val="1"/>
                <w:color w:val="auto"/>
              </w:rPr>
              <w:t>Long-lived assets excluding financial instruments (dollars in thousands):</w:t>
            </w:r>
          </w:p>
        </w:tc>
        <w:tc>
          <w:tcPr>
            <w:tcW w:w="34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33"/>
        </w:trPr>
        <w:tc>
          <w:tcPr>
            <w:tcW w:w="66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ind w:left="694"/>
              <w:spacing w:after="0"/>
              <w:rPr>
                <w:sz w:val="20"/>
                <w:szCs w:val="20"/>
                <w:color w:val="auto"/>
              </w:rPr>
            </w:pPr>
            <w:r>
              <w:rPr>
                <w:rFonts w:ascii="Arial" w:cs="Arial" w:eastAsia="Arial" w:hAnsi="Arial"/>
                <w:sz w:val="14"/>
                <w:szCs w:val="14"/>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393,564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276,189</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Europe</w:t>
            </w: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APAC</w:t>
            </w:r>
          </w:p>
        </w:tc>
        <w:tc>
          <w:tcPr>
            <w:tcW w:w="3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w:t>
            </w:r>
          </w:p>
        </w:tc>
        <w:tc>
          <w:tcPr>
            <w:tcW w:w="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All Foreign</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12,254</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405,818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280,835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FAIR VALUE OF FINANCIAL INSTRUMENTS:</w:t>
      </w:r>
    </w:p>
    <w:p>
      <w:pPr>
        <w:spacing w:after="0" w:line="24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instruments for which it is practicable to estimate that value.</w:t>
      </w:r>
    </w:p>
    <w:p>
      <w:pPr>
        <w:spacing w:after="0" w:line="22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Cash and cash equivalents, trade receivables, unbilled and notes receivable, and trade payables - The carrying amount approximates fair value because of the short maturity of these instruments.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Under applicable accounting standards financial assets and liabilities are classified in their entirety based on the lowest level of input that is significant to the fair value measurements. The Company assigned assets and liabilities to the hierarchy in the accounting standards, which is Level 1 - quoted prices in active markets for identical assets or liabilities, Level 2 - significant other observable inputs and Level 3 - significant unobservable inputs.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balances of assets measured at fair value as of March 31, 2020 (dollars in thousands):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7"/>
                <w:szCs w:val="17"/>
                <w:color w:val="auto"/>
              </w:rPr>
            </w:pPr>
          </w:p>
        </w:tc>
        <w:tc>
          <w:tcPr>
            <w:tcW w:w="84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r>
      <w:tr>
        <w:trPr>
          <w:trHeight w:val="24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r>
      <w:tr>
        <w:trPr>
          <w:trHeight w:val="25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11,623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11,623</w:t>
            </w:r>
          </w:p>
        </w:tc>
      </w:tr>
      <w:tr>
        <w:trPr>
          <w:trHeight w:val="27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11,623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11,623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18. UNAUDITED SELECTED QUARTERLY FINANCIAL DATA:</w:t>
      </w:r>
    </w:p>
    <w:p>
      <w:pPr>
        <w:spacing w:after="0" w:line="27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2020 and 2019. The following information reflects all normal recurring adjustments necessary for a fair presentation of the information for the periods presented. The operating results for any quarter are not necessarily indicative of results for any future period. Unaudited quarterly results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16"/>
                <w:szCs w:val="16"/>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rPr>
              <w:t>Quarter ended</w:t>
            </w: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8"/>
                <w:szCs w:val="18"/>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rPr>
              <w:t>March 31,</w:t>
            </w:r>
          </w:p>
        </w:tc>
      </w:tr>
      <w:tr>
        <w:trPr>
          <w:trHeight w:val="22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 except per-share amounts)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2020</w:t>
            </w:r>
          </w:p>
        </w:tc>
      </w:tr>
      <w:tr>
        <w:trPr>
          <w:trHeight w:val="25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82,511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90,143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102,217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105,701</w:t>
            </w: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46,085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48,683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64,251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68,849</w:t>
            </w: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(38,040)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(4,879)</w:t>
            </w: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1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750</w:t>
            </w: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(42,140)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(40,202)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(38,040)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(4,129)</w:t>
            </w:r>
          </w:p>
        </w:tc>
      </w:tr>
      <w:tr>
        <w:trPr>
          <w:trHeight w:val="270"/>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200" w:type="dxa"/>
            <w:vAlign w:val="bottom"/>
          </w:tcPr>
          <w:p>
            <w:pPr>
              <w:ind w:left="24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(0.07)</w:t>
            </w:r>
          </w:p>
        </w:tc>
      </w:tr>
      <w:tr>
        <w:trPr>
          <w:trHeight w:val="26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0.01</w:t>
            </w:r>
          </w:p>
        </w:tc>
      </w:tr>
      <w:tr>
        <w:trPr>
          <w:trHeight w:val="250"/>
        </w:trPr>
        <w:tc>
          <w:tcPr>
            <w:tcW w:w="52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(0.06)</w:t>
            </w:r>
          </w:p>
        </w:tc>
      </w:tr>
      <w:tr>
        <w:trPr>
          <w:trHeight w:val="277"/>
        </w:trPr>
        <w:tc>
          <w:tcPr>
            <w:tcW w:w="5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(0.07)</w:t>
            </w:r>
          </w:p>
        </w:tc>
      </w:tr>
      <w:tr>
        <w:trPr>
          <w:trHeight w:val="250"/>
        </w:trPr>
        <w:tc>
          <w:tcPr>
            <w:tcW w:w="5200" w:type="dxa"/>
            <w:vAlign w:val="bottom"/>
          </w:tcPr>
          <w:p>
            <w:pPr>
              <w:ind w:left="24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0.01</w:t>
            </w:r>
          </w:p>
        </w:tc>
      </w:tr>
      <w:tr>
        <w:trPr>
          <w:trHeight w:val="263"/>
        </w:trPr>
        <w:tc>
          <w:tcPr>
            <w:tcW w:w="5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(0.06)</w:t>
            </w:r>
          </w:p>
        </w:tc>
      </w:tr>
      <w:tr>
        <w:trPr>
          <w:trHeight w:val="555"/>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Pr>
          <w:p>
            <w:pPr>
              <w:spacing w:after="0"/>
              <w:rPr>
                <w:sz w:val="24"/>
                <w:szCs w:val="24"/>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rPr>
              <w:t>Quarter ended</w:t>
            </w:r>
          </w:p>
        </w:tc>
      </w:tr>
      <w:tr>
        <w:trPr>
          <w:trHeight w:val="216"/>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8"/>
                <w:szCs w:val="18"/>
                <w:color w:val="auto"/>
              </w:rPr>
            </w:pPr>
          </w:p>
        </w:tc>
        <w:tc>
          <w:tcPr>
            <w:tcW w:w="1260" w:type="dxa"/>
            <w:vAlign w:val="bottom"/>
          </w:tcPr>
          <w:p>
            <w:pPr>
              <w:jc w:val="center"/>
              <w:ind w:right="74"/>
              <w:spacing w:after="0"/>
              <w:rPr>
                <w:sz w:val="20"/>
                <w:szCs w:val="20"/>
                <w:color w:val="auto"/>
              </w:rPr>
            </w:pPr>
            <w:r>
              <w:rPr>
                <w:rFonts w:ascii="Arial" w:cs="Arial" w:eastAsia="Arial" w:hAnsi="Arial"/>
                <w:sz w:val="14"/>
                <w:szCs w:val="14"/>
                <w:b w:val="1"/>
                <w:bCs w:val="1"/>
                <w:color w:val="auto"/>
              </w:rPr>
              <w:t>March 31,</w:t>
            </w:r>
          </w:p>
        </w:tc>
      </w:tr>
      <w:tr>
        <w:trPr>
          <w:trHeight w:val="222"/>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(dollars in thousands except per-share amounts)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2019</w:t>
            </w:r>
          </w:p>
        </w:tc>
      </w:tr>
      <w:tr>
        <w:trPr>
          <w:trHeight w:val="256"/>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62,471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64,812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80,021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78,316</w:t>
            </w: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38,817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40,346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45,183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40,556</w:t>
            </w: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from continuing operations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(27,818)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(41,180)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(15,261)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(49,688)</w:t>
            </w: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Earnings from discontinued operations, net of tax</w:t>
            </w:r>
          </w:p>
        </w:tc>
        <w:tc>
          <w:tcPr>
            <w:tcW w:w="18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24,803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61,803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1,071,661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4,227</w:t>
            </w:r>
          </w:p>
        </w:tc>
      </w:tr>
      <w:tr>
        <w:trPr>
          <w:trHeight w:val="26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(3,015)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20,623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1,056,400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(45,461)</w:t>
            </w:r>
          </w:p>
        </w:tc>
      </w:tr>
      <w:tr>
        <w:trPr>
          <w:trHeight w:val="270"/>
        </w:trPr>
        <w:tc>
          <w:tcPr>
            <w:tcW w:w="5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7"/>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5200" w:type="dxa"/>
            <w:vAlign w:val="bottom"/>
          </w:tcPr>
          <w:p>
            <w:pPr>
              <w:ind w:left="220"/>
              <w:spacing w:after="0"/>
              <w:rPr>
                <w:sz w:val="20"/>
                <w:szCs w:val="20"/>
                <w:color w:val="auto"/>
              </w:rPr>
            </w:pPr>
            <w:r>
              <w:rPr>
                <w:rFonts w:ascii="Arial" w:cs="Arial" w:eastAsia="Arial" w:hAnsi="Arial"/>
                <w:sz w:val="18"/>
                <w:szCs w:val="18"/>
                <w:color w:val="auto"/>
              </w:rPr>
              <w:t>Continuing operations</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(0.73)</w:t>
            </w:r>
          </w:p>
        </w:tc>
      </w:tr>
      <w:tr>
        <w:trPr>
          <w:trHeight w:val="26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Discontinued operations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0.32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0.80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0.06</w:t>
            </w:r>
          </w:p>
        </w:tc>
      </w:tr>
      <w:tr>
        <w:trPr>
          <w:trHeight w:val="250"/>
        </w:trPr>
        <w:tc>
          <w:tcPr>
            <w:tcW w:w="5200" w:type="dxa"/>
            <w:vAlign w:val="bottom"/>
          </w:tcPr>
          <w:p>
            <w:pPr>
              <w:ind w:left="220"/>
              <w:spacing w:after="0"/>
              <w:rPr>
                <w:sz w:val="20"/>
                <w:szCs w:val="20"/>
                <w:color w:val="auto"/>
              </w:rPr>
            </w:pPr>
            <w:r>
              <w:rPr>
                <w:rFonts w:ascii="Arial" w:cs="Arial" w:eastAsia="Arial" w:hAnsi="Arial"/>
                <w:sz w:val="18"/>
                <w:szCs w:val="18"/>
                <w:color w:val="auto"/>
              </w:rPr>
              <w:t>Net earnings (loss)</w:t>
            </w:r>
          </w:p>
        </w:tc>
        <w:tc>
          <w:tcPr>
            <w:tcW w:w="18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13.65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(0.67)</w:t>
            </w:r>
          </w:p>
        </w:tc>
      </w:tr>
      <w:tr>
        <w:trPr>
          <w:trHeight w:val="277"/>
        </w:trPr>
        <w:tc>
          <w:tcPr>
            <w:tcW w:w="52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50"/>
        </w:trPr>
        <w:tc>
          <w:tcPr>
            <w:tcW w:w="520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Continuing operations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(0.73)</w:t>
            </w:r>
          </w:p>
        </w:tc>
      </w:tr>
      <w:tr>
        <w:trPr>
          <w:trHeight w:val="250"/>
        </w:trPr>
        <w:tc>
          <w:tcPr>
            <w:tcW w:w="5200" w:type="dxa"/>
            <w:vAlign w:val="bottom"/>
          </w:tcPr>
          <w:p>
            <w:pPr>
              <w:ind w:left="22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0.06</w:t>
            </w:r>
          </w:p>
        </w:tc>
      </w:tr>
      <w:tr>
        <w:trPr>
          <w:trHeight w:val="263"/>
        </w:trPr>
        <w:tc>
          <w:tcPr>
            <w:tcW w:w="5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 (loss)</w:t>
            </w:r>
          </w:p>
        </w:tc>
        <w:tc>
          <w:tcPr>
            <w:tcW w:w="1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13.65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(0.67)</w:t>
            </w: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Some earnings (loss) per share amounts may not add due to rounding.</w:t>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F-65</w:t>
      </w:r>
    </w:p>
    <w:p>
      <w:pPr>
        <w:sectPr>
          <w:pgSz w:w="11900" w:h="16838" w:orient="portrait"/>
          <w:cols w:equalWidth="0" w:num="1">
            <w:col w:w="11240"/>
          </w:cols>
          <w:pgMar w:left="320" w:top="927" w:right="339" w:bottom="1440" w:gutter="0" w:footer="0" w:header="0"/>
          <w:type w:val="continuous"/>
        </w:sectPr>
      </w:pPr>
    </w:p>
    <w:bookmarkStart w:id="107" w:name="page108"/>
    <w:bookmarkEnd w:id="107"/>
    <w:p>
      <w:pPr>
        <w:ind w:left="10020"/>
        <w:spacing w:after="0"/>
        <w:rPr>
          <w:sz w:val="20"/>
          <w:szCs w:val="20"/>
          <w:color w:val="auto"/>
        </w:rPr>
      </w:pPr>
      <w:r>
        <w:rPr>
          <w:rFonts w:ascii="Arial" w:cs="Arial" w:eastAsia="Arial" w:hAnsi="Arial"/>
          <w:sz w:val="18"/>
          <w:szCs w:val="18"/>
          <w:b w:val="1"/>
          <w:bCs w:val="1"/>
          <w:color w:val="auto"/>
        </w:rPr>
        <w:t>EXHIBIT 10.18</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LIVERAMP HOLDINGS,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2005 EQUITY COMPENSATION PLAN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RESTRICTED STOCK UNIT AWARD AND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RESTRICTED STOCK UNIT AGREEMENT</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38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%%FIRST_NAME%-% %%LAST_NAME%-</w:t>
            </w:r>
          </w:p>
        </w:tc>
        <w:tc>
          <w:tcPr>
            <w:tcW w:w="1500" w:type="dxa"/>
            <w:vAlign w:val="bottom"/>
            <w:tcBorders>
              <w:top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Award Number:</w:t>
            </w:r>
          </w:p>
        </w:tc>
        <w:tc>
          <w:tcPr>
            <w:tcW w:w="37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%%OPTION_NUMBER%-%</w:t>
            </w:r>
          </w:p>
        </w:tc>
      </w:tr>
      <w:tr>
        <w:trPr>
          <w:trHeight w:val="234"/>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38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%%ADDRESS_LINE_1%-%</w:t>
            </w:r>
          </w:p>
        </w:tc>
        <w:tc>
          <w:tcPr>
            <w:tcW w:w="1500" w:type="dxa"/>
            <w:vAlign w:val="bottom"/>
          </w:tcPr>
          <w:p>
            <w:pPr>
              <w:spacing w:after="0"/>
              <w:rPr>
                <w:sz w:val="20"/>
                <w:szCs w:val="20"/>
                <w:color w:val="auto"/>
              </w:rPr>
            </w:pPr>
          </w:p>
        </w:tc>
        <w:tc>
          <w:tcPr>
            <w:tcW w:w="224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Plan:</w:t>
            </w:r>
          </w:p>
        </w:tc>
        <w:tc>
          <w:tcPr>
            <w:tcW w:w="37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%EQUITY_PLAN%-%</w:t>
            </w:r>
          </w:p>
        </w:tc>
      </w:tr>
      <w:tr>
        <w:trPr>
          <w:trHeight w:val="27"/>
        </w:trPr>
        <w:tc>
          <w:tcPr>
            <w:tcW w:w="380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%%ADDRESS_LINE_2%-%</w:t>
            </w:r>
          </w:p>
        </w:tc>
        <w:tc>
          <w:tcPr>
            <w:tcW w:w="2240" w:type="dxa"/>
            <w:vAlign w:val="bottom"/>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r>
      <w:tr>
        <w:trPr>
          <w:trHeight w:val="27"/>
        </w:trPr>
        <w:tc>
          <w:tcPr>
            <w:tcW w:w="380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%%CITY%-%, %%STATE%-% %%ZIPCODE%-%</w:t>
            </w:r>
          </w:p>
        </w:tc>
        <w:tc>
          <w:tcPr>
            <w:tcW w:w="2240" w:type="dxa"/>
            <w:vAlign w:val="bottom"/>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r>
      <w:tr>
        <w:trPr>
          <w:trHeight w:val="27"/>
        </w:trPr>
        <w:tc>
          <w:tcPr>
            <w:tcW w:w="380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5300" w:type="dxa"/>
            <w:vAlign w:val="bottom"/>
            <w:tcBorders>
              <w:lef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%%COUNTRY%-%</w:t>
            </w:r>
          </w:p>
        </w:tc>
        <w:tc>
          <w:tcPr>
            <w:tcW w:w="2240" w:type="dxa"/>
            <w:vAlign w:val="bottom"/>
          </w:tcPr>
          <w:p>
            <w:pPr>
              <w:spacing w:after="0"/>
              <w:rPr>
                <w:sz w:val="20"/>
                <w:szCs w:val="20"/>
                <w:color w:val="auto"/>
              </w:rPr>
            </w:pPr>
          </w:p>
        </w:tc>
        <w:tc>
          <w:tcPr>
            <w:tcW w:w="3720" w:type="dxa"/>
            <w:vAlign w:val="bottom"/>
            <w:tcBorders>
              <w:right w:val="single" w:sz="8" w:color="auto"/>
            </w:tcBorders>
          </w:tcPr>
          <w:p>
            <w:pPr>
              <w:spacing w:after="0"/>
              <w:rPr>
                <w:sz w:val="20"/>
                <w:szCs w:val="20"/>
                <w:color w:val="auto"/>
              </w:rPr>
            </w:pPr>
          </w:p>
        </w:tc>
      </w:tr>
      <w:tr>
        <w:trPr>
          <w:trHeight w:val="27"/>
        </w:trPr>
        <w:tc>
          <w:tcPr>
            <w:tcW w:w="3800" w:type="dxa"/>
            <w:vAlign w:val="bottom"/>
            <w:tcBorders>
              <w:left w:val="single" w:sz="8" w:color="auto"/>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right="80"/>
        <w:spacing w:after="0" w:line="241" w:lineRule="auto"/>
        <w:rPr>
          <w:sz w:val="20"/>
          <w:szCs w:val="20"/>
          <w:color w:val="auto"/>
        </w:rPr>
      </w:pPr>
      <w:r>
        <w:rPr>
          <w:rFonts w:ascii="Arial" w:cs="Arial" w:eastAsia="Arial" w:hAnsi="Arial"/>
          <w:sz w:val="18"/>
          <w:szCs w:val="18"/>
          <w:color w:val="auto"/>
        </w:rPr>
        <w:t xml:space="preserve">Effective as of </w:t>
      </w:r>
      <w:r>
        <w:rPr>
          <w:rFonts w:ascii="Arial" w:cs="Arial" w:eastAsia="Arial" w:hAnsi="Arial"/>
          <w:sz w:val="18"/>
          <w:szCs w:val="18"/>
          <w:b w:val="1"/>
          <w:bCs w:val="1"/>
          <w:color w:val="auto"/>
        </w:rPr>
        <w:t>%%OPTION_DATE,’MM/DD/YYYY’%-%</w:t>
      </w:r>
      <w:r>
        <w:rPr>
          <w:rFonts w:ascii="Arial" w:cs="Arial" w:eastAsia="Arial" w:hAnsi="Arial"/>
          <w:sz w:val="18"/>
          <w:szCs w:val="18"/>
          <w:color w:val="auto"/>
        </w:rPr>
        <w:t xml:space="preserve"> (“Award Date”), pursuant to the Amended and Restated 2005 Equity Compensation Plan of LiveRamp Holdings, Inc (the “Plan”), you have been granted an award of </w:t>
      </w:r>
      <w:r>
        <w:rPr>
          <w:rFonts w:ascii="Arial" w:cs="Arial" w:eastAsia="Arial" w:hAnsi="Arial"/>
          <w:sz w:val="18"/>
          <w:szCs w:val="18"/>
          <w:b w:val="1"/>
          <w:bCs w:val="1"/>
          <w:color w:val="auto"/>
        </w:rPr>
        <w:t>%%TOTAL_SHARES_GRANTED,'999,999,999'%-%</w:t>
      </w:r>
      <w:r>
        <w:rPr>
          <w:rFonts w:ascii="Arial" w:cs="Arial" w:eastAsia="Arial" w:hAnsi="Arial"/>
          <w:sz w:val="18"/>
          <w:szCs w:val="18"/>
          <w:color w:val="auto"/>
        </w:rPr>
        <w:t xml:space="preserve"> Restricted Stock Units (“RSUs”), with each RSU representing the right to receive one share of the common stock of LiveRamp Holdings, Inc (the “Company”) upon vesting. Capitalized terms that are not defined in this Notice of Restricted Stock Unit Award and Restricted Stock Unit Agreement (the “Notice”), the Terms and Conditions of Restricted Stock Unit Award, or any of the exhibits to these documents (all together, the “Agreement”) have the meanings given to them in the Plan.</w:t>
      </w:r>
    </w:p>
    <w:p>
      <w:pPr>
        <w:spacing w:after="0" w:line="215"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Subject to the terms and conditions of the Plan and this Agreement, and the applicable vesting acceleration provisions of any service agreement between you and the Company or any severance or change in control policy of the Company, if any, the RSUs will vest on the following schedule, subject to you continuing to be an Associate through the applicable vesting date:</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680" w:type="dxa"/>
            <w:vAlign w:val="bottom"/>
            <w:tcBorders>
              <w:top w:val="single" w:sz="8" w:color="auto"/>
              <w:left w:val="single" w:sz="8" w:color="auto"/>
            </w:tcBorders>
          </w:tcPr>
          <w:p>
            <w:pPr>
              <w:spacing w:after="0"/>
              <w:rPr>
                <w:sz w:val="18"/>
                <w:szCs w:val="18"/>
                <w:color w:val="auto"/>
              </w:rPr>
            </w:pPr>
          </w:p>
        </w:tc>
        <w:tc>
          <w:tcPr>
            <w:tcW w:w="3420" w:type="dxa"/>
            <w:vAlign w:val="bottom"/>
            <w:tcBorders>
              <w:top w:val="single" w:sz="8" w:color="auto"/>
              <w:right w:val="single" w:sz="8" w:color="auto"/>
            </w:tcBorders>
            <w:gridSpan w:val="2"/>
          </w:tcPr>
          <w:p>
            <w:pPr>
              <w:jc w:val="center"/>
              <w:ind w:right="2680"/>
              <w:spacing w:after="0"/>
              <w:rPr>
                <w:sz w:val="20"/>
                <w:szCs w:val="20"/>
                <w:color w:val="auto"/>
              </w:rPr>
            </w:pPr>
            <w:r>
              <w:rPr>
                <w:rFonts w:ascii="Arial" w:cs="Arial" w:eastAsia="Arial" w:hAnsi="Arial"/>
                <w:sz w:val="18"/>
                <w:szCs w:val="18"/>
                <w:b w:val="1"/>
                <w:bCs w:val="1"/>
                <w:color w:val="auto"/>
                <w:w w:val="90"/>
              </w:rPr>
              <w:t>Vest Date</w:t>
            </w:r>
          </w:p>
        </w:tc>
        <w:tc>
          <w:tcPr>
            <w:tcW w:w="5160" w:type="dxa"/>
            <w:vAlign w:val="bottom"/>
            <w:tcBorders>
              <w:top w:val="single" w:sz="8" w:color="auto"/>
              <w:right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86"/>
              </w:rPr>
              <w:t>Shares</w:t>
            </w:r>
          </w:p>
        </w:tc>
      </w:tr>
      <w:tr>
        <w:trPr>
          <w:trHeight w:val="48"/>
        </w:trPr>
        <w:tc>
          <w:tcPr>
            <w:tcW w:w="2680" w:type="dxa"/>
            <w:vAlign w:val="bottom"/>
            <w:tcBorders>
              <w:left w:val="single" w:sz="8" w:color="auto"/>
              <w:bottom w:val="single" w:sz="8" w:color="auto"/>
            </w:tcBorders>
          </w:tcPr>
          <w:p>
            <w:pPr>
              <w:spacing w:after="0"/>
              <w:rPr>
                <w:sz w:val="4"/>
                <w:szCs w:val="4"/>
                <w:color w:val="auto"/>
              </w:rPr>
            </w:pPr>
          </w:p>
        </w:tc>
        <w:tc>
          <w:tcPr>
            <w:tcW w:w="740" w:type="dxa"/>
            <w:vAlign w:val="bottom"/>
            <w:tcBorders>
              <w:top w:val="single" w:sz="8" w:color="auto"/>
              <w:bottom w:val="single" w:sz="8" w:color="auto"/>
            </w:tcBorders>
          </w:tcPr>
          <w:p>
            <w:pPr>
              <w:spacing w:after="0"/>
              <w:rPr>
                <w:sz w:val="4"/>
                <w:szCs w:val="4"/>
                <w:color w:val="auto"/>
              </w:rPr>
            </w:pPr>
          </w:p>
        </w:tc>
        <w:tc>
          <w:tcPr>
            <w:tcW w:w="2680" w:type="dxa"/>
            <w:vAlign w:val="bottom"/>
            <w:tcBorders>
              <w:bottom w:val="single" w:sz="8" w:color="auto"/>
              <w:right w:val="single" w:sz="8" w:color="auto"/>
            </w:tcBorders>
          </w:tcPr>
          <w:p>
            <w:pPr>
              <w:spacing w:after="0"/>
              <w:rPr>
                <w:sz w:val="4"/>
                <w:szCs w:val="4"/>
                <w:color w:val="auto"/>
              </w:rPr>
            </w:pPr>
          </w:p>
        </w:tc>
        <w:tc>
          <w:tcPr>
            <w:tcW w:w="2300" w:type="dxa"/>
            <w:vAlign w:val="bottom"/>
            <w:tcBorders>
              <w:bottom w:val="single" w:sz="8" w:color="auto"/>
            </w:tcBorders>
          </w:tcPr>
          <w:p>
            <w:pPr>
              <w:spacing w:after="0"/>
              <w:rPr>
                <w:sz w:val="4"/>
                <w:szCs w:val="4"/>
                <w:color w:val="auto"/>
              </w:rPr>
            </w:pPr>
          </w:p>
        </w:tc>
        <w:tc>
          <w:tcPr>
            <w:tcW w:w="520" w:type="dxa"/>
            <w:vAlign w:val="bottom"/>
            <w:tcBorders>
              <w:top w:val="single" w:sz="8" w:color="auto"/>
              <w:bottom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r>
      <w:tr>
        <w:trPr>
          <w:trHeight w:val="222"/>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%%SHARES_PERIOD1,’999,999,999’%-%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%%VEST_DATE_PERIOD2,'Month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%%SHARES_PERIOD2,’999,999,999’%-%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%%VEST_DATE_PERIOD3,'Month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%%SHARES_PERIOD3,’999,999,999’%-%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%%VEST_DATE_PERIOD4,'Month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%%SHARES_PERIOD4,’999,999,999’%-%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%%VEST_DATE_PERIOD5,'Month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%%SHARES_PERIOD5,’999,999,999’%-%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%%VEST_DATE_PERIOD6,'Month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%%SHARES_PERIOD6,’999,999,999’%-%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%%VEST_DATE_PERIOD7,'Month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%%SHARES_PERIOD7,’999,999,999’%-%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%%VEST_DATE_PERIOD8,'Month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%%SHARES_PERIOD8,’999,999,999’%-%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%%VEST_DATE_PERIOD9,'Month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%%SHARES_PERIOD9,’999,999,999’%-%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%%VEST_DATE_PERIOD10,'Month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%%SHARES_PERIOD10,’999,999,999’%-%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%%VEST_DATE_PERIOD11,'Month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%%SHARES_PERIOD11,’999,999,999’%-%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%%VEST_DATE_PERIOD12,'Month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%%SHARES_PERIOD12,’999,999,999’%-%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%%VEST_DATE_PERIOD13,'Month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%%SHARES_PERIOD13,’999,999,999’%-%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%%VEST_DATE_PERIOD14,'Month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%%SHARES_PERIOD14,’999,999,999’%-%</w:t>
            </w:r>
          </w:p>
        </w:tc>
      </w:tr>
      <w:tr>
        <w:trPr>
          <w:trHeight w:val="216"/>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%%VEST_DATE_PERIOD15,'Month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%%SHARES_PERIOD15,’999,999,999’%-%</w:t>
            </w:r>
          </w:p>
        </w:tc>
      </w:tr>
      <w:tr>
        <w:trPr>
          <w:trHeight w:val="230"/>
        </w:trPr>
        <w:tc>
          <w:tcPr>
            <w:tcW w:w="61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%%VEST_DATE_PERIOD16,'Month DD, YYYY'%-%</w:t>
            </w:r>
          </w:p>
        </w:tc>
        <w:tc>
          <w:tcPr>
            <w:tcW w:w="51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%%SHARES_PERIOD16,’999,999,999’%-%</w:t>
            </w:r>
          </w:p>
        </w:tc>
      </w:tr>
      <w:tr>
        <w:trPr>
          <w:trHeight w:val="27"/>
        </w:trPr>
        <w:tc>
          <w:tcPr>
            <w:tcW w:w="2680" w:type="dxa"/>
            <w:vAlign w:val="bottom"/>
            <w:tcBorders>
              <w:left w:val="single" w:sz="8" w:color="auto"/>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All vesting will be rounded to the nearest whole RSU, and any fractional RSUs will be accumulated and vested on the date that an accumulated full RSU is vested.</w:t>
      </w:r>
    </w:p>
    <w:p>
      <w:pPr>
        <w:spacing w:after="0" w:line="19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If you cease to be an Associate for any or no reason before you fully vest in the RSUs, the unvested RSUs will terminate according to the terms of Section 5 of this Agreement.</w:t>
      </w:r>
    </w:p>
    <w:p>
      <w:pPr>
        <w:sectPr>
          <w:pgSz w:w="11900" w:h="16838" w:orient="portrait"/>
          <w:cols w:equalWidth="0" w:num="1">
            <w:col w:w="11260"/>
          </w:cols>
          <w:pgMar w:left="320" w:top="1417" w:right="31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t>By logging into your E*Trade account and electronically accepting this award, you acknowledge and indicate that:</w:t>
      </w:r>
    </w:p>
    <w:p>
      <w:pPr>
        <w:spacing w:after="0" w:line="239" w:lineRule="exact"/>
        <w:rPr>
          <w:sz w:val="20"/>
          <w:szCs w:val="20"/>
          <w:color w:val="auto"/>
        </w:rPr>
      </w:pPr>
    </w:p>
    <w:p>
      <w:pPr>
        <w:ind w:left="660" w:right="660" w:hanging="423"/>
        <w:spacing w:after="0" w:line="261"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This award of RSUs is subject to the terms and conditions as described within this Agreement and the Plan that are being provided to you electronically, including their exhibits and appendices, if any.</w:t>
      </w:r>
    </w:p>
    <w:p>
      <w:pPr>
        <w:spacing w:after="0" w:line="197" w:lineRule="exact"/>
        <w:rPr>
          <w:rFonts w:ascii="Arial" w:cs="Arial" w:eastAsia="Arial" w:hAnsi="Arial"/>
          <w:sz w:val="18"/>
          <w:szCs w:val="18"/>
          <w:color w:val="auto"/>
        </w:rPr>
      </w:pPr>
    </w:p>
    <w:p>
      <w:pPr>
        <w:ind w:left="660" w:right="420" w:hanging="473"/>
        <w:spacing w:after="0" w:line="261"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understand that the Company is not providing any tax, legal, or financial advice and is not making any recommendations regarding your participation in the Plan or your acquisition or sale of Shares.</w:t>
      </w:r>
    </w:p>
    <w:p>
      <w:pPr>
        <w:spacing w:after="0" w:line="197" w:lineRule="exact"/>
        <w:rPr>
          <w:rFonts w:ascii="Arial" w:cs="Arial" w:eastAsia="Arial" w:hAnsi="Arial"/>
          <w:sz w:val="18"/>
          <w:szCs w:val="18"/>
          <w:color w:val="auto"/>
        </w:rPr>
      </w:pPr>
    </w:p>
    <w:p>
      <w:pPr>
        <w:ind w:left="660" w:hanging="522"/>
        <w:spacing w:after="0" w:line="248"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You have reviewed the Plan and this Agreement, have had an opportunity to obtain the advice of personal tax, legal, and financial advisors prior to accepting this award, and fully understand all provisions of this Agreement and the Plan. You will consult with your own personal tax, legal, and financial advisors before taking any action related to the Plan.</w:t>
      </w:r>
    </w:p>
    <w:p>
      <w:pPr>
        <w:spacing w:after="0" w:line="208" w:lineRule="exact"/>
        <w:rPr>
          <w:rFonts w:ascii="Arial" w:cs="Arial" w:eastAsia="Arial" w:hAnsi="Arial"/>
          <w:sz w:val="18"/>
          <w:szCs w:val="18"/>
          <w:color w:val="auto"/>
        </w:rPr>
      </w:pPr>
    </w:p>
    <w:p>
      <w:pPr>
        <w:ind w:left="640" w:hanging="493"/>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have read and agree to each provision of Section 10 of this Agreement.</w:t>
      </w:r>
    </w:p>
    <w:p>
      <w:pPr>
        <w:spacing w:after="0" w:line="238" w:lineRule="exact"/>
        <w:rPr>
          <w:rFonts w:ascii="Arial" w:cs="Arial" w:eastAsia="Arial" w:hAnsi="Arial"/>
          <w:sz w:val="18"/>
          <w:szCs w:val="18"/>
          <w:color w:val="auto"/>
        </w:rPr>
      </w:pPr>
    </w:p>
    <w:p>
      <w:pPr>
        <w:ind w:left="640" w:hanging="443"/>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will notify the Company of any change to the contact address above.</w:t>
      </w:r>
    </w:p>
    <w:p>
      <w:pPr>
        <w:spacing w:after="0" w:line="23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IF YOU DO NOT ACCEPT THIS AGREEMENT ON OR PRIOR TO THE FIRST DATE ANY PORTION OF THESE RSUs VEST, YOU WILL BE DEEMED TO ACCEPT ALL OF THE TERMS AND CONDITIONS OF THIS AGREEMENT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343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Howe, CEO and President</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Catherine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3438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Catherine Hughes, Corporate Governance Executive</w:t>
      </w:r>
    </w:p>
    <w:p>
      <w:pPr>
        <w:sectPr>
          <w:pgSz w:w="11900" w:h="16838" w:orient="portrait"/>
          <w:cols w:equalWidth="0" w:num="1">
            <w:col w:w="11220"/>
          </w:cols>
          <w:pgMar w:left="320" w:top="1421" w:right="35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TERMS AND CONDITIONS OF RESTRICTED STOCK UNIT AWARD</w:t>
      </w:r>
    </w:p>
    <w:p>
      <w:pPr>
        <w:spacing w:after="0" w:line="243"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This Agreement and the Plan constitute the entire agreement between the Company and you with regard to the RSUs pertaining to the Common Stock described in the Notice.</w:t>
      </w:r>
    </w:p>
    <w:p>
      <w:pPr>
        <w:spacing w:after="0" w:line="194" w:lineRule="exact"/>
        <w:rPr>
          <w:sz w:val="20"/>
          <w:szCs w:val="20"/>
          <w:color w:val="auto"/>
        </w:rPr>
      </w:pPr>
    </w:p>
    <w:p>
      <w:pPr>
        <w:jc w:val="both"/>
        <w:ind w:left="660" w:firstLine="644"/>
        <w:spacing w:after="0"/>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Grant and Acceptance of Terms</w:t>
      </w:r>
      <w:r>
        <w:rPr>
          <w:rFonts w:ascii="Arial" w:cs="Arial" w:eastAsia="Arial" w:hAnsi="Arial"/>
          <w:sz w:val="18"/>
          <w:szCs w:val="18"/>
          <w:color w:val="auto"/>
        </w:rPr>
        <w:t>. The Company grants you an award of RSUs as described in the Notice.</w:t>
      </w:r>
      <w:r>
        <w:rPr>
          <w:rFonts w:ascii="Arial" w:cs="Arial" w:eastAsia="Arial" w:hAnsi="Arial"/>
          <w:sz w:val="18"/>
          <w:szCs w:val="18"/>
          <w:b w:val="1"/>
          <w:bCs w:val="1"/>
          <w:color w:val="auto"/>
        </w:rPr>
        <w:t xml:space="preserve"> Your acceptance and retention of the award described in the Notice, as evidenced by your electronic acceptance of this Agreement, shall constitute your acceptance of the terms and conditions set forth in this Agreement, and the Plan. </w:t>
      </w:r>
      <w:r>
        <w:rPr>
          <w:rFonts w:ascii="Arial" w:cs="Arial" w:eastAsia="Arial" w:hAnsi="Arial"/>
          <w:sz w:val="18"/>
          <w:szCs w:val="18"/>
          <w:color w:val="auto"/>
        </w:rPr>
        <w:t>If there is a conflict between the Plan,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agreement governing the RSUs, those documents will take precedence and prevail in the following order: (a) the Plan, (b) this Agreement, and (c) any other agreement between the Company and you governing these RSUs (provided that any applicable vesting acceleration arising from a service agreement between you and the Company or a severance or change in control policy of the Company will apply to the RSUs).</w:t>
      </w:r>
    </w:p>
    <w:p>
      <w:pPr>
        <w:spacing w:after="0" w:line="211" w:lineRule="exact"/>
        <w:rPr>
          <w:rFonts w:ascii="Arial" w:cs="Arial" w:eastAsia="Arial" w:hAnsi="Arial"/>
          <w:sz w:val="18"/>
          <w:szCs w:val="18"/>
          <w:color w:val="auto"/>
        </w:rPr>
      </w:pPr>
    </w:p>
    <w:p>
      <w:pPr>
        <w:ind w:left="1960" w:hanging="656"/>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Your Rights with Respect to the RSUs.</w:t>
      </w:r>
    </w:p>
    <w:p>
      <w:pPr>
        <w:spacing w:after="0" w:line="238" w:lineRule="exact"/>
        <w:rPr>
          <w:rFonts w:ascii="Arial" w:cs="Arial" w:eastAsia="Arial" w:hAnsi="Arial"/>
          <w:sz w:val="18"/>
          <w:szCs w:val="18"/>
          <w:color w:val="auto"/>
        </w:rPr>
      </w:pPr>
    </w:p>
    <w:p>
      <w:pPr>
        <w:jc w:val="both"/>
        <w:ind w:left="1300" w:firstLine="652"/>
        <w:spacing w:after="0"/>
        <w:tabs>
          <w:tab w:leader="none" w:pos="2586"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Company’s Obligation to Pay</w:t>
      </w:r>
      <w:r>
        <w:rPr>
          <w:rFonts w:ascii="Arial" w:cs="Arial" w:eastAsia="Arial" w:hAnsi="Arial"/>
          <w:sz w:val="18"/>
          <w:szCs w:val="18"/>
          <w:color w:val="auto"/>
        </w:rPr>
        <w:t>. Each RSU is a right to receive a Share on the date it vests. Until an RSU vests,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right to payment of the Share. Before a vested RSU is paid, the RSU is an unsecured obligation of the Company, payable (if at all) only from the Company’s general assets. A vested RSU will be paid to you (or in the event of your death, to your estate or such other person as specified in Section 6 below) in whole Shares as soon as practicable after vesting (but no later than 60 days following the vesting date), subject to you satisfying any obligations for Tax-Related Items (as defined in Section 9(a)(i) of this Agreement) and any delay in payment required under Section 9(b)(i) of this Agreement. You cannot specify (directly or indirectly) the taxable year of the payment of any vested RSU under this Agreement</w:t>
      </w:r>
    </w:p>
    <w:p>
      <w:pPr>
        <w:spacing w:after="0" w:line="211" w:lineRule="exact"/>
        <w:rPr>
          <w:rFonts w:ascii="Arial" w:cs="Arial" w:eastAsia="Arial" w:hAnsi="Arial"/>
          <w:sz w:val="18"/>
          <w:szCs w:val="18"/>
          <w:color w:val="auto"/>
        </w:rPr>
      </w:pPr>
    </w:p>
    <w:p>
      <w:pPr>
        <w:jc w:val="both"/>
        <w:ind w:left="1300" w:firstLine="652"/>
        <w:spacing w:after="0" w:line="242" w:lineRule="auto"/>
        <w:tabs>
          <w:tab w:leader="none" w:pos="2596" w:val="left"/>
        </w:tabs>
        <w:numPr>
          <w:ilvl w:val="1"/>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Upon vesting, the RSUs granted pursuant to the Notice will entitle you to the all the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of the Company’s Common Stock as to the amount of shares of Common Stock (“Shares”) currently vested. Your rights as a stockholder of the Company (including the right to vote and to receive dividends and distributions) will not begin until Shares have been issued and recorded on the records of the Company or its transfer agents or registrars, and your rights with respect to the RSUs will remain forfeitable prior to the date on which such rights become vested.</w:t>
      </w:r>
    </w:p>
    <w:p>
      <w:pPr>
        <w:spacing w:after="0" w:line="211"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 11 of the Plan and Section 4 of this Agreement, RSUs shall vest as set forth in the Notice. RSUs</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scheduled to vest on a certain date or upon the occurrence of a certain condition will not vest unless you continue to be an Associate until the time such vesting is scheduled to occur.</w:t>
      </w:r>
    </w:p>
    <w:p>
      <w:pPr>
        <w:spacing w:after="0" w:line="203" w:lineRule="exact"/>
        <w:rPr>
          <w:rFonts w:ascii="Arial" w:cs="Arial" w:eastAsia="Arial" w:hAnsi="Arial"/>
          <w:sz w:val="18"/>
          <w:szCs w:val="18"/>
          <w:color w:val="auto"/>
        </w:rPr>
      </w:pPr>
    </w:p>
    <w:p>
      <w:pPr>
        <w:ind w:left="660" w:firstLine="644"/>
        <w:spacing w:after="0" w:line="329" w:lineRule="auto"/>
        <w:tabs>
          <w:tab w:leader="none" w:pos="1956" w:val="left"/>
        </w:tabs>
        <w:numPr>
          <w:ilvl w:val="0"/>
          <w:numId w:val="33"/>
        </w:numPr>
        <w:rPr>
          <w:rFonts w:ascii="Arial" w:cs="Arial" w:eastAsia="Arial" w:hAnsi="Arial"/>
          <w:sz w:val="16"/>
          <w:szCs w:val="16"/>
          <w:color w:val="auto"/>
        </w:rPr>
      </w:pPr>
      <w:r>
        <w:rPr>
          <w:rFonts w:ascii="Arial" w:cs="Arial" w:eastAsia="Arial" w:hAnsi="Arial"/>
          <w:sz w:val="16"/>
          <w:szCs w:val="16"/>
          <w:b w:val="1"/>
          <w:bCs w:val="1"/>
          <w:color w:val="auto"/>
        </w:rPr>
        <w:t>Board and Committee Discretion</w:t>
      </w:r>
      <w:r>
        <w:rPr>
          <w:rFonts w:ascii="Arial" w:cs="Arial" w:eastAsia="Arial" w:hAnsi="Arial"/>
          <w:sz w:val="16"/>
          <w:szCs w:val="16"/>
          <w:color w:val="auto"/>
        </w:rPr>
        <w:t>. The Board and the Committee have the discretion to accelerate the vesting of any RSUs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subject to the terms of the Plan. In that case, those RSUs will be vested as of the date specified by the Board or the Committee.</w:t>
      </w:r>
    </w:p>
    <w:p>
      <w:pPr>
        <w:spacing w:after="0" w:line="143" w:lineRule="exact"/>
        <w:rPr>
          <w:rFonts w:ascii="Arial" w:cs="Arial" w:eastAsia="Arial" w:hAnsi="Arial"/>
          <w:sz w:val="16"/>
          <w:szCs w:val="16"/>
          <w:color w:val="auto"/>
        </w:rPr>
      </w:pPr>
    </w:p>
    <w:p>
      <w:pPr>
        <w:jc w:val="both"/>
        <w:ind w:left="660" w:firstLine="644"/>
        <w:spacing w:after="0" w:line="272" w:lineRule="auto"/>
        <w:tabs>
          <w:tab w:leader="none" w:pos="1956"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Forfeiture upon Termination</w:t>
      </w:r>
      <w:r>
        <w:rPr>
          <w:rFonts w:ascii="Arial" w:cs="Arial" w:eastAsia="Arial" w:hAnsi="Arial"/>
          <w:sz w:val="17"/>
          <w:szCs w:val="17"/>
          <w:color w:val="auto"/>
        </w:rPr>
        <w:t>. If your status as an Associate terminates for any reason, your RSUs will immediately stop</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and any of these RSUs that have not yet vested will be forfeited by you upon the effective date of your termination. The provisions of this Section 5 are subject to the provisions of Section 7 below entitled “Forfeiture of Shares for Engaging in Certain Activities.”</w:t>
      </w:r>
    </w:p>
    <w:p>
      <w:pPr>
        <w:spacing w:after="0" w:line="185" w:lineRule="exact"/>
        <w:rPr>
          <w:rFonts w:ascii="Arial" w:cs="Arial" w:eastAsia="Arial" w:hAnsi="Arial"/>
          <w:sz w:val="17"/>
          <w:szCs w:val="17"/>
          <w:color w:val="auto"/>
        </w:rPr>
      </w:pPr>
    </w:p>
    <w:p>
      <w:pPr>
        <w:jc w:val="both"/>
        <w:ind w:left="660" w:firstLine="644"/>
        <w:spacing w:after="0" w:line="245" w:lineRule="auto"/>
        <w:tabs>
          <w:tab w:leader="none" w:pos="1956"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Death</w:t>
      </w:r>
      <w:r>
        <w:rPr>
          <w:rFonts w:ascii="Arial" w:cs="Arial" w:eastAsia="Arial" w:hAnsi="Arial"/>
          <w:sz w:val="18"/>
          <w:szCs w:val="18"/>
          <w:color w:val="auto"/>
        </w:rPr>
        <w:t>. Any distribution or delivery to be made to you under this Agreement will, if you are then deceased, be made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or executor of your estate or, if the Board or the Committee permits, your designated beneficiary. Any such transferee must furnish the Company with (a) written notice of your status as transferee, and (b) evidence satisfactory to the Company to establish the validity of the transfer and compliance with any laws or regulations that apply to the transfer.</w:t>
      </w:r>
    </w:p>
    <w:p>
      <w:pPr>
        <w:sectPr>
          <w:pgSz w:w="11900" w:h="16838" w:orient="portrait"/>
          <w:cols w:equalWidth="0" w:num="1">
            <w:col w:w="11240"/>
          </w:cols>
          <w:pgMar w:left="320" w:top="931" w:right="339" w:bottom="1440" w:gutter="0" w:footer="0" w:header="0"/>
        </w:sectPr>
      </w:pPr>
    </w:p>
    <w:bookmarkStart w:id="110" w:name="page111"/>
    <w:bookmarkEnd w:id="110"/>
    <w:p>
      <w:pPr>
        <w:ind w:left="840" w:hanging="656"/>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Forfeiture of Shares for Engaging in Certain Activities</w:t>
      </w:r>
      <w:r>
        <w:rPr>
          <w:rFonts w:ascii="Arial" w:cs="Arial" w:eastAsia="Arial" w:hAnsi="Arial"/>
          <w:sz w:val="18"/>
          <w:szCs w:val="18"/>
          <w:color w:val="auto"/>
        </w:rPr>
        <w:t>.</w:t>
      </w:r>
    </w:p>
    <w:p>
      <w:pPr>
        <w:spacing w:after="0" w:line="242" w:lineRule="exact"/>
        <w:rPr>
          <w:rFonts w:ascii="Arial" w:cs="Arial" w:eastAsia="Arial" w:hAnsi="Arial"/>
          <w:sz w:val="18"/>
          <w:szCs w:val="18"/>
          <w:color w:val="auto"/>
        </w:rPr>
      </w:pPr>
    </w:p>
    <w:p>
      <w:pPr>
        <w:jc w:val="both"/>
        <w:ind w:left="180" w:firstLine="652"/>
        <w:spacing w:after="0" w:line="248" w:lineRule="auto"/>
        <w:tabs>
          <w:tab w:leader="none" w:pos="1466" w:val="left"/>
        </w:tabs>
        <w:numPr>
          <w:ilvl w:val="1"/>
          <w:numId w:val="34"/>
        </w:numPr>
        <w:rPr>
          <w:rFonts w:ascii="Arial" w:cs="Arial" w:eastAsia="Arial" w:hAnsi="Arial"/>
          <w:sz w:val="18"/>
          <w:szCs w:val="18"/>
          <w:color w:val="auto"/>
        </w:rPr>
      </w:pPr>
      <w:r>
        <w:rPr>
          <w:rFonts w:ascii="Arial" w:cs="Arial" w:eastAsia="Arial" w:hAnsi="Arial"/>
          <w:sz w:val="18"/>
          <w:szCs w:val="18"/>
          <w:color w:val="auto"/>
        </w:rPr>
        <w:t>If at any time during your service as an Associate, or within one year after termination of your status as an Associate you engage in any activity which competes with any activity of the Company and/or any Affiliated Companies, or if you engage in any of the prohibited activities listed in subsection (b) below, then</w:t>
      </w:r>
    </w:p>
    <w:p>
      <w:pPr>
        <w:spacing w:after="0" w:line="208" w:lineRule="exact"/>
        <w:rPr>
          <w:rFonts w:ascii="Arial" w:cs="Arial" w:eastAsia="Arial" w:hAnsi="Arial"/>
          <w:sz w:val="18"/>
          <w:szCs w:val="18"/>
          <w:color w:val="auto"/>
        </w:rPr>
      </w:pPr>
    </w:p>
    <w:p>
      <w:pPr>
        <w:ind w:left="1480" w:hanging="338"/>
        <w:spacing w:after="0"/>
        <w:tabs>
          <w:tab w:leader="none" w:pos="1480" w:val="left"/>
        </w:tabs>
        <w:numPr>
          <w:ilvl w:val="4"/>
          <w:numId w:val="34"/>
        </w:numPr>
        <w:rPr>
          <w:rFonts w:ascii="Arial" w:cs="Arial" w:eastAsia="Arial" w:hAnsi="Arial"/>
          <w:sz w:val="18"/>
          <w:szCs w:val="18"/>
          <w:color w:val="auto"/>
        </w:rPr>
      </w:pPr>
      <w:r>
        <w:rPr>
          <w:rFonts w:ascii="Arial" w:cs="Arial" w:eastAsia="Arial" w:hAnsi="Arial"/>
          <w:sz w:val="18"/>
          <w:szCs w:val="18"/>
          <w:color w:val="auto"/>
        </w:rPr>
        <w:t>any unvested RSUs granted to you shall be canceled;</w:t>
      </w:r>
    </w:p>
    <w:p>
      <w:pPr>
        <w:spacing w:after="0" w:line="238" w:lineRule="exact"/>
        <w:rPr>
          <w:rFonts w:ascii="Arial" w:cs="Arial" w:eastAsia="Arial" w:hAnsi="Arial"/>
          <w:sz w:val="18"/>
          <w:szCs w:val="18"/>
          <w:color w:val="auto"/>
        </w:rPr>
      </w:pPr>
    </w:p>
    <w:p>
      <w:pPr>
        <w:jc w:val="both"/>
        <w:ind w:left="840" w:firstLine="252"/>
        <w:spacing w:after="0" w:line="243" w:lineRule="auto"/>
        <w:tabs>
          <w:tab w:leader="none" w:pos="1488" w:val="left"/>
        </w:tabs>
        <w:numPr>
          <w:ilvl w:val="4"/>
          <w:numId w:val="34"/>
        </w:numPr>
        <w:rPr>
          <w:rFonts w:ascii="Arial" w:cs="Arial" w:eastAsia="Arial" w:hAnsi="Arial"/>
          <w:sz w:val="18"/>
          <w:szCs w:val="18"/>
          <w:color w:val="auto"/>
        </w:rPr>
      </w:pPr>
      <w:r>
        <w:rPr>
          <w:rFonts w:ascii="Arial" w:cs="Arial" w:eastAsia="Arial" w:hAnsi="Arial"/>
          <w:sz w:val="18"/>
          <w:szCs w:val="18"/>
          <w:color w:val="auto"/>
        </w:rPr>
        <w:t>with respect to any Shares received by you pursuant the settlement of the RSUs within the three-year period before and the three-year period after your termination date, you shall pay to the Company an amount equal to the proceeds of any sale or distribution of those Shares (the “Forfeited Shares”), or, if still held by you, the aggregate fair market value of such Forfeited Shares as of the date of vesting; and</w:t>
      </w:r>
    </w:p>
    <w:p>
      <w:pPr>
        <w:spacing w:after="0" w:line="214" w:lineRule="exact"/>
        <w:rPr>
          <w:rFonts w:ascii="Arial" w:cs="Arial" w:eastAsia="Arial" w:hAnsi="Arial"/>
          <w:sz w:val="18"/>
          <w:szCs w:val="18"/>
          <w:color w:val="auto"/>
        </w:rPr>
      </w:pPr>
    </w:p>
    <w:p>
      <w:pPr>
        <w:ind w:left="840" w:firstLine="202"/>
        <w:spacing w:after="0" w:line="261" w:lineRule="auto"/>
        <w:tabs>
          <w:tab w:leader="none" w:pos="1488" w:val="left"/>
        </w:tabs>
        <w:numPr>
          <w:ilvl w:val="4"/>
          <w:numId w:val="34"/>
        </w:numPr>
        <w:rPr>
          <w:rFonts w:ascii="Arial" w:cs="Arial" w:eastAsia="Arial" w:hAnsi="Arial"/>
          <w:sz w:val="18"/>
          <w:szCs w:val="18"/>
          <w:color w:val="auto"/>
        </w:rPr>
      </w:pPr>
      <w:r>
        <w:rPr>
          <w:rFonts w:ascii="Arial" w:cs="Arial" w:eastAsia="Arial" w:hAnsi="Arial"/>
          <w:sz w:val="18"/>
          <w:szCs w:val="18"/>
          <w:color w:val="auto"/>
        </w:rPr>
        <w:t>the Company shall be entitled to set off against the amount of any such Forfeited Shares any amounts owed to you by the Company.</w:t>
      </w:r>
    </w:p>
    <w:p>
      <w:pPr>
        <w:spacing w:after="0" w:line="197" w:lineRule="exact"/>
        <w:rPr>
          <w:rFonts w:ascii="Arial" w:cs="Arial" w:eastAsia="Arial" w:hAnsi="Arial"/>
          <w:sz w:val="18"/>
          <w:szCs w:val="18"/>
          <w:color w:val="auto"/>
        </w:rPr>
      </w:pPr>
    </w:p>
    <w:p>
      <w:pPr>
        <w:ind w:left="1480" w:hanging="648"/>
        <w:spacing w:after="0"/>
        <w:tabs>
          <w:tab w:leader="none" w:pos="14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prohibited activities include:</w:t>
      </w:r>
    </w:p>
    <w:p>
      <w:pPr>
        <w:spacing w:after="0" w:line="238" w:lineRule="exact"/>
        <w:rPr>
          <w:rFonts w:ascii="Arial" w:cs="Arial" w:eastAsia="Arial" w:hAnsi="Arial"/>
          <w:sz w:val="18"/>
          <w:szCs w:val="18"/>
          <w:color w:val="auto"/>
        </w:rPr>
      </w:pPr>
    </w:p>
    <w:p>
      <w:pPr>
        <w:ind w:left="840" w:firstLine="221"/>
        <w:spacing w:after="0" w:line="261" w:lineRule="auto"/>
        <w:tabs>
          <w:tab w:leader="none" w:pos="1488" w:val="left"/>
        </w:tabs>
        <w:numPr>
          <w:ilvl w:val="3"/>
          <w:numId w:val="34"/>
        </w:numPr>
        <w:rPr>
          <w:rFonts w:ascii="Arial" w:cs="Arial" w:eastAsia="Arial" w:hAnsi="Arial"/>
          <w:sz w:val="18"/>
          <w:szCs w:val="18"/>
          <w:color w:val="auto"/>
        </w:rPr>
      </w:pPr>
      <w:r>
        <w:rPr>
          <w:rFonts w:ascii="Arial" w:cs="Arial" w:eastAsia="Arial" w:hAnsi="Arial"/>
          <w:sz w:val="18"/>
          <w:szCs w:val="18"/>
          <w:color w:val="auto"/>
        </w:rPr>
        <w:t>accepting employment with or serving as a consultant, advisor or in any other capacity to anyone that is in competition with or acting against the interests of the Company;</w:t>
      </w:r>
    </w:p>
    <w:p>
      <w:pPr>
        <w:spacing w:after="0" w:line="197" w:lineRule="exact"/>
        <w:rPr>
          <w:rFonts w:ascii="Arial" w:cs="Arial" w:eastAsia="Arial" w:hAnsi="Arial"/>
          <w:sz w:val="18"/>
          <w:szCs w:val="18"/>
          <w:color w:val="auto"/>
        </w:rPr>
      </w:pPr>
    </w:p>
    <w:p>
      <w:pPr>
        <w:ind w:left="1480" w:hanging="469"/>
        <w:spacing w:after="0"/>
        <w:tabs>
          <w:tab w:leader="none" w:pos="1480" w:val="left"/>
        </w:tabs>
        <w:numPr>
          <w:ilvl w:val="3"/>
          <w:numId w:val="34"/>
        </w:numPr>
        <w:rPr>
          <w:rFonts w:ascii="Arial" w:cs="Arial" w:eastAsia="Arial" w:hAnsi="Arial"/>
          <w:sz w:val="17"/>
          <w:szCs w:val="17"/>
          <w:color w:val="auto"/>
        </w:rPr>
      </w:pPr>
      <w:r>
        <w:rPr>
          <w:rFonts w:ascii="Arial" w:cs="Arial" w:eastAsia="Arial" w:hAnsi="Arial"/>
          <w:sz w:val="17"/>
          <w:szCs w:val="17"/>
          <w:color w:val="auto"/>
        </w:rPr>
        <w:t>disclosing or misusing any confidential information or material concerning the Company or any Affiliated Company;</w:t>
      </w:r>
    </w:p>
    <w:p>
      <w:pPr>
        <w:spacing w:after="0" w:line="250" w:lineRule="exact"/>
        <w:rPr>
          <w:rFonts w:ascii="Arial" w:cs="Arial" w:eastAsia="Arial" w:hAnsi="Arial"/>
          <w:sz w:val="17"/>
          <w:szCs w:val="17"/>
          <w:color w:val="auto"/>
        </w:rPr>
      </w:pPr>
    </w:p>
    <w:p>
      <w:pPr>
        <w:ind w:left="840" w:firstLine="121"/>
        <w:spacing w:after="0" w:line="261" w:lineRule="auto"/>
        <w:tabs>
          <w:tab w:leader="none" w:pos="1488" w:val="left"/>
        </w:tabs>
        <w:numPr>
          <w:ilvl w:val="3"/>
          <w:numId w:val="34"/>
        </w:numPr>
        <w:rPr>
          <w:rFonts w:ascii="Arial" w:cs="Arial" w:eastAsia="Arial" w:hAnsi="Arial"/>
          <w:sz w:val="18"/>
          <w:szCs w:val="18"/>
          <w:color w:val="auto"/>
        </w:rPr>
      </w:pPr>
      <w:r>
        <w:rPr>
          <w:rFonts w:ascii="Arial" w:cs="Arial" w:eastAsia="Arial" w:hAnsi="Arial"/>
          <w:sz w:val="18"/>
          <w:szCs w:val="18"/>
          <w:color w:val="auto"/>
        </w:rPr>
        <w:t>any attempt, directly or indirectly, to induce any associate of the Company or any Affiliated Company to be employed or perform services elsewhere;</w:t>
      </w:r>
    </w:p>
    <w:p>
      <w:pPr>
        <w:spacing w:after="0" w:line="197" w:lineRule="exact"/>
        <w:rPr>
          <w:rFonts w:ascii="Arial" w:cs="Arial" w:eastAsia="Arial" w:hAnsi="Arial"/>
          <w:sz w:val="18"/>
          <w:szCs w:val="18"/>
          <w:color w:val="auto"/>
        </w:rPr>
      </w:pPr>
    </w:p>
    <w:p>
      <w:pPr>
        <w:ind w:left="840" w:firstLine="131"/>
        <w:spacing w:after="0" w:line="261" w:lineRule="auto"/>
        <w:tabs>
          <w:tab w:leader="none" w:pos="1557" w:val="left"/>
        </w:tabs>
        <w:numPr>
          <w:ilvl w:val="2"/>
          <w:numId w:val="34"/>
        </w:numPr>
        <w:rPr>
          <w:rFonts w:ascii="Arial" w:cs="Arial" w:eastAsia="Arial" w:hAnsi="Arial"/>
          <w:sz w:val="18"/>
          <w:szCs w:val="18"/>
          <w:color w:val="auto"/>
        </w:rPr>
      </w:pPr>
      <w:r>
        <w:rPr>
          <w:rFonts w:ascii="Arial" w:cs="Arial" w:eastAsia="Arial" w:hAnsi="Arial"/>
          <w:sz w:val="18"/>
          <w:szCs w:val="18"/>
          <w:color w:val="auto"/>
        </w:rPr>
        <w:t>any attempt, directly or indirectly, to solicit the trade or business of any current or prospective customer of the Company or any Affiliated Company;</w:t>
      </w:r>
    </w:p>
    <w:p>
      <w:pPr>
        <w:spacing w:after="0" w:line="197" w:lineRule="exact"/>
        <w:rPr>
          <w:rFonts w:ascii="Arial" w:cs="Arial" w:eastAsia="Arial" w:hAnsi="Arial"/>
          <w:sz w:val="18"/>
          <w:szCs w:val="18"/>
          <w:color w:val="auto"/>
        </w:rPr>
      </w:pPr>
    </w:p>
    <w:p>
      <w:pPr>
        <w:jc w:val="both"/>
        <w:ind w:left="840" w:firstLine="181"/>
        <w:spacing w:after="0" w:line="241" w:lineRule="auto"/>
        <w:tabs>
          <w:tab w:leader="none" w:pos="1476"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failure or refusal to disclose promptly and to assign to the Company all right, title and interest in any invention or idea made or conceived in whole or in part by you in the course of your employment by the Company or any Affiliated Company, relating to the actual or anticipated business, research or development work of the Company or any Affiliated Company, or the failure or refusal to do anything reasonably necessary to enable the Company or any Affiliated Company to secure a patent or other intellectual property right;</w:t>
      </w:r>
    </w:p>
    <w:p>
      <w:pPr>
        <w:spacing w:after="0" w:line="216" w:lineRule="exact"/>
        <w:rPr>
          <w:rFonts w:ascii="Arial" w:cs="Arial" w:eastAsia="Arial" w:hAnsi="Arial"/>
          <w:sz w:val="18"/>
          <w:szCs w:val="18"/>
          <w:color w:val="auto"/>
        </w:rPr>
      </w:pPr>
    </w:p>
    <w:p>
      <w:pPr>
        <w:ind w:left="1480" w:hanging="509"/>
        <w:spacing w:after="0"/>
        <w:tabs>
          <w:tab w:leader="none" w:pos="1480" w:val="left"/>
        </w:tabs>
        <w:numPr>
          <w:ilvl w:val="3"/>
          <w:numId w:val="35"/>
        </w:numPr>
        <w:rPr>
          <w:rFonts w:ascii="Arial" w:cs="Arial" w:eastAsia="Arial" w:hAnsi="Arial"/>
          <w:sz w:val="18"/>
          <w:szCs w:val="18"/>
          <w:color w:val="auto"/>
        </w:rPr>
      </w:pPr>
      <w:r>
        <w:rPr>
          <w:rFonts w:ascii="Arial" w:cs="Arial" w:eastAsia="Arial" w:hAnsi="Arial"/>
          <w:sz w:val="18"/>
          <w:szCs w:val="18"/>
          <w:color w:val="auto"/>
        </w:rPr>
        <w:t>participating in a hostile takeover attempt against the Company;</w:t>
      </w:r>
    </w:p>
    <w:p>
      <w:pPr>
        <w:spacing w:after="0" w:line="238" w:lineRule="exact"/>
        <w:rPr>
          <w:rFonts w:ascii="Arial" w:cs="Arial" w:eastAsia="Arial" w:hAnsi="Arial"/>
          <w:sz w:val="18"/>
          <w:szCs w:val="18"/>
          <w:color w:val="auto"/>
        </w:rPr>
      </w:pPr>
    </w:p>
    <w:p>
      <w:pPr>
        <w:ind w:left="1480" w:hanging="559"/>
        <w:spacing w:after="0"/>
        <w:tabs>
          <w:tab w:leader="none" w:pos="1480" w:val="left"/>
        </w:tabs>
        <w:numPr>
          <w:ilvl w:val="3"/>
          <w:numId w:val="35"/>
        </w:numPr>
        <w:rPr>
          <w:rFonts w:ascii="Arial" w:cs="Arial" w:eastAsia="Arial" w:hAnsi="Arial"/>
          <w:sz w:val="17"/>
          <w:szCs w:val="17"/>
          <w:color w:val="auto"/>
        </w:rPr>
      </w:pPr>
      <w:r>
        <w:rPr>
          <w:rFonts w:ascii="Arial" w:cs="Arial" w:eastAsia="Arial" w:hAnsi="Arial"/>
          <w:sz w:val="17"/>
          <w:szCs w:val="17"/>
          <w:color w:val="auto"/>
        </w:rPr>
        <w:t>a material violation of Company policy, including, without limitation, the Company's insider trading policies; or</w:t>
      </w:r>
    </w:p>
    <w:p>
      <w:pPr>
        <w:spacing w:after="0" w:line="250" w:lineRule="exact"/>
        <w:rPr>
          <w:rFonts w:ascii="Arial" w:cs="Arial" w:eastAsia="Arial" w:hAnsi="Arial"/>
          <w:sz w:val="17"/>
          <w:szCs w:val="17"/>
          <w:color w:val="auto"/>
        </w:rPr>
      </w:pPr>
    </w:p>
    <w:p>
      <w:pPr>
        <w:ind w:left="840" w:right="20" w:firstLine="31"/>
        <w:spacing w:after="0" w:line="261" w:lineRule="auto"/>
        <w:tabs>
          <w:tab w:leader="none" w:pos="1488" w:val="left"/>
        </w:tabs>
        <w:numPr>
          <w:ilvl w:val="3"/>
          <w:numId w:val="35"/>
        </w:numPr>
        <w:rPr>
          <w:rFonts w:ascii="Arial" w:cs="Arial" w:eastAsia="Arial" w:hAnsi="Arial"/>
          <w:sz w:val="18"/>
          <w:szCs w:val="18"/>
          <w:color w:val="auto"/>
        </w:rPr>
      </w:pPr>
      <w:r>
        <w:rPr>
          <w:rFonts w:ascii="Arial" w:cs="Arial" w:eastAsia="Arial" w:hAnsi="Arial"/>
          <w:sz w:val="18"/>
          <w:szCs w:val="18"/>
          <w:color w:val="auto"/>
        </w:rPr>
        <w:t>conduct related to your employment for which you have been convicted of criminal conduct or for which you have been assessed civil penalties.</w:t>
      </w:r>
    </w:p>
    <w:p>
      <w:pPr>
        <w:spacing w:after="0" w:line="197" w:lineRule="exact"/>
        <w:rPr>
          <w:rFonts w:ascii="Arial" w:cs="Arial" w:eastAsia="Arial" w:hAnsi="Arial"/>
          <w:sz w:val="18"/>
          <w:szCs w:val="18"/>
          <w:color w:val="auto"/>
        </w:rPr>
      </w:pPr>
    </w:p>
    <w:p>
      <w:pPr>
        <w:ind w:left="180" w:firstLine="652"/>
        <w:spacing w:after="0" w:line="261" w:lineRule="auto"/>
        <w:tabs>
          <w:tab w:leader="none" w:pos="1466" w:val="left"/>
        </w:tabs>
        <w:numPr>
          <w:ilvl w:val="1"/>
          <w:numId w:val="36"/>
        </w:numPr>
        <w:rPr>
          <w:rFonts w:ascii="Arial" w:cs="Arial" w:eastAsia="Arial" w:hAnsi="Arial"/>
          <w:sz w:val="18"/>
          <w:szCs w:val="18"/>
          <w:color w:val="auto"/>
        </w:rPr>
      </w:pPr>
      <w:r>
        <w:rPr>
          <w:rFonts w:ascii="Arial" w:cs="Arial" w:eastAsia="Arial" w:hAnsi="Arial"/>
          <w:sz w:val="18"/>
          <w:szCs w:val="18"/>
          <w:color w:val="auto"/>
        </w:rPr>
        <w:t>Upon receipt of any Shares pursuant to Section 2 of this Agreement, you agree to certify, if requested by the Company, that you are in compliance with the terms and conditions of this Agreement.</w:t>
      </w:r>
    </w:p>
    <w:p>
      <w:pPr>
        <w:spacing w:after="0" w:line="197" w:lineRule="exact"/>
        <w:rPr>
          <w:rFonts w:ascii="Arial" w:cs="Arial" w:eastAsia="Arial" w:hAnsi="Arial"/>
          <w:sz w:val="18"/>
          <w:szCs w:val="18"/>
          <w:color w:val="auto"/>
        </w:rPr>
      </w:pPr>
    </w:p>
    <w:p>
      <w:pPr>
        <w:ind w:left="180" w:firstLine="652"/>
        <w:spacing w:after="0" w:line="261" w:lineRule="auto"/>
        <w:tabs>
          <w:tab w:leader="none" w:pos="1476" w:val="left"/>
        </w:tabs>
        <w:numPr>
          <w:ilvl w:val="1"/>
          <w:numId w:val="36"/>
        </w:numPr>
        <w:rPr>
          <w:rFonts w:ascii="Arial" w:cs="Arial" w:eastAsia="Arial" w:hAnsi="Arial"/>
          <w:sz w:val="18"/>
          <w:szCs w:val="18"/>
          <w:color w:val="auto"/>
        </w:rPr>
      </w:pPr>
      <w:r>
        <w:rPr>
          <w:rFonts w:ascii="Arial" w:cs="Arial" w:eastAsia="Arial" w:hAnsi="Arial"/>
          <w:sz w:val="18"/>
          <w:szCs w:val="18"/>
          <w:color w:val="auto"/>
        </w:rPr>
        <w:t>You may be released from your obligations under this Section 7 only if the Board or the Committee, or its authorized designee(s), determines in its sole discretion that to do so is in the best interests of the Company.</w:t>
      </w:r>
    </w:p>
    <w:p>
      <w:pPr>
        <w:sectPr>
          <w:pgSz w:w="11900" w:h="16838" w:orient="portrait"/>
          <w:cols w:equalWidth="0" w:num="1">
            <w:col w:w="10120"/>
          </w:cols>
          <w:pgMar w:left="1440" w:top="1174" w:right="339" w:bottom="1440" w:gutter="0" w:footer="0" w:header="0"/>
        </w:sectPr>
      </w:pPr>
    </w:p>
    <w:bookmarkStart w:id="111" w:name="page112"/>
    <w:bookmarkEnd w:id="111"/>
    <w:p>
      <w:pPr>
        <w:jc w:val="both"/>
        <w:ind w:left="-460" w:firstLine="644"/>
        <w:spacing w:after="0" w:line="264" w:lineRule="auto"/>
        <w:tabs>
          <w:tab w:leader="none" w:pos="836"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Restriction on Transfer</w:t>
      </w:r>
      <w:r>
        <w:rPr>
          <w:rFonts w:ascii="Arial" w:cs="Arial" w:eastAsia="Arial" w:hAnsi="Arial"/>
          <w:sz w:val="17"/>
          <w:szCs w:val="17"/>
          <w:color w:val="auto"/>
        </w:rPr>
        <w:t>. RSUs may not be sold, assigned, transferred, pledged, hypothecated or otherwise disposed of by you</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provided under the Plan, and any unauthorized purported sale, assignment, transfer, pledge, hypothecation or other disposition shall be void and unenforceable against the Company. If any RSUs are transferred, this Agreement will be binding upon and inure to the benefit of the heirs, legatees, legal representatives, successors, and assigns of the parties to this Agreement.</w:t>
      </w:r>
    </w:p>
    <w:p>
      <w:pPr>
        <w:spacing w:after="0" w:line="192" w:lineRule="exact"/>
        <w:rPr>
          <w:rFonts w:ascii="Arial" w:cs="Arial" w:eastAsia="Arial" w:hAnsi="Arial"/>
          <w:sz w:val="17"/>
          <w:szCs w:val="17"/>
          <w:color w:val="auto"/>
        </w:rPr>
      </w:pPr>
    </w:p>
    <w:p>
      <w:pPr>
        <w:ind w:left="840" w:hanging="65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Tax Obligations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b w:val="1"/>
          <w:bCs w:val="1"/>
          <w:color w:val="auto"/>
        </w:rPr>
        <w:t>Tax Withholding</w:t>
      </w:r>
      <w:r>
        <w:rPr>
          <w:rFonts w:ascii="Arial" w:cs="Arial" w:eastAsia="Arial" w:hAnsi="Arial"/>
          <w:sz w:val="16"/>
          <w:szCs w:val="16"/>
          <w:color w:val="auto"/>
        </w:rPr>
        <w:t>.</w:t>
      </w:r>
    </w:p>
    <w:p>
      <w:pPr>
        <w:spacing w:after="0" w:line="242" w:lineRule="exact"/>
        <w:rPr>
          <w:rFonts w:ascii="Arial" w:cs="Arial" w:eastAsia="Arial" w:hAnsi="Arial"/>
          <w:sz w:val="18"/>
          <w:szCs w:val="18"/>
          <w:color w:val="auto"/>
        </w:rPr>
      </w:pPr>
    </w:p>
    <w:p>
      <w:pPr>
        <w:jc w:val="both"/>
        <w:ind w:left="840" w:firstLine="221"/>
        <w:spacing w:after="0" w:line="268" w:lineRule="auto"/>
        <w:tabs>
          <w:tab w:leader="none" w:pos="1488" w:val="left"/>
        </w:tabs>
        <w:numPr>
          <w:ilvl w:val="3"/>
          <w:numId w:val="37"/>
        </w:numPr>
        <w:rPr>
          <w:rFonts w:ascii="Arial" w:cs="Arial" w:eastAsia="Arial" w:hAnsi="Arial"/>
          <w:sz w:val="16"/>
          <w:szCs w:val="16"/>
          <w:color w:val="auto"/>
        </w:rPr>
      </w:pPr>
      <w:r>
        <w:rPr>
          <w:rFonts w:ascii="Arial" w:cs="Arial" w:eastAsia="Arial" w:hAnsi="Arial"/>
          <w:sz w:val="16"/>
          <w:szCs w:val="16"/>
          <w:color w:val="auto"/>
        </w:rPr>
        <w:t>No Shares will be issued to you until you make satisfactory arrangements (as determined by the Board or the Committee) for the payment of Tax Withholdings, payment on account or other tax-related items related to your participation in the Plan and legally applicable to you that the Board or the Committee determines must be withheld (“Tax-Related Items”), including those that result from the grant, vesting, or payment of the RSUs, the subsequent sale of Shares acquired pursuant to such payment, or the receipt of any dividends. If you are a non-U.S. employee, the method of payment of Tax-Related Items may be restricted by any Appendix (as defined below). If you fail to make satisfactory arrangements for the payment of any Tax-Related Items under this Agreement when any of these RSUs otherwise are supposed to vest or Tax Related Items related to RSUs otherwise are due, you will permanently forfeit the applicable RSUs and any right to receive Shares under such RSUs, and such RSUs will be returned to the Company at no cost to the Company. For purposes of this Agreement, “Tax Withholdings” means tax, social insurance and social security liability or premium obligations in connection with the RSUs, including, without limitation, (1) all federal, state, and local income, employment and any other taxes (including your U.S. Federal Insurance Contributions Act (FICA) obligation) that are required to be withheld by the Company or applicable Affiliated Company, (2) your fringe benefit tax liability and, to the extent required by the Company, the fringe benefit tax liability of the Company or the applicable Affiliated Company, if any, associated with the grant, vesting, or exercise of the RSUs or sale of Shares issued under the RSUs, and (3) any other taxes or social insurance or social security liabilities RSUs or premium the responsibility for which you have, or have agreed to bear, with respect to the RSUs or the Shares subject to the RSUs (“Tax Withholdings”).</w:t>
      </w:r>
    </w:p>
    <w:p>
      <w:pPr>
        <w:spacing w:after="0" w:line="195" w:lineRule="exact"/>
        <w:rPr>
          <w:rFonts w:ascii="Arial" w:cs="Arial" w:eastAsia="Arial" w:hAnsi="Arial"/>
          <w:sz w:val="16"/>
          <w:szCs w:val="16"/>
          <w:color w:val="auto"/>
        </w:rPr>
      </w:pPr>
    </w:p>
    <w:p>
      <w:pPr>
        <w:jc w:val="both"/>
        <w:ind w:left="840" w:firstLine="171"/>
        <w:spacing w:after="0" w:line="243" w:lineRule="auto"/>
        <w:tabs>
          <w:tab w:leader="none" w:pos="1488" w:val="left"/>
        </w:tabs>
        <w:numPr>
          <w:ilvl w:val="3"/>
          <w:numId w:val="37"/>
        </w:numPr>
        <w:rPr>
          <w:rFonts w:ascii="Arial" w:cs="Arial" w:eastAsia="Arial" w:hAnsi="Arial"/>
          <w:sz w:val="18"/>
          <w:szCs w:val="18"/>
          <w:color w:val="auto"/>
        </w:rPr>
      </w:pPr>
      <w:r>
        <w:rPr>
          <w:rFonts w:ascii="Arial" w:cs="Arial" w:eastAsia="Arial" w:hAnsi="Arial"/>
          <w:sz w:val="18"/>
          <w:szCs w:val="18"/>
          <w:color w:val="auto"/>
        </w:rPr>
        <w:t>The Company has the right (but not the obligation) to satisfy any Tax-Related Items by withholding from proceeds of a sale of Shares acquired upon payment of these RSUs arranged by the Company (on your behalf pursuant to this authorization without further consent), and this will be the method by which such tax withholding obligations are satisfied until the Company determines otherwise, subject to applicable laws.</w:t>
      </w:r>
    </w:p>
    <w:p>
      <w:pPr>
        <w:spacing w:after="0" w:line="214" w:lineRule="exact"/>
        <w:rPr>
          <w:rFonts w:ascii="Arial" w:cs="Arial" w:eastAsia="Arial" w:hAnsi="Arial"/>
          <w:sz w:val="18"/>
          <w:szCs w:val="18"/>
          <w:color w:val="auto"/>
        </w:rPr>
      </w:pPr>
    </w:p>
    <w:p>
      <w:pPr>
        <w:ind w:left="840" w:firstLine="121"/>
        <w:spacing w:after="0" w:line="261" w:lineRule="auto"/>
        <w:tabs>
          <w:tab w:leader="none" w:pos="1488" w:val="left"/>
        </w:tabs>
        <w:numPr>
          <w:ilvl w:val="3"/>
          <w:numId w:val="37"/>
        </w:numPr>
        <w:rPr>
          <w:rFonts w:ascii="Arial" w:cs="Arial" w:eastAsia="Arial" w:hAnsi="Arial"/>
          <w:sz w:val="18"/>
          <w:szCs w:val="18"/>
          <w:color w:val="auto"/>
        </w:rPr>
      </w:pPr>
      <w:r>
        <w:rPr>
          <w:rFonts w:ascii="Arial" w:cs="Arial" w:eastAsia="Arial" w:hAnsi="Arial"/>
          <w:sz w:val="18"/>
          <w:szCs w:val="18"/>
          <w:color w:val="auto"/>
        </w:rPr>
        <w:t>The Company also has the right (but not the obligation) to satisfy any Tax-Related Items by reducing the number of Shares otherwise deliverable to you).</w:t>
      </w:r>
    </w:p>
    <w:p>
      <w:pPr>
        <w:spacing w:after="0" w:line="197" w:lineRule="exact"/>
        <w:rPr>
          <w:rFonts w:ascii="Arial" w:cs="Arial" w:eastAsia="Arial" w:hAnsi="Arial"/>
          <w:sz w:val="18"/>
          <w:szCs w:val="18"/>
          <w:color w:val="auto"/>
        </w:rPr>
      </w:pPr>
    </w:p>
    <w:p>
      <w:pPr>
        <w:jc w:val="both"/>
        <w:ind w:left="840" w:firstLine="131"/>
        <w:spacing w:after="0" w:line="270" w:lineRule="auto"/>
        <w:tabs>
          <w:tab w:leader="none" w:pos="1476" w:val="left"/>
        </w:tabs>
        <w:numPr>
          <w:ilvl w:val="2"/>
          <w:numId w:val="37"/>
        </w:numPr>
        <w:rPr>
          <w:rFonts w:ascii="Arial" w:cs="Arial" w:eastAsia="Arial" w:hAnsi="Arial"/>
          <w:sz w:val="17"/>
          <w:szCs w:val="17"/>
          <w:color w:val="auto"/>
        </w:rPr>
      </w:pPr>
      <w:r>
        <w:rPr>
          <w:rFonts w:ascii="Arial" w:cs="Arial" w:eastAsia="Arial" w:hAnsi="Arial"/>
          <w:sz w:val="17"/>
          <w:szCs w:val="17"/>
          <w:color w:val="auto"/>
        </w:rPr>
        <w:t>Further, if you are subject to taxation in more than one jurisdiction between the Date of Grant and the date of any relevant taxable or tax withholding event, the Company and/or any Affiliated Company for whom you are performing services (each, an “Employer”) or former Employer(s) may withhold or account for tax in more than one jurisdiction.</w:t>
      </w:r>
    </w:p>
    <w:p>
      <w:pPr>
        <w:spacing w:after="0" w:line="190" w:lineRule="exact"/>
        <w:rPr>
          <w:rFonts w:ascii="Arial" w:cs="Arial" w:eastAsia="Arial" w:hAnsi="Arial"/>
          <w:sz w:val="17"/>
          <w:szCs w:val="17"/>
          <w:color w:val="auto"/>
        </w:rPr>
      </w:pPr>
    </w:p>
    <w:p>
      <w:pPr>
        <w:jc w:val="both"/>
        <w:ind w:left="840" w:firstLine="181"/>
        <w:spacing w:after="0" w:line="243" w:lineRule="auto"/>
        <w:tabs>
          <w:tab w:leader="none" w:pos="1523" w:val="left"/>
        </w:tabs>
        <w:numPr>
          <w:ilvl w:val="2"/>
          <w:numId w:val="37"/>
        </w:numPr>
        <w:rPr>
          <w:rFonts w:ascii="Arial" w:cs="Arial" w:eastAsia="Arial" w:hAnsi="Arial"/>
          <w:sz w:val="18"/>
          <w:szCs w:val="18"/>
          <w:color w:val="auto"/>
        </w:rPr>
      </w:pPr>
      <w:r>
        <w:rPr>
          <w:rFonts w:ascii="Arial" w:cs="Arial" w:eastAsia="Arial" w:hAnsi="Arial"/>
          <w:sz w:val="18"/>
          <w:szCs w:val="18"/>
          <w:color w:val="auto"/>
        </w:rPr>
        <w:t>of any action of the Company or the Employer(s), you acknowledge that the ultimate liability for all Tax-Related Items is and remains your responsibility and may exceed the amount actually withheld by the Company or the Employer(s). You further acknowledge that the Company and the Employer(s) (1) make no representations or undertakings regarding the treatment of any Tax-Related Items in connection with any aspect of these RSUs</w:t>
      </w:r>
    </w:p>
    <w:p>
      <w:pPr>
        <w:sectPr>
          <w:pgSz w:w="11900" w:h="16838" w:orient="portrait"/>
          <w:cols w:equalWidth="0" w:num="1">
            <w:col w:w="10120"/>
          </w:cols>
          <w:pgMar w:left="1440" w:top="931" w:right="339" w:bottom="1440" w:gutter="0" w:footer="0" w:header="0"/>
        </w:sectPr>
      </w:pPr>
    </w:p>
    <w:bookmarkStart w:id="112" w:name="page113"/>
    <w:bookmarkEnd w:id="112"/>
    <w:p>
      <w:pPr>
        <w:ind w:left="840"/>
        <w:spacing w:after="0" w:line="261" w:lineRule="auto"/>
        <w:rPr>
          <w:sz w:val="20"/>
          <w:szCs w:val="20"/>
          <w:color w:val="auto"/>
        </w:rPr>
      </w:pPr>
      <w:r>
        <w:rPr>
          <w:rFonts w:ascii="Arial" w:cs="Arial" w:eastAsia="Arial" w:hAnsi="Arial"/>
          <w:sz w:val="18"/>
          <w:szCs w:val="18"/>
          <w:color w:val="auto"/>
        </w:rPr>
        <w:t>and (2) do not commit to and are under no obligation to structure the terms of the grant or any aspect of these RSUs to reduce or eliminate your liability for Tax-Related Items or achieve any particular tax result.</w:t>
      </w:r>
    </w:p>
    <w:p>
      <w:pPr>
        <w:spacing w:after="0" w:line="194" w:lineRule="exact"/>
        <w:rPr>
          <w:sz w:val="20"/>
          <w:szCs w:val="20"/>
          <w:color w:val="auto"/>
        </w:rPr>
      </w:pPr>
    </w:p>
    <w:p>
      <w:pPr>
        <w:ind w:left="1480" w:hanging="648"/>
        <w:spacing w:after="0"/>
        <w:tabs>
          <w:tab w:leader="none" w:pos="1480" w:val="left"/>
        </w:tabs>
        <w:numPr>
          <w:ilvl w:val="1"/>
          <w:numId w:val="38"/>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This Section 9(b) does not apply if you are not a U.S. income taxpayer.</w:t>
      </w:r>
    </w:p>
    <w:p>
      <w:pPr>
        <w:spacing w:after="0" w:line="242" w:lineRule="exact"/>
        <w:rPr>
          <w:rFonts w:ascii="Arial" w:cs="Arial" w:eastAsia="Arial" w:hAnsi="Arial"/>
          <w:sz w:val="18"/>
          <w:szCs w:val="18"/>
          <w:color w:val="auto"/>
        </w:rPr>
      </w:pPr>
    </w:p>
    <w:p>
      <w:pPr>
        <w:jc w:val="both"/>
        <w:ind w:left="840" w:firstLine="221"/>
        <w:spacing w:after="0" w:line="241" w:lineRule="auto"/>
        <w:tabs>
          <w:tab w:leader="none" w:pos="1488" w:val="left"/>
        </w:tabs>
        <w:numPr>
          <w:ilvl w:val="3"/>
          <w:numId w:val="38"/>
        </w:numPr>
        <w:rPr>
          <w:rFonts w:ascii="Arial" w:cs="Arial" w:eastAsia="Arial" w:hAnsi="Arial"/>
          <w:sz w:val="18"/>
          <w:szCs w:val="18"/>
          <w:color w:val="auto"/>
        </w:rPr>
      </w:pPr>
      <w:r>
        <w:rPr>
          <w:rFonts w:ascii="Arial" w:cs="Arial" w:eastAsia="Arial" w:hAnsi="Arial"/>
          <w:sz w:val="18"/>
          <w:szCs w:val="18"/>
          <w:color w:val="auto"/>
        </w:rPr>
        <w:t>If the vesting of any RSUs is accelerated in connection with a termination of your status as an Associate that is a “separation from service” within the meaning of Code Section 409A and (x) you are a “specified employee” within the meaning of Code Section 409A at that time and (y) the payment of such accelerated RSUs would result in the imposition of additional tax under Code Section 409A if paid to you within the 6-month period following such termination, then the accelerated RSUs will not be paid until the first day after the 6-month period ends.</w:t>
      </w:r>
    </w:p>
    <w:p>
      <w:pPr>
        <w:spacing w:after="0" w:line="216" w:lineRule="exact"/>
        <w:rPr>
          <w:rFonts w:ascii="Arial" w:cs="Arial" w:eastAsia="Arial" w:hAnsi="Arial"/>
          <w:sz w:val="18"/>
          <w:szCs w:val="18"/>
          <w:color w:val="auto"/>
        </w:rPr>
      </w:pPr>
    </w:p>
    <w:p>
      <w:pPr>
        <w:jc w:val="both"/>
        <w:ind w:left="840" w:firstLine="171"/>
        <w:spacing w:after="0" w:line="248" w:lineRule="auto"/>
        <w:tabs>
          <w:tab w:leader="none" w:pos="1488" w:val="left"/>
        </w:tabs>
        <w:numPr>
          <w:ilvl w:val="3"/>
          <w:numId w:val="38"/>
        </w:numPr>
        <w:rPr>
          <w:rFonts w:ascii="Arial" w:cs="Arial" w:eastAsia="Arial" w:hAnsi="Arial"/>
          <w:sz w:val="18"/>
          <w:szCs w:val="18"/>
          <w:color w:val="auto"/>
        </w:rPr>
      </w:pPr>
      <w:r>
        <w:rPr>
          <w:rFonts w:ascii="Arial" w:cs="Arial" w:eastAsia="Arial" w:hAnsi="Arial"/>
          <w:sz w:val="18"/>
          <w:szCs w:val="18"/>
          <w:color w:val="auto"/>
        </w:rPr>
        <w:t>If your status as an Associate terminates due to death or you die after you stop being an Associate, the delay under Section 9(b)(i) of this Agreement will not apply, and these RSUs will be paid in Shares to your estate (or such other person as specified in Section 6 above) as soon as practicable.</w:t>
      </w:r>
    </w:p>
    <w:p>
      <w:pPr>
        <w:spacing w:after="0" w:line="208" w:lineRule="exact"/>
        <w:rPr>
          <w:rFonts w:ascii="Arial" w:cs="Arial" w:eastAsia="Arial" w:hAnsi="Arial"/>
          <w:sz w:val="18"/>
          <w:szCs w:val="18"/>
          <w:color w:val="auto"/>
        </w:rPr>
      </w:pPr>
    </w:p>
    <w:p>
      <w:pPr>
        <w:jc w:val="both"/>
        <w:ind w:left="840" w:firstLine="121"/>
        <w:spacing w:after="0"/>
        <w:tabs>
          <w:tab w:leader="none" w:pos="1488" w:val="left"/>
        </w:tabs>
        <w:numPr>
          <w:ilvl w:val="3"/>
          <w:numId w:val="38"/>
        </w:numPr>
        <w:rPr>
          <w:rFonts w:ascii="Arial" w:cs="Arial" w:eastAsia="Arial" w:hAnsi="Arial"/>
          <w:sz w:val="18"/>
          <w:szCs w:val="18"/>
          <w:color w:val="auto"/>
        </w:rPr>
      </w:pPr>
      <w:r>
        <w:rPr>
          <w:rFonts w:ascii="Arial" w:cs="Arial" w:eastAsia="Arial" w:hAnsi="Arial"/>
          <w:sz w:val="18"/>
          <w:szCs w:val="18"/>
          <w:color w:val="auto"/>
        </w:rPr>
        <w:t>All payments and benefits under this Agreement are intended to be exempt from Code Section 409A or comply with any requirements necessary to avoid the imposition of additional tax under Code Section 409A(a)(1)(B) so that none of these RSUs or Shares issuable upon the vesting of RSUs will be subject to the additional tax imposed under Code Section 409A, and any ambiguities or ambiguous terms will be interpreted according to that intent. In no event will the Company or any Affiliated Company have any obligation or liability to reimburse, indemnify, or hold you harmless for any taxes imposed, or other costs incurred, as a result of Code Section 409A.</w:t>
      </w:r>
    </w:p>
    <w:p>
      <w:pPr>
        <w:spacing w:after="0" w:line="216" w:lineRule="exact"/>
        <w:rPr>
          <w:rFonts w:ascii="Arial" w:cs="Arial" w:eastAsia="Arial" w:hAnsi="Arial"/>
          <w:sz w:val="18"/>
          <w:szCs w:val="18"/>
          <w:color w:val="auto"/>
        </w:rPr>
      </w:pPr>
    </w:p>
    <w:p>
      <w:pPr>
        <w:ind w:left="1460" w:hanging="489"/>
        <w:spacing w:after="0"/>
        <w:tabs>
          <w:tab w:leader="none" w:pos="1460" w:val="left"/>
        </w:tabs>
        <w:numPr>
          <w:ilvl w:val="2"/>
          <w:numId w:val="38"/>
        </w:numPr>
        <w:rPr>
          <w:rFonts w:ascii="Arial" w:cs="Arial" w:eastAsia="Arial" w:hAnsi="Arial"/>
          <w:sz w:val="17"/>
          <w:szCs w:val="17"/>
          <w:color w:val="auto"/>
        </w:rPr>
      </w:pPr>
      <w:r>
        <w:rPr>
          <w:rFonts w:ascii="Arial" w:cs="Arial" w:eastAsia="Arial" w:hAnsi="Arial"/>
          <w:sz w:val="17"/>
          <w:szCs w:val="17"/>
          <w:color w:val="auto"/>
        </w:rPr>
        <w:t>Each payment under this Agreement is a separate payment under Treasury Regulations Section 1.409A-2(b)(2).</w:t>
      </w:r>
    </w:p>
    <w:p>
      <w:pPr>
        <w:spacing w:after="0" w:line="246" w:lineRule="exact"/>
        <w:rPr>
          <w:rFonts w:ascii="Arial" w:cs="Arial" w:eastAsia="Arial" w:hAnsi="Arial"/>
          <w:sz w:val="17"/>
          <w:szCs w:val="17"/>
          <w:color w:val="auto"/>
        </w:rPr>
      </w:pPr>
    </w:p>
    <w:p>
      <w:pPr>
        <w:ind w:left="820" w:hanging="636"/>
        <w:spacing w:after="0"/>
        <w:tabs>
          <w:tab w:leader="none" w:pos="820" w:val="left"/>
        </w:tabs>
        <w:numPr>
          <w:ilvl w:val="0"/>
          <w:numId w:val="39"/>
        </w:numPr>
        <w:rPr>
          <w:rFonts w:ascii="Arial" w:cs="Arial" w:eastAsia="Arial" w:hAnsi="Arial"/>
          <w:sz w:val="18"/>
          <w:szCs w:val="18"/>
          <w:color w:val="auto"/>
        </w:rPr>
      </w:pPr>
      <w:r>
        <w:rPr>
          <w:rFonts w:ascii="Arial" w:cs="Arial" w:eastAsia="Arial" w:hAnsi="Arial"/>
          <w:sz w:val="18"/>
          <w:szCs w:val="18"/>
          <w:b w:val="1"/>
          <w:bCs w:val="1"/>
          <w:color w:val="auto"/>
        </w:rPr>
        <w:t>Acknowledgments and Agreements</w:t>
      </w:r>
      <w:r>
        <w:rPr>
          <w:rFonts w:ascii="Arial" w:cs="Arial" w:eastAsia="Arial" w:hAnsi="Arial"/>
          <w:sz w:val="18"/>
          <w:szCs w:val="18"/>
          <w:color w:val="auto"/>
        </w:rPr>
        <w:t>. Your signature on the Notice accepting these RSUs indicates that:</w:t>
      </w:r>
    </w:p>
    <w:p>
      <w:pPr>
        <w:spacing w:after="0" w:line="242" w:lineRule="exact"/>
        <w:rPr>
          <w:rFonts w:ascii="Arial" w:cs="Arial" w:eastAsia="Arial" w:hAnsi="Arial"/>
          <w:sz w:val="18"/>
          <w:szCs w:val="18"/>
          <w:color w:val="auto"/>
        </w:rPr>
      </w:pPr>
    </w:p>
    <w:p>
      <w:pPr>
        <w:jc w:val="both"/>
        <w:ind w:left="180" w:firstLine="652"/>
        <w:spacing w:after="0" w:line="248" w:lineRule="auto"/>
        <w:tabs>
          <w:tab w:leader="none" w:pos="14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 ACKNOWLEDGE AND AGREE THAT THE VESTING OF THESE RSUs IS EARNED ONLY BY CONTINUING AS AN ASSOCIATE AND THAT BEING HIRED OR BEING GRANTED THESE RSUs WILL NOT RESULT IN VESTING.</w:t>
      </w:r>
    </w:p>
    <w:p>
      <w:pPr>
        <w:spacing w:after="0" w:line="208" w:lineRule="exact"/>
        <w:rPr>
          <w:rFonts w:ascii="Arial" w:cs="Arial" w:eastAsia="Arial" w:hAnsi="Arial"/>
          <w:sz w:val="18"/>
          <w:szCs w:val="18"/>
          <w:color w:val="auto"/>
        </w:rPr>
      </w:pPr>
    </w:p>
    <w:p>
      <w:pPr>
        <w:jc w:val="both"/>
        <w:ind w:left="180" w:firstLine="652"/>
        <w:spacing w:after="0" w:line="241" w:lineRule="auto"/>
        <w:tabs>
          <w:tab w:leader="none" w:pos="14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YOU FURTHER ACKNOWLEDGE AND AGREE THAT THESE RSUs AND THIS AGREEMENT DO NOT CREATE AN EXPRESS OR IMPLIED PROMISE OF CONTINUED ENGAGEMENT AS AN ASSOCIATE FOR THE VESTING PERIOD, FOR ANY PERIOD, OR AT ALL AND WILL NOT INTERFERE IN ANY WAY WITH YOUR RIGHT OR THE RIGHT OF THE EMPLOYER(S) TO TERMINATE YOUR RELATIONSHIP AS AN ASSOCIATE AT ANY TIME, WITH OR WITHOUT CAUSE, SUBJECT TO APPLICABLE LAWS.</w:t>
      </w:r>
    </w:p>
    <w:p>
      <w:pPr>
        <w:spacing w:after="0" w:line="216" w:lineRule="exact"/>
        <w:rPr>
          <w:rFonts w:ascii="Arial" w:cs="Arial" w:eastAsia="Arial" w:hAnsi="Arial"/>
          <w:sz w:val="18"/>
          <w:szCs w:val="18"/>
          <w:color w:val="auto"/>
        </w:rPr>
      </w:pPr>
    </w:p>
    <w:p>
      <w:pPr>
        <w:ind w:left="180" w:right="20" w:firstLine="652"/>
        <w:spacing w:after="0" w:line="324" w:lineRule="auto"/>
        <w:tabs>
          <w:tab w:leader="none" w:pos="1466" w:val="left"/>
        </w:tabs>
        <w:numPr>
          <w:ilvl w:val="1"/>
          <w:numId w:val="39"/>
        </w:numPr>
        <w:rPr>
          <w:rFonts w:ascii="Arial" w:cs="Arial" w:eastAsia="Arial" w:hAnsi="Arial"/>
          <w:sz w:val="16"/>
          <w:szCs w:val="16"/>
          <w:color w:val="auto"/>
        </w:rPr>
      </w:pPr>
      <w:r>
        <w:rPr>
          <w:rFonts w:ascii="Arial" w:cs="Arial" w:eastAsia="Arial" w:hAnsi="Arial"/>
          <w:sz w:val="16"/>
          <w:szCs w:val="16"/>
          <w:color w:val="auto"/>
        </w:rPr>
        <w:t>You agree that this Agreement and its incorporated documents reflect all agreements on its subject matters and that you are not accepting this Agreement based on any promises, representations, or inducements other than those reflected in this Agreement.</w:t>
      </w:r>
    </w:p>
    <w:p>
      <w:pPr>
        <w:spacing w:after="0" w:line="151" w:lineRule="exact"/>
        <w:rPr>
          <w:rFonts w:ascii="Arial" w:cs="Arial" w:eastAsia="Arial" w:hAnsi="Arial"/>
          <w:sz w:val="16"/>
          <w:szCs w:val="16"/>
          <w:color w:val="auto"/>
        </w:rPr>
      </w:pPr>
    </w:p>
    <w:p>
      <w:pPr>
        <w:jc w:val="both"/>
        <w:ind w:left="180" w:firstLine="652"/>
        <w:spacing w:after="0" w:line="284" w:lineRule="auto"/>
        <w:tabs>
          <w:tab w:leader="none" w:pos="1476" w:val="left"/>
        </w:tabs>
        <w:numPr>
          <w:ilvl w:val="1"/>
          <w:numId w:val="39"/>
        </w:numPr>
        <w:rPr>
          <w:rFonts w:ascii="Arial" w:cs="Arial" w:eastAsia="Arial" w:hAnsi="Arial"/>
          <w:sz w:val="16"/>
          <w:szCs w:val="16"/>
          <w:color w:val="auto"/>
        </w:rPr>
      </w:pPr>
      <w:r>
        <w:rPr>
          <w:rFonts w:ascii="Arial" w:cs="Arial" w:eastAsia="Arial" w:hAnsi="Arial"/>
          <w:sz w:val="16"/>
          <w:szCs w:val="16"/>
          <w:color w:val="auto"/>
        </w:rPr>
        <w:t>You agree that the Company’s delivery of any documents related to the Plan or these RSUs (including the Plan, this Agreement, the Plan’s prospectus, and any reports of the Company provided generally to the Company’s stockholders) to you may be made by electronic delivery, which may include but does not necessarily include the delivery of a link to a Company intranet or to the Internet site of a third party involved in administering the Plan, the delivery of the document via email, or any other means of</w:t>
      </w:r>
    </w:p>
    <w:p>
      <w:pPr>
        <w:sectPr>
          <w:pgSz w:w="11900" w:h="16838" w:orient="portrait"/>
          <w:cols w:equalWidth="0" w:num="1">
            <w:col w:w="10120"/>
          </w:cols>
          <w:pgMar w:left="1440" w:top="935" w:right="339" w:bottom="1440" w:gutter="0" w:footer="0" w:header="0"/>
        </w:sectPr>
      </w:pPr>
    </w:p>
    <w:bookmarkStart w:id="113" w:name="page114"/>
    <w:bookmarkEnd w:id="113"/>
    <w:p>
      <w:pPr>
        <w:jc w:val="both"/>
        <w:ind w:left="180"/>
        <w:spacing w:after="0" w:line="239" w:lineRule="auto"/>
        <w:rPr>
          <w:sz w:val="20"/>
          <w:szCs w:val="20"/>
          <w:color w:val="auto"/>
        </w:rPr>
      </w:pPr>
      <w:r>
        <w:rPr>
          <w:rFonts w:ascii="Arial" w:cs="Arial" w:eastAsia="Arial" w:hAnsi="Arial"/>
          <w:sz w:val="18"/>
          <w:szCs w:val="18"/>
          <w:color w:val="auto"/>
        </w:rPr>
        <w:t>electronic delivery specified by the Company. If the attempted electronic delivery of such documents fails, you will be provided with a paper copy of the documents. You acknowledge that you may receive from the Company a paper copy of any documents that were delivered electronically at no cost to you by contacting the Company by telephone or in writing. You may revoke your consent to the electronic delivery of documents or may change the electronic mail address to which such documents are to be delivered (if you have provided an electronic mail address) at any time by notifying the Company of such revoked consent or revised e mail address by telephone, postal service or electronic mail. Finally, you understand that you are not required to consent to electronic delivery of documents.</w:t>
      </w:r>
    </w:p>
    <w:p>
      <w:pPr>
        <w:spacing w:after="0" w:line="218" w:lineRule="exact"/>
        <w:rPr>
          <w:sz w:val="20"/>
          <w:szCs w:val="20"/>
          <w:color w:val="auto"/>
        </w:rPr>
      </w:pPr>
    </w:p>
    <w:p>
      <w:pPr>
        <w:jc w:val="both"/>
        <w:ind w:left="180" w:firstLine="652"/>
        <w:spacing w:after="0" w:line="248" w:lineRule="auto"/>
        <w:tabs>
          <w:tab w:leader="none" w:pos="146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may deliver any documents related to the Plan or these RSUs to the Company by e-mail or any other means of electronic delivery approved by the Board or the Committee, but you must provide the Company or any designated third party administrator with a paper copy of any documents if your attempted electronic delivery of such documents fails.</w:t>
      </w:r>
    </w:p>
    <w:p>
      <w:pPr>
        <w:spacing w:after="0" w:line="208" w:lineRule="exact"/>
        <w:rPr>
          <w:rFonts w:ascii="Arial" w:cs="Arial" w:eastAsia="Arial" w:hAnsi="Arial"/>
          <w:sz w:val="18"/>
          <w:szCs w:val="18"/>
          <w:color w:val="auto"/>
        </w:rPr>
      </w:pPr>
    </w:p>
    <w:p>
      <w:pPr>
        <w:jc w:val="both"/>
        <w:ind w:left="180" w:firstLine="652"/>
        <w:spacing w:after="0" w:line="248" w:lineRule="auto"/>
        <w:tabs>
          <w:tab w:leader="none" w:pos="1473"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accept that all good faith decisions or interpretations of the Board or the Committee regarding the Plan and these RSUs are binding, conclusive, and final. No member of the Board or the Committee will be personally liable for any such decisions or interpretations.</w:t>
      </w:r>
    </w:p>
    <w:p>
      <w:pPr>
        <w:spacing w:after="0" w:line="208" w:lineRule="exact"/>
        <w:rPr>
          <w:rFonts w:ascii="Arial" w:cs="Arial" w:eastAsia="Arial" w:hAnsi="Arial"/>
          <w:sz w:val="18"/>
          <w:szCs w:val="18"/>
          <w:color w:val="auto"/>
        </w:rPr>
      </w:pPr>
    </w:p>
    <w:p>
      <w:pPr>
        <w:ind w:left="180" w:firstLine="652"/>
        <w:spacing w:after="0" w:line="261" w:lineRule="auto"/>
        <w:tabs>
          <w:tab w:leader="none" w:pos="14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the Plan is established voluntarily by the Company, is discretionary in nature, and may be amended, suspended, or terminated by the Company at any time, to the extent permitted by the Plan.</w:t>
      </w:r>
    </w:p>
    <w:p>
      <w:pPr>
        <w:spacing w:after="0" w:line="197" w:lineRule="exact"/>
        <w:rPr>
          <w:rFonts w:ascii="Arial" w:cs="Arial" w:eastAsia="Arial" w:hAnsi="Arial"/>
          <w:sz w:val="18"/>
          <w:szCs w:val="18"/>
          <w:color w:val="auto"/>
        </w:rPr>
      </w:pPr>
    </w:p>
    <w:p>
      <w:pPr>
        <w:jc w:val="both"/>
        <w:ind w:left="180" w:firstLine="652"/>
        <w:spacing w:after="0" w:line="248" w:lineRule="auto"/>
        <w:tabs>
          <w:tab w:leader="none" w:pos="14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the grant of Awards is voluntary and occasional and does not create any contractual or other right to receive future grants of restricted stock units or benefits in lieu of restricted stock units, even if restricted stock units have been granted in the past.</w:t>
      </w:r>
    </w:p>
    <w:p>
      <w:pPr>
        <w:spacing w:after="0" w:line="208" w:lineRule="exact"/>
        <w:rPr>
          <w:rFonts w:ascii="Arial" w:cs="Arial" w:eastAsia="Arial" w:hAnsi="Arial"/>
          <w:sz w:val="18"/>
          <w:szCs w:val="18"/>
          <w:color w:val="auto"/>
        </w:rPr>
      </w:pPr>
    </w:p>
    <w:p>
      <w:pPr>
        <w:ind w:left="1460" w:hanging="628"/>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any decisions regarding future Awards will be in the Company’s sole discretion.</w:t>
      </w:r>
    </w:p>
    <w:p>
      <w:pPr>
        <w:spacing w:after="0" w:line="238" w:lineRule="exact"/>
        <w:rPr>
          <w:rFonts w:ascii="Arial" w:cs="Arial" w:eastAsia="Arial" w:hAnsi="Arial"/>
          <w:sz w:val="18"/>
          <w:szCs w:val="18"/>
          <w:color w:val="auto"/>
        </w:rPr>
      </w:pPr>
    </w:p>
    <w:p>
      <w:pPr>
        <w:ind w:left="1460" w:hanging="628"/>
        <w:spacing w:after="0"/>
        <w:tabs>
          <w:tab w:leader="none" w:pos="1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you are voluntarily participating in the Plan.</w:t>
      </w:r>
    </w:p>
    <w:p>
      <w:pPr>
        <w:spacing w:after="0" w:line="238" w:lineRule="exact"/>
        <w:rPr>
          <w:rFonts w:ascii="Arial" w:cs="Arial" w:eastAsia="Arial" w:hAnsi="Arial"/>
          <w:sz w:val="18"/>
          <w:szCs w:val="18"/>
          <w:color w:val="auto"/>
        </w:rPr>
      </w:pPr>
    </w:p>
    <w:p>
      <w:pPr>
        <w:ind w:left="1480" w:hanging="648"/>
        <w:spacing w:after="0"/>
        <w:tabs>
          <w:tab w:leader="none" w:pos="14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You agree that these RSUs and any Shares acquired under these RSUs are not intended to replace any pension rights or</w:t>
      </w:r>
    </w:p>
    <w:p>
      <w:pPr>
        <w:spacing w:after="0" w:line="34"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compensation.</w:t>
      </w:r>
    </w:p>
    <w:p>
      <w:pPr>
        <w:spacing w:after="0" w:line="222" w:lineRule="exact"/>
        <w:rPr>
          <w:rFonts w:ascii="Arial" w:cs="Arial" w:eastAsia="Arial" w:hAnsi="Arial"/>
          <w:sz w:val="16"/>
          <w:szCs w:val="16"/>
          <w:color w:val="auto"/>
        </w:rPr>
      </w:pPr>
    </w:p>
    <w:p>
      <w:pPr>
        <w:jc w:val="both"/>
        <w:ind w:left="180" w:firstLine="652"/>
        <w:spacing w:after="0" w:line="294" w:lineRule="auto"/>
        <w:tabs>
          <w:tab w:leader="none" w:pos="1463" w:val="left"/>
        </w:tabs>
        <w:numPr>
          <w:ilvl w:val="0"/>
          <w:numId w:val="40"/>
        </w:numPr>
        <w:rPr>
          <w:rFonts w:ascii="Arial" w:cs="Arial" w:eastAsia="Arial" w:hAnsi="Arial"/>
          <w:sz w:val="16"/>
          <w:szCs w:val="16"/>
          <w:color w:val="auto"/>
        </w:rPr>
      </w:pPr>
      <w:r>
        <w:rPr>
          <w:rFonts w:ascii="Arial" w:cs="Arial" w:eastAsia="Arial" w:hAnsi="Arial"/>
          <w:sz w:val="16"/>
          <w:szCs w:val="16"/>
          <w:color w:val="auto"/>
        </w:rPr>
        <w:t>You agree that these RSUs, any Shares acquired under these RSUs,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w:t>
      </w:r>
    </w:p>
    <w:p>
      <w:pPr>
        <w:spacing w:after="0" w:line="174" w:lineRule="exact"/>
        <w:rPr>
          <w:rFonts w:ascii="Arial" w:cs="Arial" w:eastAsia="Arial" w:hAnsi="Arial"/>
          <w:sz w:val="16"/>
          <w:szCs w:val="16"/>
          <w:color w:val="auto"/>
        </w:rPr>
      </w:pPr>
    </w:p>
    <w:p>
      <w:pPr>
        <w:ind w:left="180" w:firstLine="652"/>
        <w:spacing w:after="0" w:line="261" w:lineRule="auto"/>
        <w:tabs>
          <w:tab w:leader="none" w:pos="1472"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the future value of the Shares underlying these RSUs is unknown, indeterminable, and cannot be predicted with certainty.</w:t>
      </w:r>
    </w:p>
    <w:p>
      <w:pPr>
        <w:spacing w:after="0" w:line="197" w:lineRule="exact"/>
        <w:rPr>
          <w:rFonts w:ascii="Arial" w:cs="Arial" w:eastAsia="Arial" w:hAnsi="Arial"/>
          <w:sz w:val="18"/>
          <w:szCs w:val="18"/>
          <w:color w:val="auto"/>
        </w:rPr>
      </w:pPr>
    </w:p>
    <w:p>
      <w:pPr>
        <w:jc w:val="both"/>
        <w:ind w:left="180" w:firstLine="652"/>
        <w:spacing w:after="0" w:line="241" w:lineRule="auto"/>
        <w:tabs>
          <w:tab w:leader="none" w:pos="14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for purposes of these RSUs, your engagement as an Associate is terminated as of the date your service relationship with the Company or any Affiliated Company is terminated (regardless of the reason for such termination and whether or not the termination is later found to be invalid or in breach of employment laws in the jurisdiction where you are providing services to the Company or any Affiliated Company or the terms of your service agreement, if any), unless otherwise expressly provided in this Agreement or determined by the Board or the Committee.</w:t>
      </w:r>
    </w:p>
    <w:p>
      <w:pPr>
        <w:spacing w:after="0" w:line="216" w:lineRule="exact"/>
        <w:rPr>
          <w:rFonts w:ascii="Arial" w:cs="Arial" w:eastAsia="Arial" w:hAnsi="Arial"/>
          <w:sz w:val="18"/>
          <w:szCs w:val="18"/>
          <w:color w:val="auto"/>
        </w:rPr>
      </w:pPr>
    </w:p>
    <w:p>
      <w:pPr>
        <w:jc w:val="both"/>
        <w:ind w:left="180" w:firstLine="652"/>
        <w:spacing w:after="0" w:line="243" w:lineRule="auto"/>
        <w:tabs>
          <w:tab w:leader="none" w:pos="1476"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agree that any right to vest in these RSUs will be extended by any notice period (e.g., the period that you are an Associate would include any contractual notice period or any period of “garden leave” or similar period mandated under employment laws (including common law, if applicable) in the jurisdiction where you are an Associate or by your service agreement or employment agreement, if any) and your</w:t>
      </w:r>
    </w:p>
    <w:p>
      <w:pPr>
        <w:sectPr>
          <w:pgSz w:w="11900" w:h="16838" w:orient="portrait"/>
          <w:cols w:equalWidth="0" w:num="1">
            <w:col w:w="10120"/>
          </w:cols>
          <w:pgMar w:left="1440" w:top="935" w:right="339" w:bottom="1440" w:gutter="0" w:footer="0" w:header="0"/>
        </w:sectPr>
      </w:pPr>
    </w:p>
    <w:bookmarkStart w:id="114" w:name="page115"/>
    <w:bookmarkEnd w:id="114"/>
    <w:p>
      <w:pPr>
        <w:ind w:left="180" w:right="20"/>
        <w:spacing w:after="0" w:line="261" w:lineRule="auto"/>
        <w:rPr>
          <w:sz w:val="20"/>
          <w:szCs w:val="20"/>
          <w:color w:val="auto"/>
        </w:rPr>
      </w:pPr>
      <w:r>
        <w:rPr>
          <w:rFonts w:ascii="Arial" w:cs="Arial" w:eastAsia="Arial" w:hAnsi="Arial"/>
          <w:sz w:val="18"/>
          <w:szCs w:val="18"/>
          <w:color w:val="auto"/>
        </w:rPr>
        <w:t>termination date will not occur until the end of such period, unless otherwise expressly provided in this Agreement or determined by the Board or the Committee or required by applicable law.</w:t>
      </w:r>
    </w:p>
    <w:p>
      <w:pPr>
        <w:spacing w:after="0" w:line="198" w:lineRule="exact"/>
        <w:rPr>
          <w:sz w:val="20"/>
          <w:szCs w:val="20"/>
          <w:color w:val="auto"/>
        </w:rPr>
      </w:pPr>
    </w:p>
    <w:p>
      <w:pPr>
        <w:jc w:val="both"/>
        <w:ind w:left="180" w:firstLine="652"/>
        <w:spacing w:after="0" w:line="248" w:lineRule="auto"/>
        <w:tabs>
          <w:tab w:leader="none" w:pos="1476"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agree that the Board or the Committee has the exclusive discretion to determine when you are no longer actively providing services for purposes of these RSUs (including whether you are still considered to be providing services while on a leave of absence).</w:t>
      </w:r>
    </w:p>
    <w:p>
      <w:pPr>
        <w:spacing w:after="0" w:line="208" w:lineRule="exact"/>
        <w:rPr>
          <w:rFonts w:ascii="Arial" w:cs="Arial" w:eastAsia="Arial" w:hAnsi="Arial"/>
          <w:sz w:val="18"/>
          <w:szCs w:val="18"/>
          <w:color w:val="auto"/>
        </w:rPr>
      </w:pPr>
    </w:p>
    <w:p>
      <w:pPr>
        <w:jc w:val="both"/>
        <w:ind w:left="180" w:firstLine="652"/>
        <w:spacing w:after="0" w:line="248" w:lineRule="auto"/>
        <w:tabs>
          <w:tab w:leader="none" w:pos="1476"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agree that neither the Company or any Affiliated Company is liable for any foreign exchange rate fluctuation between your local currency and the United States Dollar that may affect the value of these RSUs or of any amounts due to you from the payment of these RSUs or the subsequent sale of any Shares acquired upon such payment.</w:t>
      </w:r>
    </w:p>
    <w:p>
      <w:pPr>
        <w:spacing w:after="0" w:line="208" w:lineRule="exact"/>
        <w:rPr>
          <w:rFonts w:ascii="Arial" w:cs="Arial" w:eastAsia="Arial" w:hAnsi="Arial"/>
          <w:sz w:val="18"/>
          <w:szCs w:val="18"/>
          <w:color w:val="auto"/>
        </w:rPr>
      </w:pPr>
    </w:p>
    <w:p>
      <w:pPr>
        <w:ind w:left="1460" w:hanging="628"/>
        <w:spacing w:after="0"/>
        <w:tabs>
          <w:tab w:leader="none" w:pos="1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have read and agree to the Data Privacy provisions of Section 11 of this Agreement.</w:t>
      </w:r>
    </w:p>
    <w:p>
      <w:pPr>
        <w:spacing w:after="0" w:line="238" w:lineRule="exact"/>
        <w:rPr>
          <w:rFonts w:ascii="Arial" w:cs="Arial" w:eastAsia="Arial" w:hAnsi="Arial"/>
          <w:sz w:val="18"/>
          <w:szCs w:val="18"/>
          <w:color w:val="auto"/>
        </w:rPr>
      </w:pPr>
    </w:p>
    <w:p>
      <w:pPr>
        <w:jc w:val="both"/>
        <w:ind w:left="180" w:firstLine="652"/>
        <w:spacing w:after="0" w:line="238" w:lineRule="auto"/>
        <w:tabs>
          <w:tab w:leader="none" w:pos="1469" w:val="left"/>
        </w:tabs>
        <w:numPr>
          <w:ilvl w:val="1"/>
          <w:numId w:val="41"/>
        </w:numPr>
        <w:rPr>
          <w:rFonts w:ascii="Arial" w:cs="Arial" w:eastAsia="Arial" w:hAnsi="Arial"/>
          <w:sz w:val="18"/>
          <w:szCs w:val="18"/>
          <w:color w:val="auto"/>
        </w:rPr>
      </w:pPr>
      <w:r>
        <w:rPr>
          <w:rFonts w:ascii="Arial" w:cs="Arial" w:eastAsia="Arial" w:hAnsi="Arial"/>
          <w:sz w:val="18"/>
          <w:szCs w:val="18"/>
          <w:color w:val="auto"/>
        </w:rPr>
        <w:t>You agree that you have no claim or entitlement to compensation or damages from any forfeiture of these RSUs resulting from the termination of your status as an Associate (for any reason whatsoever, whether or not later found to be invalid or in breach of employment laws in the jurisdiction where you are an Associate or the terms of your service agreement, if any), and in consideration of the grant of these RSUs to which you are otherwise not entitled, you irrevocably agree never to institute any claim against the Company or any Affiliated Company, waive your ability (if any) to bring any such claim, and release the Company and all Affiliated Companies from any such claim. If any such claim is nevertheless allowed by a court of competent jurisdiction, then your participation in the Plan constitutes your irrevocable agreement to not pursue such claim and to execute any and all documents necessary to request dismissal or withdrawal of such claim.</w:t>
      </w:r>
    </w:p>
    <w:p>
      <w:pPr>
        <w:spacing w:after="0" w:line="216" w:lineRule="exact"/>
        <w:rPr>
          <w:rFonts w:ascii="Arial" w:cs="Arial" w:eastAsia="Arial" w:hAnsi="Arial"/>
          <w:sz w:val="18"/>
          <w:szCs w:val="18"/>
          <w:color w:val="auto"/>
        </w:rPr>
      </w:pPr>
    </w:p>
    <w:p>
      <w:pPr>
        <w:ind w:left="440" w:hanging="256"/>
        <w:spacing w:after="0"/>
        <w:tabs>
          <w:tab w:leader="none" w:pos="4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42" w:lineRule="exact"/>
        <w:rPr>
          <w:rFonts w:ascii="Arial" w:cs="Arial" w:eastAsia="Arial" w:hAnsi="Arial"/>
          <w:sz w:val="18"/>
          <w:szCs w:val="18"/>
          <w:b w:val="1"/>
          <w:bCs w:val="1"/>
          <w:color w:val="auto"/>
        </w:rPr>
      </w:pPr>
    </w:p>
    <w:p>
      <w:pPr>
        <w:jc w:val="both"/>
        <w:ind w:left="180" w:firstLine="652"/>
        <w:spacing w:after="0" w:line="270" w:lineRule="auto"/>
        <w:tabs>
          <w:tab w:leader="none" w:pos="1466" w:val="left"/>
        </w:tabs>
        <w:numPr>
          <w:ilvl w:val="1"/>
          <w:numId w:val="42"/>
        </w:numPr>
        <w:rPr>
          <w:rFonts w:ascii="Arial" w:cs="Arial" w:eastAsia="Arial" w:hAnsi="Arial"/>
          <w:sz w:val="17"/>
          <w:szCs w:val="17"/>
          <w:color w:val="auto"/>
        </w:rPr>
      </w:pPr>
      <w:r>
        <w:rPr>
          <w:rFonts w:ascii="Arial" w:cs="Arial" w:eastAsia="Arial" w:hAnsi="Arial"/>
          <w:sz w:val="17"/>
          <w:szCs w:val="17"/>
          <w:color w:val="auto"/>
        </w:rPr>
        <w:t>You voluntarily consent to the collection, use and transfer, in electronic or other form, of your personal data as described in this Agreement and any other Award materials (“Data”) by and among, as applicable, the Employer(s), the Company and any Affiliated Company for the exclusive purpose of implementing, administering, and managing your participation in the Plan.</w:t>
      </w:r>
    </w:p>
    <w:p>
      <w:pPr>
        <w:spacing w:after="0" w:line="190" w:lineRule="exact"/>
        <w:rPr>
          <w:rFonts w:ascii="Arial" w:cs="Arial" w:eastAsia="Arial" w:hAnsi="Arial"/>
          <w:sz w:val="17"/>
          <w:szCs w:val="17"/>
          <w:color w:val="auto"/>
        </w:rPr>
      </w:pPr>
    </w:p>
    <w:p>
      <w:pPr>
        <w:jc w:val="both"/>
        <w:ind w:left="180" w:firstLine="652"/>
        <w:spacing w:after="0" w:line="241" w:lineRule="auto"/>
        <w:tabs>
          <w:tab w:leader="none" w:pos="1476" w:val="left"/>
        </w:tabs>
        <w:numPr>
          <w:ilvl w:val="1"/>
          <w:numId w:val="42"/>
        </w:numPr>
        <w:rPr>
          <w:rFonts w:ascii="Arial" w:cs="Arial" w:eastAsia="Arial" w:hAnsi="Arial"/>
          <w:sz w:val="18"/>
          <w:szCs w:val="18"/>
          <w:color w:val="auto"/>
        </w:rPr>
      </w:pPr>
      <w:r>
        <w:rPr>
          <w:rFonts w:ascii="Arial" w:cs="Arial" w:eastAsia="Arial" w:hAnsi="Arial"/>
          <w:sz w:val="18"/>
          <w:szCs w:val="18"/>
          <w:color w:val="auto"/>
        </w:rPr>
        <w:t>You understand that the Company and the Employer(s)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your favor, for the exclusive purpose of implementing, administering, and managing the Plan.</w:t>
      </w:r>
    </w:p>
    <w:p>
      <w:pPr>
        <w:spacing w:after="0" w:line="216" w:lineRule="exact"/>
        <w:rPr>
          <w:rFonts w:ascii="Arial" w:cs="Arial" w:eastAsia="Arial" w:hAnsi="Arial"/>
          <w:sz w:val="18"/>
          <w:szCs w:val="18"/>
          <w:color w:val="auto"/>
        </w:rPr>
      </w:pPr>
    </w:p>
    <w:p>
      <w:pPr>
        <w:jc w:val="both"/>
        <w:ind w:left="180" w:firstLine="652"/>
        <w:spacing w:after="0" w:line="254" w:lineRule="auto"/>
        <w:tabs>
          <w:tab w:leader="none" w:pos="1466" w:val="left"/>
        </w:tabs>
        <w:numPr>
          <w:ilvl w:val="1"/>
          <w:numId w:val="42"/>
        </w:numPr>
        <w:rPr>
          <w:rFonts w:ascii="Arial" w:cs="Arial" w:eastAsia="Arial" w:hAnsi="Arial"/>
          <w:sz w:val="17"/>
          <w:szCs w:val="17"/>
          <w:color w:val="auto"/>
        </w:rPr>
      </w:pPr>
      <w:r>
        <w:rPr>
          <w:rFonts w:ascii="Arial" w:cs="Arial" w:eastAsia="Arial" w:hAnsi="Arial"/>
          <w:sz w:val="17"/>
          <w:szCs w:val="17"/>
          <w:color w:val="auto"/>
        </w:rPr>
        <w:t>You understand that Data will be transferred to one or more stock plan service provider(s) selected by the Company, which may assist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your participation in the Plan.</w:t>
      </w:r>
    </w:p>
    <w:p>
      <w:pPr>
        <w:sectPr>
          <w:pgSz w:w="11900" w:h="16838" w:orient="portrait"/>
          <w:cols w:equalWidth="0" w:num="1">
            <w:col w:w="10120"/>
          </w:cols>
          <w:pgMar w:left="1440" w:top="935" w:right="339" w:bottom="1440" w:gutter="0" w:footer="0" w:header="0"/>
        </w:sectPr>
      </w:pPr>
    </w:p>
    <w:bookmarkStart w:id="115" w:name="page116"/>
    <w:bookmarkEnd w:id="115"/>
    <w:p>
      <w:pPr>
        <w:jc w:val="both"/>
        <w:ind w:left="180" w:firstLine="652"/>
        <w:spacing w:after="0" w:line="252" w:lineRule="auto"/>
        <w:tabs>
          <w:tab w:leader="none" w:pos="1476" w:val="left"/>
        </w:tabs>
        <w:numPr>
          <w:ilvl w:val="1"/>
          <w:numId w:val="43"/>
        </w:numPr>
        <w:rPr>
          <w:rFonts w:ascii="Arial" w:cs="Arial" w:eastAsia="Arial" w:hAnsi="Arial"/>
          <w:sz w:val="17"/>
          <w:szCs w:val="17"/>
          <w:color w:val="auto"/>
        </w:rPr>
      </w:pPr>
      <w:r>
        <w:rPr>
          <w:rFonts w:ascii="Arial" w:cs="Arial" w:eastAsia="Arial" w:hAnsi="Arial"/>
          <w:sz w:val="17"/>
          <w:szCs w:val="17"/>
          <w:color w:val="auto"/>
        </w:rPr>
        <w:t>You understand that Data will be held only as long as is necessary to implement, administer and manage your participation in the Plan. You understand that if you reside in certain jurisdictions outside the United States, to the extent required by applicable laws, you may, at any time, request access to Data, request additional information about the storage and processing of Data, require any necessary amendments to Data or refuse or withdraw the consents given by accepting these RSUs, in any case without cost, by contacting in writing your local human resources representative. Further, you understand that you are providing these consents on a purely voluntary basis. If you do not consent or if you later seek to revoke your consent, your engagement as an Associate with the Employer(s) will not be adversely affected; the only consequence of refusing or withdrawing your consent is that the Company will not be able to grant you awards under the Plan or administer or maintain awards. Therefore, you understand that refusing or withdrawing your consent may affect your ability to participate in the Plan (including the right to retain these RSUs). You understand that you may contact your local human resources representative for more information on the consequences of your refusal to consent or withdrawal of consent.</w:t>
      </w: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jc w:val="both"/>
        <w:ind w:left="-460" w:firstLine="644"/>
        <w:spacing w:after="0"/>
        <w:tabs>
          <w:tab w:leader="none" w:pos="47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 to the Agreement</w:t>
      </w:r>
      <w:r>
        <w:rPr>
          <w:rFonts w:ascii="Arial" w:cs="Arial" w:eastAsia="Arial" w:hAnsi="Arial"/>
          <w:sz w:val="18"/>
          <w:szCs w:val="18"/>
          <w:color w:val="auto"/>
        </w:rPr>
        <w:t>. The Plan and this Agreement constitute the entire understanding of the parties on the subjects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covered. You expressly warrant that you are not accepting this Agreement in reliance on any promises, representations, or inducements other than those contained herein. All amendments to this Agreement shall be in writing executed by a duly authorized officer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Agreement is subject to the power of the Board and/or the Committee to amend this Agreement and the Plan as provided in the Plan. Notwithstanding the foregoing, the Company reserves the right to revise this Agreement as it deems necessary or advisable, in its sole discretion and without your consent, to comply with Code Section 409A, to otherwise avoid imposition of any additional tax or income recognition under Code Section 409A in connection with these RSUs</w:t>
      </w:r>
    </w:p>
    <w:p>
      <w:pPr>
        <w:spacing w:after="0" w:line="211" w:lineRule="exact"/>
        <w:rPr>
          <w:rFonts w:ascii="Arial" w:cs="Arial" w:eastAsia="Arial" w:hAnsi="Arial"/>
          <w:sz w:val="18"/>
          <w:szCs w:val="18"/>
          <w:b w:val="1"/>
          <w:bCs w:val="1"/>
          <w:color w:val="auto"/>
        </w:rPr>
      </w:pPr>
    </w:p>
    <w:p>
      <w:pPr>
        <w:jc w:val="both"/>
        <w:ind w:left="-460" w:firstLine="644"/>
        <w:spacing w:after="0" w:line="242" w:lineRule="auto"/>
        <w:tabs>
          <w:tab w:leader="none" w:pos="45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to be given under this Agreement to the Company shall be addressed to the Company in care of its stock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at LiveRamp Holdings, Inc., 225 Bush Street, Seventeenth Floor, San Francisco, CA 94104, until the Company designates another address in writing.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spacing w:after="0" w:line="211" w:lineRule="exact"/>
        <w:rPr>
          <w:rFonts w:ascii="Arial" w:cs="Arial" w:eastAsia="Arial" w:hAnsi="Arial"/>
          <w:sz w:val="18"/>
          <w:szCs w:val="18"/>
          <w:b w:val="1"/>
          <w:bCs w:val="1"/>
          <w:color w:val="auto"/>
        </w:rPr>
      </w:pPr>
    </w:p>
    <w:p>
      <w:pPr>
        <w:jc w:val="both"/>
        <w:ind w:left="-460" w:firstLine="644"/>
        <w:spacing w:after="0" w:line="241" w:lineRule="auto"/>
        <w:tabs>
          <w:tab w:leader="none" w:pos="493"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Conditions to Issuance of Stock</w:t>
      </w:r>
      <w:r>
        <w:rPr>
          <w:rFonts w:ascii="Arial" w:cs="Arial" w:eastAsia="Arial" w:hAnsi="Arial"/>
          <w:sz w:val="18"/>
          <w:szCs w:val="18"/>
          <w:color w:val="auto"/>
        </w:rPr>
        <w:t>. If the Company determines that the listing, registration, qualification, or rule</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 the Common Stock on any securities exchange or under any state, federal, or foreign law or the tax code and related regulations or the consent or approval of any governmental regulatory authority is necessary or desirable as a condition to the issuance of Shares to you (or your estate), the Company will try to meet the requirements of any such state, federal, or foreign law or securities exchange and to obtain any such consent or approval of any such governmental authority or securities exchange, but the Shares will not be issued until such conditions have been met in a manner acceptable to the Company.</w:t>
      </w:r>
    </w:p>
    <w:p>
      <w:pPr>
        <w:spacing w:after="0" w:line="210" w:lineRule="exact"/>
        <w:rPr>
          <w:rFonts w:ascii="Arial" w:cs="Arial" w:eastAsia="Arial" w:hAnsi="Arial"/>
          <w:sz w:val="18"/>
          <w:szCs w:val="18"/>
          <w:b w:val="1"/>
          <w:bCs w:val="1"/>
          <w:color w:val="auto"/>
        </w:rPr>
      </w:pPr>
    </w:p>
    <w:p>
      <w:pPr>
        <w:ind w:left="-460" w:firstLine="644"/>
        <w:spacing w:after="0" w:line="245" w:lineRule="auto"/>
        <w:tabs>
          <w:tab w:leader="none" w:pos="45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Clawback</w:t>
      </w:r>
      <w:r>
        <w:rPr>
          <w:rFonts w:ascii="Arial" w:cs="Arial" w:eastAsia="Arial" w:hAnsi="Arial"/>
          <w:sz w:val="18"/>
          <w:szCs w:val="18"/>
          <w:color w:val="auto"/>
        </w:rPr>
        <w:t>. These RSUs (including any proceeds, gains or other economic benefit received by you upon its payment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subsequent sale of Shares issued upon payment of the RSUs) will be subject to any compensation recovery or clawback policy implemented by the Company before or after the date of this Agreement. This includes any clawback policy adopted to comply with the requirements of applicable laws.</w:t>
      </w:r>
    </w:p>
    <w:p>
      <w:pPr>
        <w:spacing w:after="0" w:line="207" w:lineRule="exact"/>
        <w:rPr>
          <w:rFonts w:ascii="Arial" w:cs="Arial" w:eastAsia="Arial" w:hAnsi="Arial"/>
          <w:sz w:val="18"/>
          <w:szCs w:val="18"/>
          <w:b w:val="1"/>
          <w:bCs w:val="1"/>
          <w:color w:val="auto"/>
        </w:rPr>
      </w:pPr>
    </w:p>
    <w:p>
      <w:pPr>
        <w:jc w:val="both"/>
        <w:ind w:left="-460" w:firstLine="644"/>
        <w:spacing w:after="0" w:line="250" w:lineRule="auto"/>
        <w:tabs>
          <w:tab w:leader="none" w:pos="461"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Board and the Committee administer the Plan. Your rights under this Agreement are expressly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Plan, including continued stockholder approval of the Plan, and to any guidelines the Board or the Committee adopts from time to time.</w:t>
      </w:r>
    </w:p>
    <w:p>
      <w:pPr>
        <w:spacing w:after="0" w:line="203" w:lineRule="exact"/>
        <w:rPr>
          <w:rFonts w:ascii="Arial" w:cs="Arial" w:eastAsia="Arial" w:hAnsi="Arial"/>
          <w:sz w:val="18"/>
          <w:szCs w:val="18"/>
          <w:b w:val="1"/>
          <w:bCs w:val="1"/>
          <w:color w:val="auto"/>
        </w:rPr>
      </w:pPr>
    </w:p>
    <w:p>
      <w:pPr>
        <w:ind w:left="-460" w:right="20" w:firstLine="644"/>
        <w:spacing w:after="0" w:line="296" w:lineRule="auto"/>
        <w:tabs>
          <w:tab w:leader="none" w:pos="485"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part of this Agreement is declared by any court or governmental authority to be unlawful or invalid, such</w:t>
      </w:r>
      <w:r>
        <w:rPr>
          <w:rFonts w:ascii="Arial" w:cs="Arial" w:eastAsia="Arial" w:hAnsi="Arial"/>
          <w:sz w:val="17"/>
          <w:szCs w:val="17"/>
          <w:b w:val="1"/>
          <w:bCs w:val="1"/>
          <w:color w:val="auto"/>
        </w:rPr>
        <w:t xml:space="preserve"> </w:t>
      </w:r>
      <w:r>
        <w:rPr>
          <w:rFonts w:ascii="Arial" w:cs="Arial" w:eastAsia="Arial" w:hAnsi="Arial"/>
          <w:sz w:val="17"/>
          <w:szCs w:val="17"/>
          <w:color w:val="auto"/>
        </w:rPr>
        <w:t>unlawfulness or invalidity shall not serve to invalidate any part of this Agreement not declared to be unlawful or invalid. Any part so declared</w:t>
      </w:r>
    </w:p>
    <w:p>
      <w:pPr>
        <w:sectPr>
          <w:pgSz w:w="11900" w:h="16838" w:orient="portrait"/>
          <w:cols w:equalWidth="0" w:num="1">
            <w:col w:w="10120"/>
          </w:cols>
          <w:pgMar w:left="1440" w:top="935" w:right="339" w:bottom="1440" w:gutter="0" w:footer="0" w:header="0"/>
        </w:sectPr>
      </w:pPr>
    </w:p>
    <w:bookmarkStart w:id="116" w:name="page117"/>
    <w:bookmarkEnd w:id="116"/>
    <w:p>
      <w:pPr>
        <w:ind w:right="20"/>
        <w:spacing w:after="0" w:line="261" w:lineRule="auto"/>
        <w:rPr>
          <w:sz w:val="20"/>
          <w:szCs w:val="20"/>
          <w:color w:val="auto"/>
        </w:rPr>
      </w:pPr>
      <w:r>
        <w:rPr>
          <w:rFonts w:ascii="Arial" w:cs="Arial" w:eastAsia="Arial" w:hAnsi="Arial"/>
          <w:sz w:val="18"/>
          <w:szCs w:val="18"/>
          <w:color w:val="auto"/>
        </w:rPr>
        <w:t>unlawful or invalid shall, if possible, be construed in a manner which gives effect to the terms of such part to the fullest extent possible while remaining lawful and valid.</w:t>
      </w:r>
    </w:p>
    <w:p>
      <w:pPr>
        <w:spacing w:after="0" w:line="194" w:lineRule="exact"/>
        <w:rPr>
          <w:sz w:val="20"/>
          <w:szCs w:val="20"/>
          <w:color w:val="auto"/>
        </w:rPr>
      </w:pPr>
    </w:p>
    <w:p>
      <w:pPr>
        <w:jc w:val="both"/>
        <w:ind w:firstLine="644"/>
        <w:spacing w:after="0" w:line="250" w:lineRule="auto"/>
        <w:tabs>
          <w:tab w:leader="none" w:pos="90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The Plan, this Agreement, these RSUs, and all determinations made and actions taken under the Plan,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not otherwise governed by the laws of the United States, will be governed by the laws of the State of Delaware without giving effect to principles of conflicts of law.</w:t>
      </w:r>
    </w:p>
    <w:p>
      <w:pPr>
        <w:spacing w:after="0" w:line="203" w:lineRule="exact"/>
        <w:rPr>
          <w:rFonts w:ascii="Arial" w:cs="Arial" w:eastAsia="Arial" w:hAnsi="Arial"/>
          <w:sz w:val="18"/>
          <w:szCs w:val="18"/>
          <w:b w:val="1"/>
          <w:bCs w:val="1"/>
          <w:color w:val="auto"/>
        </w:rPr>
      </w:pPr>
    </w:p>
    <w:p>
      <w:pPr>
        <w:jc w:val="both"/>
        <w:ind w:firstLine="644"/>
        <w:spacing w:after="0" w:line="255" w:lineRule="auto"/>
        <w:tabs>
          <w:tab w:leader="none" w:pos="94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Forum Selection </w:t>
      </w:r>
      <w:r>
        <w:rPr>
          <w:rFonts w:ascii="Arial" w:cs="Arial" w:eastAsia="Arial" w:hAnsi="Arial"/>
          <w:sz w:val="17"/>
          <w:szCs w:val="17"/>
          <w:color w:val="auto"/>
        </w:rPr>
        <w:t>At all times each party hereto: (i) irrevocably submits to the exclusive jurisdiction of any California court or</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court sitting in the Northern District of California; (ii) agrees that any action or proceeding arising out of or relating to this Agreement or the transactions contemplated hereby will be heard and determined in such California or Federal court; (iii) to the extent permitted by law, irrevocably waives (a) any objection such party may have to the laying of venue of any such action or proceeding in any of such courts, or (b) any claim that such party may have that any such action or proceeding has been brought in an inconvenient forum; and (iv) to the extent permitted by law, irrevocably agrees that a final nonappealable judgment in any such action or proceeding will be conclusive and may be enforced in other jurisdictions by suit on the judgment or in any other manner provided by law. Nothing in this section entitled “Forum Selection” will affect the right of any party hereto to serve legal process in any manner permitted by law.</w:t>
      </w:r>
    </w:p>
    <w:p>
      <w:pPr>
        <w:spacing w:after="0" w:line="201" w:lineRule="exact"/>
        <w:rPr>
          <w:rFonts w:ascii="Arial" w:cs="Arial" w:eastAsia="Arial" w:hAnsi="Arial"/>
          <w:sz w:val="17"/>
          <w:szCs w:val="17"/>
          <w:b w:val="1"/>
          <w:bCs w:val="1"/>
          <w:color w:val="auto"/>
        </w:rPr>
      </w:pPr>
    </w:p>
    <w:p>
      <w:pPr>
        <w:ind w:left="920" w:hanging="276"/>
        <w:spacing w:after="0"/>
        <w:tabs>
          <w:tab w:leader="none" w:pos="920"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Headings</w:t>
      </w:r>
      <w:r>
        <w:rPr>
          <w:rFonts w:ascii="Arial" w:cs="Arial" w:eastAsia="Arial" w:hAnsi="Arial"/>
          <w:sz w:val="16"/>
          <w:szCs w:val="16"/>
          <w:color w:val="auto"/>
        </w:rPr>
        <w:t>. Headings are for convenience only and are not to serve as a basis for interpretation or construction of this Agreement.</w:t>
      </w:r>
    </w:p>
    <w:p>
      <w:pPr>
        <w:spacing w:after="0" w:line="261" w:lineRule="exact"/>
        <w:rPr>
          <w:rFonts w:ascii="Arial" w:cs="Arial" w:eastAsia="Arial" w:hAnsi="Arial"/>
          <w:sz w:val="16"/>
          <w:szCs w:val="16"/>
          <w:b w:val="1"/>
          <w:bCs w:val="1"/>
          <w:color w:val="auto"/>
        </w:rPr>
      </w:pPr>
    </w:p>
    <w:p>
      <w:pPr>
        <w:ind w:firstLine="644"/>
        <w:spacing w:after="0" w:line="266" w:lineRule="auto"/>
        <w:tabs>
          <w:tab w:leader="none" w:pos="928"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You acknowledge that a waiver by the Company of a breach of any provision of this Agreement will not operate or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a waiver of any other provision of this Agreement or of any subsequent breach of this Agreement by you.</w:t>
      </w:r>
    </w:p>
    <w:p>
      <w:pPr>
        <w:spacing w:after="0" w:line="189" w:lineRule="exact"/>
        <w:rPr>
          <w:rFonts w:ascii="Arial" w:cs="Arial" w:eastAsia="Arial" w:hAnsi="Arial"/>
          <w:sz w:val="18"/>
          <w:szCs w:val="18"/>
          <w:b w:val="1"/>
          <w:bCs w:val="1"/>
          <w:color w:val="auto"/>
        </w:rPr>
      </w:pPr>
    </w:p>
    <w:p>
      <w:pPr>
        <w:jc w:val="both"/>
        <w:ind w:firstLine="644"/>
        <w:spacing w:after="0" w:line="296" w:lineRule="auto"/>
        <w:tabs>
          <w:tab w:leader="none" w:pos="931"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Non-U.S. Appendix</w:t>
      </w:r>
      <w:r>
        <w:rPr>
          <w:rFonts w:ascii="Arial" w:cs="Arial" w:eastAsia="Arial" w:hAnsi="Arial"/>
          <w:sz w:val="16"/>
          <w:szCs w:val="16"/>
          <w:color w:val="auto"/>
        </w:rPr>
        <w:t>. These RSUs are subject to any special terms and conditions set forth in any appendix to this Agreement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your country (the “Appendix”). If you relocate to a country included in the Appendix, the special terms and conditions for that country will apply to you to the extent the Company determines that applying such terms and conditions is necessary or advisable for legal or administrative reasons.</w:t>
      </w:r>
    </w:p>
    <w:p>
      <w:pPr>
        <w:sectPr>
          <w:pgSz w:w="11900" w:h="16838" w:orient="portrait"/>
          <w:cols w:equalWidth="0" w:num="1">
            <w:col w:w="10580"/>
          </w:cols>
          <w:pgMar w:left="980" w:top="935" w:right="339" w:bottom="1440" w:gutter="0" w:footer="0" w:header="0"/>
        </w:sectPr>
      </w:pPr>
    </w:p>
    <w:bookmarkStart w:id="117" w:name="page118"/>
    <w:bookmarkEnd w:id="117"/>
    <w:p>
      <w:pPr>
        <w:jc w:val="right"/>
        <w:ind w:right="20"/>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LIVERAMP HOLDINGS,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AMENDED AND RESTATED 2005 EQUITY COMPENSATION PLAN</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NOTICE OF PERFORMANCE UNIT AWARD AND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UNIT AGREEMENT</w:t>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0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%%FIRST_NAME%-% %%LAST_NAME%-%</w:t>
            </w:r>
          </w:p>
        </w:tc>
        <w:tc>
          <w:tcPr>
            <w:tcW w:w="17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b w:val="1"/>
                <w:bCs w:val="1"/>
                <w:color w:val="auto"/>
              </w:rPr>
              <w:t>Award Number:</w:t>
            </w:r>
          </w:p>
        </w:tc>
        <w:tc>
          <w:tcPr>
            <w:tcW w:w="35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%%OPTION_NUMBER%-%</w:t>
            </w:r>
          </w:p>
        </w:tc>
      </w:tr>
      <w:tr>
        <w:trPr>
          <w:trHeight w:val="27"/>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7"/>
        </w:trPr>
        <w:tc>
          <w:tcPr>
            <w:tcW w:w="6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%%ADDRESS_LINE_1%-%</w:t>
            </w:r>
          </w:p>
        </w:tc>
        <w:tc>
          <w:tcPr>
            <w:tcW w:w="1720" w:type="dxa"/>
            <w:vAlign w:val="bottom"/>
            <w:tcBorders>
              <w:right w:val="single" w:sz="8" w:color="auto"/>
            </w:tcBorders>
          </w:tcPr>
          <w:p>
            <w:pPr>
              <w:jc w:val="right"/>
              <w:spacing w:after="0"/>
              <w:rPr>
                <w:sz w:val="20"/>
                <w:szCs w:val="20"/>
                <w:color w:val="auto"/>
              </w:rPr>
            </w:pPr>
            <w:r>
              <w:rPr>
                <w:rFonts w:ascii="Arial" w:cs="Arial" w:eastAsia="Arial" w:hAnsi="Arial"/>
                <w:sz w:val="18"/>
                <w:szCs w:val="18"/>
                <w:b w:val="1"/>
                <w:bCs w:val="1"/>
                <w:color w:val="auto"/>
              </w:rPr>
              <w:t>Plan:</w:t>
            </w:r>
          </w:p>
        </w:tc>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%EQUITY_PLAN%-%</w:t>
            </w:r>
          </w:p>
        </w:tc>
      </w:tr>
      <w:tr>
        <w:trPr>
          <w:trHeight w:val="27"/>
        </w:trPr>
        <w:tc>
          <w:tcPr>
            <w:tcW w:w="6020" w:type="dxa"/>
            <w:vAlign w:val="bottom"/>
            <w:tcBorders>
              <w:left w:val="single" w:sz="8" w:color="auto"/>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7"/>
        </w:trPr>
        <w:tc>
          <w:tcPr>
            <w:tcW w:w="60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%%ADDRESS_LINE_2%-%</w:t>
            </w:r>
          </w:p>
        </w:tc>
        <w:tc>
          <w:tcPr>
            <w:tcW w:w="1720" w:type="dxa"/>
            <w:vAlign w:val="bottom"/>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r>
      <w:tr>
        <w:trPr>
          <w:trHeight w:val="27"/>
        </w:trPr>
        <w:tc>
          <w:tcPr>
            <w:tcW w:w="602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7"/>
        </w:trPr>
        <w:tc>
          <w:tcPr>
            <w:tcW w:w="60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%%CITY%-%, %%STATE%-% %%ZIPCODE%-%</w:t>
            </w:r>
          </w:p>
        </w:tc>
        <w:tc>
          <w:tcPr>
            <w:tcW w:w="1720" w:type="dxa"/>
            <w:vAlign w:val="bottom"/>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r>
      <w:tr>
        <w:trPr>
          <w:trHeight w:val="27"/>
        </w:trPr>
        <w:tc>
          <w:tcPr>
            <w:tcW w:w="602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r>
        <w:trPr>
          <w:trHeight w:val="237"/>
        </w:trPr>
        <w:tc>
          <w:tcPr>
            <w:tcW w:w="602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auto"/>
              </w:rPr>
              <w:t>%%COUNTRY%-%</w:t>
            </w:r>
          </w:p>
        </w:tc>
        <w:tc>
          <w:tcPr>
            <w:tcW w:w="1720" w:type="dxa"/>
            <w:vAlign w:val="bottom"/>
          </w:tcPr>
          <w:p>
            <w:pPr>
              <w:spacing w:after="0"/>
              <w:rPr>
                <w:sz w:val="20"/>
                <w:szCs w:val="20"/>
                <w:color w:val="auto"/>
              </w:rPr>
            </w:pPr>
          </w:p>
        </w:tc>
        <w:tc>
          <w:tcPr>
            <w:tcW w:w="3520" w:type="dxa"/>
            <w:vAlign w:val="bottom"/>
            <w:tcBorders>
              <w:right w:val="single" w:sz="8" w:color="auto"/>
            </w:tcBorders>
          </w:tcPr>
          <w:p>
            <w:pPr>
              <w:spacing w:after="0"/>
              <w:rPr>
                <w:sz w:val="20"/>
                <w:szCs w:val="20"/>
                <w:color w:val="auto"/>
              </w:rPr>
            </w:pPr>
          </w:p>
        </w:tc>
      </w:tr>
      <w:tr>
        <w:trPr>
          <w:trHeight w:val="27"/>
        </w:trPr>
        <w:tc>
          <w:tcPr>
            <w:tcW w:w="6020" w:type="dxa"/>
            <w:vAlign w:val="bottom"/>
            <w:tcBorders>
              <w:left w:val="single" w:sz="8" w:color="auto"/>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52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Effective as of </w:t>
      </w:r>
      <w:r>
        <w:rPr>
          <w:rFonts w:ascii="Arial" w:cs="Arial" w:eastAsia="Arial" w:hAnsi="Arial"/>
          <w:sz w:val="18"/>
          <w:szCs w:val="18"/>
          <w:b w:val="1"/>
          <w:bCs w:val="1"/>
          <w:color w:val="auto"/>
        </w:rPr>
        <w:t>%%OPTION_DATE,’MM/DD/YYYY’%-%</w:t>
      </w:r>
      <w:r>
        <w:rPr>
          <w:rFonts w:ascii="Arial" w:cs="Arial" w:eastAsia="Arial" w:hAnsi="Arial"/>
          <w:sz w:val="18"/>
          <w:szCs w:val="18"/>
          <w:color w:val="auto"/>
        </w:rPr>
        <w:t xml:space="preserve"> (“Award Date”), pursuant to the Amended and Restated 2005 Equity</w:t>
      </w:r>
    </w:p>
    <w:p>
      <w:pPr>
        <w:spacing w:after="0" w:line="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Compensation Plan of LiveRamp Holdings, Inc (the “Plan”), you have been granted an award of</w:t>
      </w:r>
    </w:p>
    <w:p>
      <w:pPr>
        <w:ind w:left="660"/>
        <w:spacing w:after="0"/>
        <w:rPr>
          <w:sz w:val="20"/>
          <w:szCs w:val="20"/>
          <w:color w:val="auto"/>
        </w:rPr>
      </w:pPr>
      <w:r>
        <w:rPr>
          <w:rFonts w:ascii="Arial" w:cs="Arial" w:eastAsia="Arial" w:hAnsi="Arial"/>
          <w:sz w:val="16"/>
          <w:szCs w:val="16"/>
          <w:b w:val="1"/>
          <w:bCs w:val="1"/>
          <w:color w:val="auto"/>
        </w:rPr>
        <w:t xml:space="preserve">%%TOTAL_SHARES_GRANTED,'999,999,999'%-% </w:t>
      </w:r>
      <w:r>
        <w:rPr>
          <w:rFonts w:ascii="Arial" w:cs="Arial" w:eastAsia="Arial" w:hAnsi="Arial"/>
          <w:sz w:val="16"/>
          <w:szCs w:val="16"/>
          <w:color w:val="auto"/>
        </w:rPr>
        <w:t>Performance Units (“PSUs”), with each PSU representing the right to receive one share</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 the common stock of LiveRamp Holdings, Inc (the “Company”) upon vesting. Capitalized terms that are not defined in this Notice of</w:t>
      </w:r>
    </w:p>
    <w:p>
      <w:pPr>
        <w:spacing w:after="0" w:line="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Performance Unit Award and Performance Unit Agreement (the “Notice”), the Terms and Conditions of Performance Unit Award, the Addendum</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Performance Unit Award (the “Addendum”) or any of the exhibits to these documents (all together, the “Agreement”) have the meanings given</w:t>
      </w:r>
    </w:p>
    <w:p>
      <w:pPr>
        <w:spacing w:after="0" w:line="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them in the Plan.</w:t>
      </w:r>
    </w:p>
    <w:p>
      <w:pPr>
        <w:spacing w:after="0" w:line="223" w:lineRule="exact"/>
        <w:rPr>
          <w:sz w:val="20"/>
          <w:szCs w:val="20"/>
          <w:color w:val="auto"/>
        </w:rPr>
      </w:pPr>
    </w:p>
    <w:p>
      <w:pPr>
        <w:ind w:left="660" w:right="200"/>
        <w:spacing w:after="0" w:line="243" w:lineRule="auto"/>
        <w:rPr>
          <w:sz w:val="20"/>
          <w:szCs w:val="20"/>
          <w:color w:val="auto"/>
        </w:rPr>
      </w:pPr>
      <w:r>
        <w:rPr>
          <w:rFonts w:ascii="Arial" w:cs="Arial" w:eastAsia="Arial" w:hAnsi="Arial"/>
          <w:sz w:val="18"/>
          <w:szCs w:val="18"/>
          <w:color w:val="auto"/>
        </w:rPr>
        <w:t>Subject to the terms and conditions of the Plan and this Agreement, and the applicable vesting acceleration provisions of any service agreement between you and the Company or any severance or change in control policy of the Company, if any, the PSUs will be eligible to vest pursuant to the satisfaction of the service-based and performance-based vesting components set forth in the Addendum, subject to you continuing to be an Associate through the applicable vesting date.</w:t>
      </w:r>
    </w:p>
    <w:p>
      <w:pPr>
        <w:spacing w:after="0" w:line="215" w:lineRule="exact"/>
        <w:rPr>
          <w:sz w:val="20"/>
          <w:szCs w:val="20"/>
          <w:color w:val="auto"/>
        </w:rPr>
      </w:pPr>
    </w:p>
    <w:p>
      <w:pPr>
        <w:ind w:left="660" w:right="80"/>
        <w:spacing w:after="0" w:line="269" w:lineRule="auto"/>
        <w:rPr>
          <w:sz w:val="20"/>
          <w:szCs w:val="20"/>
          <w:color w:val="auto"/>
        </w:rPr>
      </w:pPr>
      <w:r>
        <w:rPr>
          <w:rFonts w:ascii="Arial" w:cs="Arial" w:eastAsia="Arial" w:hAnsi="Arial"/>
          <w:sz w:val="16"/>
          <w:szCs w:val="16"/>
          <w:color w:val="auto"/>
        </w:rPr>
        <w:t>If agreed to by the Company in the Definitive Agreements (as defined below), upon the occurrence of a Change in Control Event, the acquiring or surviving entity (or an affiliate of such entity) may assume or substitute for the PSUs. Upon the occurrence of a Change in Control Event, the Performance Period, as defined in the Addendum, will be truncated, and a number of PSUs will become eligible to vest (the “Eligible PSUs”) based on the degree of achievement of performance objectives (as set forth in the Addendum) as of the date of the Change in Control Event (such date, the “Change in Control Date”). Eligible PSUs will be treated as unvested Restricted Stock Units under the Plan subject to a service-based vesting schedule, and if assumed or substituted for by the acquiring or surviving entity (or an affiliate of such entity) in accordance with the terms of the definitive agreements relating to the Change in Control (the “Definitive Agreements”), will convert into restricted stock units (or other compensatory arrangements) of equal value to be settled in cash or shares (determined in accordance with the Definitive Agreements) by the acquiring or surviving entity (or an affiliate of such entity), as applicable (the “Assumed Eligible PSUs”). In the event you remain an Associate through the end of the applicable performance period (such date, the “Performance Period End Date”), the Assumed Eligible PSUs will become fully vested and will be settled within thirty (30) days of the Performance Period End Date. Subject to any vesting acceleration arising from another written agreement or policy between you and the Company, in the event your status as an Associate terminates for any reason before the Performance Period End Date, your Assumed Eligible Performance Units will be immediately forfeited.</w:t>
      </w:r>
    </w:p>
    <w:p>
      <w:pPr>
        <w:spacing w:after="0" w:line="195" w:lineRule="exact"/>
        <w:rPr>
          <w:sz w:val="20"/>
          <w:szCs w:val="20"/>
          <w:color w:val="auto"/>
        </w:rPr>
      </w:pPr>
    </w:p>
    <w:p>
      <w:pPr>
        <w:ind w:left="660" w:right="20"/>
        <w:spacing w:after="0" w:line="261" w:lineRule="auto"/>
        <w:rPr>
          <w:sz w:val="20"/>
          <w:szCs w:val="20"/>
          <w:color w:val="auto"/>
        </w:rPr>
      </w:pPr>
      <w:r>
        <w:rPr>
          <w:rFonts w:ascii="Arial" w:cs="Arial" w:eastAsia="Arial" w:hAnsi="Arial"/>
          <w:sz w:val="18"/>
          <w:szCs w:val="18"/>
          <w:color w:val="auto"/>
        </w:rPr>
        <w:t>All vesting will be rounded to the nearest whole PSU, and any fractional PSUs will be accumulated and vested on the date that an accumulated full PSU is vested.</w:t>
      </w:r>
    </w:p>
    <w:p>
      <w:pPr>
        <w:sectPr>
          <w:pgSz w:w="11900" w:h="16838" w:orient="portrait"/>
          <w:cols w:equalWidth="0" w:num="1">
            <w:col w:w="11260"/>
          </w:cols>
          <w:pgMar w:left="320" w:top="1417" w:right="319" w:bottom="1440" w:gutter="0" w:footer="0" w:header="0"/>
        </w:sectPr>
      </w:pPr>
    </w:p>
    <w:bookmarkStart w:id="118" w:name="page119"/>
    <w:bookmarkEnd w:id="118"/>
    <w:p>
      <w:pPr>
        <w:ind w:right="20"/>
        <w:spacing w:after="0" w:line="248" w:lineRule="auto"/>
        <w:rPr>
          <w:sz w:val="20"/>
          <w:szCs w:val="20"/>
          <w:color w:val="auto"/>
        </w:rPr>
      </w:pPr>
      <w:r>
        <w:rPr>
          <w:rFonts w:ascii="Arial" w:cs="Arial" w:eastAsia="Arial" w:hAnsi="Arial"/>
          <w:sz w:val="18"/>
          <w:szCs w:val="18"/>
          <w:color w:val="auto"/>
        </w:rPr>
        <w:t>If you cease to be an Associate for any or no reason before you fully vest in the PSUs, or if certain performance objectives are not satisfied and the Addendum provides that unvested PSUs will terminate to the extent that such performance objectives are not satisfied, the unvested PSUs will terminate according to the terms of Section 5 of this Agreement.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logging into your E*Trade account and electronically accepting this award, you acknowledge and indicate that:</w:t>
      </w:r>
    </w:p>
    <w:p>
      <w:pPr>
        <w:spacing w:after="0" w:line="239" w:lineRule="exact"/>
        <w:rPr>
          <w:sz w:val="20"/>
          <w:szCs w:val="20"/>
          <w:color w:val="auto"/>
        </w:rPr>
      </w:pPr>
    </w:p>
    <w:p>
      <w:pPr>
        <w:ind w:left="640" w:right="60" w:hanging="415"/>
        <w:spacing w:after="0" w:line="261" w:lineRule="auto"/>
        <w:tabs>
          <w:tab w:leader="none" w:pos="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This award of PSUs is subject to the terms and conditions as described within this Agreement and the Plan that are being provided to you electronically, including their exhibits and appendices, if any.</w:t>
      </w:r>
    </w:p>
    <w:p>
      <w:pPr>
        <w:spacing w:after="0" w:line="197" w:lineRule="exact"/>
        <w:rPr>
          <w:rFonts w:ascii="Arial" w:cs="Arial" w:eastAsia="Arial" w:hAnsi="Arial"/>
          <w:sz w:val="18"/>
          <w:szCs w:val="18"/>
          <w:color w:val="auto"/>
        </w:rPr>
      </w:pPr>
    </w:p>
    <w:p>
      <w:pPr>
        <w:ind w:left="640" w:right="180" w:hanging="465"/>
        <w:spacing w:after="0" w:line="261" w:lineRule="auto"/>
        <w:tabs>
          <w:tab w:leader="none" w:pos="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You understand that the Company is not providing any tax, legal, or financial advice and is not making any recommendations regarding your participation in the Plan or your acquisition or sale of Shares.</w:t>
      </w:r>
    </w:p>
    <w:p>
      <w:pPr>
        <w:spacing w:after="0" w:line="197" w:lineRule="exact"/>
        <w:rPr>
          <w:rFonts w:ascii="Arial" w:cs="Arial" w:eastAsia="Arial" w:hAnsi="Arial"/>
          <w:sz w:val="18"/>
          <w:szCs w:val="18"/>
          <w:color w:val="auto"/>
        </w:rPr>
      </w:pPr>
    </w:p>
    <w:p>
      <w:pPr>
        <w:ind w:left="640" w:hanging="514"/>
        <w:spacing w:after="0" w:line="248" w:lineRule="auto"/>
        <w:tabs>
          <w:tab w:leader="none" w:pos="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You have reviewed the Plan and this Agreement, have had an opportunity to obtain the advice of personal tax, legal, and financial advisors prior to accepting this award, and fully understand all provisions of this Agreement and the Plan. You will consult with your own personal tax, legal, and financial advisors before taking any action related to the Plan.</w:t>
      </w:r>
    </w:p>
    <w:p>
      <w:pPr>
        <w:spacing w:after="0" w:line="208" w:lineRule="exact"/>
        <w:rPr>
          <w:rFonts w:ascii="Arial" w:cs="Arial" w:eastAsia="Arial" w:hAnsi="Arial"/>
          <w:sz w:val="18"/>
          <w:szCs w:val="18"/>
          <w:color w:val="auto"/>
        </w:rPr>
      </w:pPr>
    </w:p>
    <w:p>
      <w:pPr>
        <w:ind w:left="640" w:hanging="505"/>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have read and agree to each provision of Section 10 of this Agreement.</w:t>
      </w:r>
    </w:p>
    <w:p>
      <w:pPr>
        <w:spacing w:after="0" w:line="238" w:lineRule="exact"/>
        <w:rPr>
          <w:rFonts w:ascii="Arial" w:cs="Arial" w:eastAsia="Arial" w:hAnsi="Arial"/>
          <w:sz w:val="18"/>
          <w:szCs w:val="18"/>
          <w:color w:val="auto"/>
        </w:rPr>
      </w:pPr>
    </w:p>
    <w:p>
      <w:pPr>
        <w:ind w:left="640" w:hanging="455"/>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will notify the Company of any change to the contact address above.</w:t>
      </w:r>
    </w:p>
    <w:p>
      <w:pPr>
        <w:spacing w:after="0" w:line="23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IF YOU DO NOT ACCEPT THIS AGREEMENT ON OR PRIOR TO THE FIRST DATE ANY PORTION OF THESE PSUs VEST, YOU WILL BE DEEMED TO ACCEPT ALL OF THE TERMS AND CONDITIONS OF THIS AGREEMENT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1115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Scott E. Howe, CEO and President</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Catherine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31115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Catherine Hughes, Corporate Governance Executive</w:t>
      </w:r>
    </w:p>
    <w:p>
      <w:pPr>
        <w:sectPr>
          <w:pgSz w:w="11900" w:h="16838" w:orient="portrait"/>
          <w:cols w:equalWidth="0" w:num="1">
            <w:col w:w="10580"/>
          </w:cols>
          <w:pgMar w:left="980" w:top="14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PERFORMANCE UNIT AWARD</w:t>
      </w:r>
    </w:p>
    <w:p>
      <w:pPr>
        <w:spacing w:after="0" w:line="243" w:lineRule="exact"/>
        <w:rPr>
          <w:sz w:val="20"/>
          <w:szCs w:val="20"/>
          <w:color w:val="auto"/>
        </w:rPr>
      </w:pPr>
    </w:p>
    <w:p>
      <w:pPr>
        <w:ind w:left="660" w:firstLine="648"/>
        <w:spacing w:after="0" w:line="261" w:lineRule="auto"/>
        <w:rPr>
          <w:sz w:val="20"/>
          <w:szCs w:val="20"/>
          <w:color w:val="auto"/>
        </w:rPr>
      </w:pPr>
      <w:r>
        <w:rPr>
          <w:rFonts w:ascii="Arial" w:cs="Arial" w:eastAsia="Arial" w:hAnsi="Arial"/>
          <w:sz w:val="18"/>
          <w:szCs w:val="18"/>
          <w:color w:val="auto"/>
        </w:rPr>
        <w:t>This Agreement and the Plan constitute the entire agreement between the Company and you with regard to the PSUs pertaining to the Common Stock described in the Notice.</w:t>
      </w:r>
    </w:p>
    <w:p>
      <w:pPr>
        <w:spacing w:after="0" w:line="194" w:lineRule="exact"/>
        <w:rPr>
          <w:sz w:val="20"/>
          <w:szCs w:val="20"/>
          <w:color w:val="auto"/>
        </w:rPr>
      </w:pPr>
    </w:p>
    <w:p>
      <w:pPr>
        <w:jc w:val="both"/>
        <w:ind w:left="660" w:firstLine="644"/>
        <w:spacing w:after="0"/>
        <w:tabs>
          <w:tab w:leader="none" w:pos="195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Grant and Acceptance of Terms</w:t>
      </w:r>
      <w:r>
        <w:rPr>
          <w:rFonts w:ascii="Arial" w:cs="Arial" w:eastAsia="Arial" w:hAnsi="Arial"/>
          <w:sz w:val="18"/>
          <w:szCs w:val="18"/>
          <w:color w:val="auto"/>
        </w:rPr>
        <w:t>. The Company grants you an award of PSUs as described in the Notice.</w:t>
      </w:r>
      <w:r>
        <w:rPr>
          <w:rFonts w:ascii="Arial" w:cs="Arial" w:eastAsia="Arial" w:hAnsi="Arial"/>
          <w:sz w:val="18"/>
          <w:szCs w:val="18"/>
          <w:b w:val="1"/>
          <w:bCs w:val="1"/>
          <w:color w:val="auto"/>
        </w:rPr>
        <w:t xml:space="preserve"> Your acceptance and retention of the award described in the Notice, as evidenced by your electronic acceptance of this Agreement, shall constitute your acceptance of the terms and conditions set forth in this Agreement, and the Plan. </w:t>
      </w:r>
      <w:r>
        <w:rPr>
          <w:rFonts w:ascii="Arial" w:cs="Arial" w:eastAsia="Arial" w:hAnsi="Arial"/>
          <w:sz w:val="18"/>
          <w:szCs w:val="18"/>
          <w:color w:val="auto"/>
        </w:rPr>
        <w:t>If there is a conflict between the Plan,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agreement governing the PSUs, those documents will take precedence and prevail in the following order: (a) the Plan, (b) this Agreement, and (c) any other agreement between the Company and you governing these PSUs (provided that any applicable vesting acceleration arising from a service agreement between you and the Company or a severance or change in control policy of the Company will apply to the PSUs).</w:t>
      </w:r>
    </w:p>
    <w:p>
      <w:pPr>
        <w:spacing w:after="0" w:line="211" w:lineRule="exact"/>
        <w:rPr>
          <w:rFonts w:ascii="Arial" w:cs="Arial" w:eastAsia="Arial" w:hAnsi="Arial"/>
          <w:sz w:val="18"/>
          <w:szCs w:val="18"/>
          <w:color w:val="auto"/>
        </w:rPr>
      </w:pPr>
    </w:p>
    <w:p>
      <w:pPr>
        <w:ind w:left="1960" w:hanging="656"/>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Your Rights with Respect to the PSUs.</w:t>
      </w:r>
    </w:p>
    <w:p>
      <w:pPr>
        <w:spacing w:after="0" w:line="238" w:lineRule="exact"/>
        <w:rPr>
          <w:rFonts w:ascii="Arial" w:cs="Arial" w:eastAsia="Arial" w:hAnsi="Arial"/>
          <w:sz w:val="18"/>
          <w:szCs w:val="18"/>
          <w:color w:val="auto"/>
        </w:rPr>
      </w:pPr>
    </w:p>
    <w:p>
      <w:pPr>
        <w:jc w:val="both"/>
        <w:ind w:left="1300" w:firstLine="652"/>
        <w:spacing w:after="0"/>
        <w:tabs>
          <w:tab w:leader="none" w:pos="2586"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Company’s Obligation to Pay</w:t>
      </w:r>
      <w:r>
        <w:rPr>
          <w:rFonts w:ascii="Arial" w:cs="Arial" w:eastAsia="Arial" w:hAnsi="Arial"/>
          <w:sz w:val="18"/>
          <w:szCs w:val="18"/>
          <w:color w:val="auto"/>
        </w:rPr>
        <w:t>. Each PSU is a right to receive a Share on the date it vests. Until an PSU vests, you</w:t>
      </w:r>
      <w:r>
        <w:rPr>
          <w:rFonts w:ascii="Arial" w:cs="Arial" w:eastAsia="Arial" w:hAnsi="Arial"/>
          <w:sz w:val="18"/>
          <w:szCs w:val="18"/>
          <w:b w:val="1"/>
          <w:bCs w:val="1"/>
          <w:color w:val="auto"/>
        </w:rPr>
        <w:t xml:space="preserve"> </w:t>
      </w:r>
      <w:r>
        <w:rPr>
          <w:rFonts w:ascii="Arial" w:cs="Arial" w:eastAsia="Arial" w:hAnsi="Arial"/>
          <w:sz w:val="18"/>
          <w:szCs w:val="18"/>
          <w:color w:val="auto"/>
        </w:rPr>
        <w:t>have no right to payment of the Share. Before a vested PSU is paid, the PSU is an unsecured obligation of the Company, payable (if at all) only from the Company’s general assets. A vested PSU will be paid to you (or in the event of your death, to your estate or such other person as specified in Section 6 below) in whole Shares as soon as practicable after vesting (but no later than 60 days following the vesting date), subject to you satisfying any obligations for Tax-Related Items (as defined in Section 9(a)(i) of this Agreement) and any delay in payment required under Section 9(b)(i) of this Agreement. You cannot specify (directly or indirectly) the taxable year of the payment of any vested PSU under this Agreement</w:t>
      </w:r>
    </w:p>
    <w:p>
      <w:pPr>
        <w:spacing w:after="0" w:line="211" w:lineRule="exact"/>
        <w:rPr>
          <w:rFonts w:ascii="Arial" w:cs="Arial" w:eastAsia="Arial" w:hAnsi="Arial"/>
          <w:sz w:val="18"/>
          <w:szCs w:val="18"/>
          <w:color w:val="auto"/>
        </w:rPr>
      </w:pPr>
    </w:p>
    <w:p>
      <w:pPr>
        <w:jc w:val="both"/>
        <w:ind w:left="1300" w:firstLine="652"/>
        <w:spacing w:after="0" w:line="242" w:lineRule="auto"/>
        <w:tabs>
          <w:tab w:leader="none" w:pos="2596" w:val="left"/>
        </w:tabs>
        <w:numPr>
          <w:ilvl w:val="1"/>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Stockholder Rights. </w:t>
      </w:r>
      <w:r>
        <w:rPr>
          <w:rFonts w:ascii="Arial" w:cs="Arial" w:eastAsia="Arial" w:hAnsi="Arial"/>
          <w:sz w:val="18"/>
          <w:szCs w:val="18"/>
          <w:color w:val="auto"/>
        </w:rPr>
        <w:t>Upon vesting, the PSUs granted pursuant to the Notice will entitle you to the all the rights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of the Company’s Common Stock as to the amount of shares of Common Stock (“Shares”) currently vested. Your rights as a stockholder of the Company (including the right to vote and to receive dividends and distributions) will not begin until Shares have been issued and recorded on the records of the Company or its transfer agents or registrars, and your rights with respect to the PSUs will remain forfeitable prior to the date on which such rights become vested.</w:t>
      </w:r>
    </w:p>
    <w:p>
      <w:pPr>
        <w:spacing w:after="0" w:line="211"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color w:val="auto"/>
        </w:rPr>
        <w:t>. Subject to Section 11 of the Plan and Section 4 of this Agreement, PSUs shall vest as set forth in the Notice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Addendum. PSUs scheduled to vest on a certain date or upon the occurrence of a certain condition will not vest unless you continue to be an Associate until the time such vesting is scheduled to occur.</w:t>
      </w:r>
    </w:p>
    <w:p>
      <w:pPr>
        <w:spacing w:after="0" w:line="203" w:lineRule="exact"/>
        <w:rPr>
          <w:rFonts w:ascii="Arial" w:cs="Arial" w:eastAsia="Arial" w:hAnsi="Arial"/>
          <w:sz w:val="18"/>
          <w:szCs w:val="18"/>
          <w:color w:val="auto"/>
        </w:rPr>
      </w:pPr>
    </w:p>
    <w:p>
      <w:pPr>
        <w:ind w:left="660" w:firstLine="644"/>
        <w:spacing w:after="0" w:line="329" w:lineRule="auto"/>
        <w:tabs>
          <w:tab w:leader="none" w:pos="1956"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Board and Committee Discretion</w:t>
      </w:r>
      <w:r>
        <w:rPr>
          <w:rFonts w:ascii="Arial" w:cs="Arial" w:eastAsia="Arial" w:hAnsi="Arial"/>
          <w:sz w:val="16"/>
          <w:szCs w:val="16"/>
          <w:color w:val="auto"/>
        </w:rPr>
        <w:t>. The Board and the Committee have the discretion to accelerate the vesting of any PSUs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subject to the terms of the Plan. In that case, those PSUs will be vested as of the date specified by the Board or the Committee.</w:t>
      </w:r>
    </w:p>
    <w:p>
      <w:pPr>
        <w:spacing w:after="0" w:line="143" w:lineRule="exact"/>
        <w:rPr>
          <w:rFonts w:ascii="Arial" w:cs="Arial" w:eastAsia="Arial" w:hAnsi="Arial"/>
          <w:sz w:val="16"/>
          <w:szCs w:val="16"/>
          <w:color w:val="auto"/>
        </w:rPr>
      </w:pPr>
    </w:p>
    <w:p>
      <w:pPr>
        <w:jc w:val="both"/>
        <w:ind w:left="660" w:firstLine="644"/>
        <w:spacing w:after="0" w:line="260" w:lineRule="auto"/>
        <w:tabs>
          <w:tab w:leader="none" w:pos="1956"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Forfeiture upon Termination or Failure to Satisfy Performance Objectives</w:t>
      </w:r>
      <w:r>
        <w:rPr>
          <w:rFonts w:ascii="Arial" w:cs="Arial" w:eastAsia="Arial" w:hAnsi="Arial"/>
          <w:sz w:val="17"/>
          <w:szCs w:val="17"/>
          <w:color w:val="auto"/>
        </w:rPr>
        <w:t>. If your status as an Associate terminates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your PSUs will immediately stop vesting and any of these PSUs that have not yet vested will be forfeited by you upon the effective date of your termination. The Addendum may also provide that, upon the failure to achieve certain performance objectives, your PSUs will immediately stop vesting and any of these PSUs that have not yet vested will be forfeited by you upon a specified date. The provisions of this Section 5 are subject to the provisions of Section 7 below entitled “Forfeiture of Shares for Engaging in Certain Activities.”</w:t>
      </w:r>
    </w:p>
    <w:p>
      <w:pPr>
        <w:spacing w:after="0" w:line="196" w:lineRule="exact"/>
        <w:rPr>
          <w:rFonts w:ascii="Arial" w:cs="Arial" w:eastAsia="Arial" w:hAnsi="Arial"/>
          <w:sz w:val="17"/>
          <w:szCs w:val="17"/>
          <w:color w:val="auto"/>
        </w:rPr>
      </w:pPr>
    </w:p>
    <w:p>
      <w:pPr>
        <w:ind w:left="660" w:firstLine="644"/>
        <w:spacing w:after="0" w:line="329" w:lineRule="auto"/>
        <w:tabs>
          <w:tab w:leader="none" w:pos="1956"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Death</w:t>
      </w:r>
      <w:r>
        <w:rPr>
          <w:rFonts w:ascii="Arial" w:cs="Arial" w:eastAsia="Arial" w:hAnsi="Arial"/>
          <w:sz w:val="16"/>
          <w:szCs w:val="16"/>
          <w:color w:val="auto"/>
        </w:rPr>
        <w:t>. Any distribution or delivery to be made to you under this Agreement will, if you are then deceased, be made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or executor of your estate or, if the Board or the Committee permits, your designated beneficiary. Any such transferee must furnish</w:t>
      </w:r>
    </w:p>
    <w:p>
      <w:pPr>
        <w:sectPr>
          <w:pgSz w:w="11900" w:h="16838" w:orient="portrait"/>
          <w:cols w:equalWidth="0" w:num="1">
            <w:col w:w="11240"/>
          </w:cols>
          <w:pgMar w:left="320" w:top="931" w:right="339" w:bottom="1440" w:gutter="0" w:footer="0" w:header="0"/>
        </w:sectPr>
      </w:pPr>
    </w:p>
    <w:bookmarkStart w:id="120" w:name="page121"/>
    <w:bookmarkEnd w:id="120"/>
    <w:p>
      <w:pPr>
        <w:spacing w:after="0" w:line="261" w:lineRule="auto"/>
        <w:rPr>
          <w:sz w:val="20"/>
          <w:szCs w:val="20"/>
          <w:color w:val="auto"/>
        </w:rPr>
      </w:pPr>
      <w:r>
        <w:rPr>
          <w:rFonts w:ascii="Arial" w:cs="Arial" w:eastAsia="Arial" w:hAnsi="Arial"/>
          <w:sz w:val="18"/>
          <w:szCs w:val="18"/>
          <w:color w:val="auto"/>
        </w:rPr>
        <w:t>the Company with (a) written notice of your status as transferee, and (b) evidence satisfactory to the Company to establish the validity of the transfer and compliance with any laws or regulations that apply to the transfer.</w:t>
      </w:r>
    </w:p>
    <w:p>
      <w:pPr>
        <w:spacing w:after="0" w:line="194" w:lineRule="exact"/>
        <w:rPr>
          <w:sz w:val="20"/>
          <w:szCs w:val="20"/>
          <w:color w:val="auto"/>
        </w:rPr>
      </w:pPr>
    </w:p>
    <w:p>
      <w:pPr>
        <w:ind w:left="1300" w:hanging="656"/>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Forfeiture of Shares for Engaging in Certain Activities</w:t>
      </w: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jc w:val="both"/>
        <w:ind w:left="640" w:firstLine="652"/>
        <w:spacing w:after="0" w:line="239" w:lineRule="auto"/>
        <w:tabs>
          <w:tab w:leader="none" w:pos="1926"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at any time during your service as an Associate, or within one year after termination of your status as an Associate you engage in any activity which competes with any activity of the Company and/or any Affiliated Companies, or if you engage in any of the prohibited activities listed in subsection (b) below, then</w:t>
      </w:r>
    </w:p>
    <w:p>
      <w:pPr>
        <w:spacing w:after="0" w:line="216" w:lineRule="exact"/>
        <w:rPr>
          <w:rFonts w:ascii="Arial" w:cs="Arial" w:eastAsia="Arial" w:hAnsi="Arial"/>
          <w:sz w:val="18"/>
          <w:szCs w:val="18"/>
          <w:color w:val="auto"/>
        </w:rPr>
      </w:pPr>
    </w:p>
    <w:p>
      <w:pPr>
        <w:ind w:left="1940" w:hanging="338"/>
        <w:spacing w:after="0"/>
        <w:tabs>
          <w:tab w:leader="none" w:pos="1940" w:val="left"/>
        </w:tabs>
        <w:numPr>
          <w:ilvl w:val="4"/>
          <w:numId w:val="49"/>
        </w:numPr>
        <w:rPr>
          <w:rFonts w:ascii="Arial" w:cs="Arial" w:eastAsia="Arial" w:hAnsi="Arial"/>
          <w:sz w:val="18"/>
          <w:szCs w:val="18"/>
          <w:color w:val="auto"/>
        </w:rPr>
      </w:pPr>
      <w:r>
        <w:rPr>
          <w:rFonts w:ascii="Arial" w:cs="Arial" w:eastAsia="Arial" w:hAnsi="Arial"/>
          <w:sz w:val="18"/>
          <w:szCs w:val="18"/>
          <w:color w:val="auto"/>
        </w:rPr>
        <w:t>any unvested PSUs granted to you shall be canceled;</w:t>
      </w:r>
    </w:p>
    <w:p>
      <w:pPr>
        <w:spacing w:after="0" w:line="238" w:lineRule="exact"/>
        <w:rPr>
          <w:rFonts w:ascii="Arial" w:cs="Arial" w:eastAsia="Arial" w:hAnsi="Arial"/>
          <w:sz w:val="18"/>
          <w:szCs w:val="18"/>
          <w:color w:val="auto"/>
        </w:rPr>
      </w:pPr>
    </w:p>
    <w:p>
      <w:pPr>
        <w:jc w:val="both"/>
        <w:ind w:left="1300" w:firstLine="252"/>
        <w:spacing w:after="0" w:line="243" w:lineRule="auto"/>
        <w:tabs>
          <w:tab w:leader="none" w:pos="1948" w:val="left"/>
        </w:tabs>
        <w:numPr>
          <w:ilvl w:val="4"/>
          <w:numId w:val="49"/>
        </w:numPr>
        <w:rPr>
          <w:rFonts w:ascii="Arial" w:cs="Arial" w:eastAsia="Arial" w:hAnsi="Arial"/>
          <w:sz w:val="18"/>
          <w:szCs w:val="18"/>
          <w:color w:val="auto"/>
        </w:rPr>
      </w:pPr>
      <w:r>
        <w:rPr>
          <w:rFonts w:ascii="Arial" w:cs="Arial" w:eastAsia="Arial" w:hAnsi="Arial"/>
          <w:sz w:val="18"/>
          <w:szCs w:val="18"/>
          <w:color w:val="auto"/>
        </w:rPr>
        <w:t>with respect to any Shares received by you pursuant the settlement of the PSUs within the three-year period before and the three-year period after your termination date, you shall pay to the Company an amount equal to the proceeds of any sale or distribution of those Shares (the “Forfeited Shares”), or, if still held by you, the aggregate fair market value of such Forfeited Shares as of the date of vesting; and</w:t>
      </w:r>
    </w:p>
    <w:p>
      <w:pPr>
        <w:spacing w:after="0" w:line="214" w:lineRule="exact"/>
        <w:rPr>
          <w:rFonts w:ascii="Arial" w:cs="Arial" w:eastAsia="Arial" w:hAnsi="Arial"/>
          <w:sz w:val="18"/>
          <w:szCs w:val="18"/>
          <w:color w:val="auto"/>
        </w:rPr>
      </w:pPr>
    </w:p>
    <w:p>
      <w:pPr>
        <w:ind w:left="1300" w:firstLine="202"/>
        <w:spacing w:after="0" w:line="261" w:lineRule="auto"/>
        <w:tabs>
          <w:tab w:leader="none" w:pos="1948" w:val="left"/>
        </w:tabs>
        <w:numPr>
          <w:ilvl w:val="4"/>
          <w:numId w:val="49"/>
        </w:numPr>
        <w:rPr>
          <w:rFonts w:ascii="Arial" w:cs="Arial" w:eastAsia="Arial" w:hAnsi="Arial"/>
          <w:sz w:val="18"/>
          <w:szCs w:val="18"/>
          <w:color w:val="auto"/>
        </w:rPr>
      </w:pPr>
      <w:r>
        <w:rPr>
          <w:rFonts w:ascii="Arial" w:cs="Arial" w:eastAsia="Arial" w:hAnsi="Arial"/>
          <w:sz w:val="18"/>
          <w:szCs w:val="18"/>
          <w:color w:val="auto"/>
        </w:rPr>
        <w:t>the Company shall be entitled to set off against the amount of any such Forfeited Shares any amounts owed to you by the Company.</w:t>
      </w:r>
    </w:p>
    <w:p>
      <w:pPr>
        <w:spacing w:after="0" w:line="197" w:lineRule="exact"/>
        <w:rPr>
          <w:rFonts w:ascii="Arial" w:cs="Arial" w:eastAsia="Arial" w:hAnsi="Arial"/>
          <w:sz w:val="18"/>
          <w:szCs w:val="18"/>
          <w:color w:val="auto"/>
        </w:rPr>
      </w:pPr>
    </w:p>
    <w:p>
      <w:pPr>
        <w:ind w:left="1940" w:hanging="648"/>
        <w:spacing w:after="0"/>
        <w:tabs>
          <w:tab w:leader="none" w:pos="19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prohibited activities include:</w:t>
      </w:r>
    </w:p>
    <w:p>
      <w:pPr>
        <w:spacing w:after="0" w:line="238" w:lineRule="exact"/>
        <w:rPr>
          <w:rFonts w:ascii="Arial" w:cs="Arial" w:eastAsia="Arial" w:hAnsi="Arial"/>
          <w:sz w:val="18"/>
          <w:szCs w:val="18"/>
          <w:color w:val="auto"/>
        </w:rPr>
      </w:pPr>
    </w:p>
    <w:p>
      <w:pPr>
        <w:ind w:left="1300" w:firstLine="221"/>
        <w:spacing w:after="0" w:line="261" w:lineRule="auto"/>
        <w:tabs>
          <w:tab w:leader="none" w:pos="1948" w:val="left"/>
        </w:tabs>
        <w:numPr>
          <w:ilvl w:val="3"/>
          <w:numId w:val="49"/>
        </w:numPr>
        <w:rPr>
          <w:rFonts w:ascii="Arial" w:cs="Arial" w:eastAsia="Arial" w:hAnsi="Arial"/>
          <w:sz w:val="18"/>
          <w:szCs w:val="18"/>
          <w:color w:val="auto"/>
        </w:rPr>
      </w:pPr>
      <w:r>
        <w:rPr>
          <w:rFonts w:ascii="Arial" w:cs="Arial" w:eastAsia="Arial" w:hAnsi="Arial"/>
          <w:sz w:val="18"/>
          <w:szCs w:val="18"/>
          <w:color w:val="auto"/>
        </w:rPr>
        <w:t>accepting employment with or serving as a consultant, advisor or in any other capacity to anyone that is in competition with or acting against the interests of the Company;</w:t>
      </w:r>
    </w:p>
    <w:p>
      <w:pPr>
        <w:spacing w:after="0" w:line="197" w:lineRule="exact"/>
        <w:rPr>
          <w:rFonts w:ascii="Arial" w:cs="Arial" w:eastAsia="Arial" w:hAnsi="Arial"/>
          <w:sz w:val="18"/>
          <w:szCs w:val="18"/>
          <w:color w:val="auto"/>
        </w:rPr>
      </w:pPr>
    </w:p>
    <w:p>
      <w:pPr>
        <w:ind w:left="1940" w:hanging="469"/>
        <w:spacing w:after="0"/>
        <w:tabs>
          <w:tab w:leader="none" w:pos="1940" w:val="left"/>
        </w:tabs>
        <w:numPr>
          <w:ilvl w:val="3"/>
          <w:numId w:val="49"/>
        </w:numPr>
        <w:rPr>
          <w:rFonts w:ascii="Arial" w:cs="Arial" w:eastAsia="Arial" w:hAnsi="Arial"/>
          <w:sz w:val="17"/>
          <w:szCs w:val="17"/>
          <w:color w:val="auto"/>
        </w:rPr>
      </w:pPr>
      <w:r>
        <w:rPr>
          <w:rFonts w:ascii="Arial" w:cs="Arial" w:eastAsia="Arial" w:hAnsi="Arial"/>
          <w:sz w:val="17"/>
          <w:szCs w:val="17"/>
          <w:color w:val="auto"/>
        </w:rPr>
        <w:t>disclosing or misusing any confidential information or material concerning the Company or any Affiliated Company;</w:t>
      </w:r>
    </w:p>
    <w:p>
      <w:pPr>
        <w:spacing w:after="0" w:line="250" w:lineRule="exact"/>
        <w:rPr>
          <w:rFonts w:ascii="Arial" w:cs="Arial" w:eastAsia="Arial" w:hAnsi="Arial"/>
          <w:sz w:val="17"/>
          <w:szCs w:val="17"/>
          <w:color w:val="auto"/>
        </w:rPr>
      </w:pPr>
    </w:p>
    <w:p>
      <w:pPr>
        <w:ind w:left="1300" w:firstLine="121"/>
        <w:spacing w:after="0" w:line="261" w:lineRule="auto"/>
        <w:tabs>
          <w:tab w:leader="none" w:pos="1948" w:val="left"/>
        </w:tabs>
        <w:numPr>
          <w:ilvl w:val="3"/>
          <w:numId w:val="49"/>
        </w:numPr>
        <w:rPr>
          <w:rFonts w:ascii="Arial" w:cs="Arial" w:eastAsia="Arial" w:hAnsi="Arial"/>
          <w:sz w:val="18"/>
          <w:szCs w:val="18"/>
          <w:color w:val="auto"/>
        </w:rPr>
      </w:pPr>
      <w:r>
        <w:rPr>
          <w:rFonts w:ascii="Arial" w:cs="Arial" w:eastAsia="Arial" w:hAnsi="Arial"/>
          <w:sz w:val="18"/>
          <w:szCs w:val="18"/>
          <w:color w:val="auto"/>
        </w:rPr>
        <w:t>any attempt, directly or indirectly, to induce any associate of the Company or any Affiliated Company to be employed or perform services elsewhere;</w:t>
      </w:r>
    </w:p>
    <w:p>
      <w:pPr>
        <w:spacing w:after="0" w:line="197" w:lineRule="exact"/>
        <w:rPr>
          <w:rFonts w:ascii="Arial" w:cs="Arial" w:eastAsia="Arial" w:hAnsi="Arial"/>
          <w:sz w:val="18"/>
          <w:szCs w:val="18"/>
          <w:color w:val="auto"/>
        </w:rPr>
      </w:pPr>
    </w:p>
    <w:p>
      <w:pPr>
        <w:ind w:left="1300" w:firstLine="131"/>
        <w:spacing w:after="0" w:line="261" w:lineRule="auto"/>
        <w:tabs>
          <w:tab w:leader="none" w:pos="2017" w:val="left"/>
        </w:tabs>
        <w:numPr>
          <w:ilvl w:val="2"/>
          <w:numId w:val="49"/>
        </w:numPr>
        <w:rPr>
          <w:rFonts w:ascii="Arial" w:cs="Arial" w:eastAsia="Arial" w:hAnsi="Arial"/>
          <w:sz w:val="18"/>
          <w:szCs w:val="18"/>
          <w:color w:val="auto"/>
        </w:rPr>
      </w:pPr>
      <w:r>
        <w:rPr>
          <w:rFonts w:ascii="Arial" w:cs="Arial" w:eastAsia="Arial" w:hAnsi="Arial"/>
          <w:sz w:val="18"/>
          <w:szCs w:val="18"/>
          <w:color w:val="auto"/>
        </w:rPr>
        <w:t>any attempt, directly or indirectly, to solicit the trade or business of any current or prospective customer of the Company or any Affiliated Company;</w:t>
      </w:r>
    </w:p>
    <w:p>
      <w:pPr>
        <w:spacing w:after="0" w:line="197" w:lineRule="exact"/>
        <w:rPr>
          <w:rFonts w:ascii="Arial" w:cs="Arial" w:eastAsia="Arial" w:hAnsi="Arial"/>
          <w:sz w:val="18"/>
          <w:szCs w:val="18"/>
          <w:color w:val="auto"/>
        </w:rPr>
      </w:pPr>
    </w:p>
    <w:p>
      <w:pPr>
        <w:jc w:val="both"/>
        <w:ind w:left="1300" w:firstLine="181"/>
        <w:spacing w:after="0" w:line="241" w:lineRule="auto"/>
        <w:tabs>
          <w:tab w:leader="none" w:pos="1936" w:val="left"/>
        </w:tabs>
        <w:numPr>
          <w:ilvl w:val="2"/>
          <w:numId w:val="49"/>
        </w:numPr>
        <w:rPr>
          <w:rFonts w:ascii="Arial" w:cs="Arial" w:eastAsia="Arial" w:hAnsi="Arial"/>
          <w:sz w:val="18"/>
          <w:szCs w:val="18"/>
          <w:color w:val="auto"/>
        </w:rPr>
      </w:pPr>
      <w:r>
        <w:rPr>
          <w:rFonts w:ascii="Arial" w:cs="Arial" w:eastAsia="Arial" w:hAnsi="Arial"/>
          <w:sz w:val="18"/>
          <w:szCs w:val="18"/>
          <w:color w:val="auto"/>
        </w:rPr>
        <w:t>the failure or refusal to disclose promptly and to assign to the Company all right, title and interest in any invention or idea made or conceived in whole or in part by you in the course of your employment by the Company or any Affiliated Company, relating to the actual or anticipated business, research or development work of the Company or any Affiliated Company, or the failure or refusal to do anything reasonably necessary to enable the Company or any Affiliated Company to secure a patent or other intellectual property right;</w:t>
      </w:r>
    </w:p>
    <w:p>
      <w:pPr>
        <w:spacing w:after="0" w:line="216" w:lineRule="exact"/>
        <w:rPr>
          <w:rFonts w:ascii="Arial" w:cs="Arial" w:eastAsia="Arial" w:hAnsi="Arial"/>
          <w:sz w:val="18"/>
          <w:szCs w:val="18"/>
          <w:color w:val="auto"/>
        </w:rPr>
      </w:pPr>
    </w:p>
    <w:p>
      <w:pPr>
        <w:ind w:left="1940" w:hanging="509"/>
        <w:spacing w:after="0"/>
        <w:tabs>
          <w:tab w:leader="none" w:pos="1940" w:val="left"/>
        </w:tabs>
        <w:numPr>
          <w:ilvl w:val="3"/>
          <w:numId w:val="50"/>
        </w:numPr>
        <w:rPr>
          <w:rFonts w:ascii="Arial" w:cs="Arial" w:eastAsia="Arial" w:hAnsi="Arial"/>
          <w:sz w:val="18"/>
          <w:szCs w:val="18"/>
          <w:color w:val="auto"/>
        </w:rPr>
      </w:pPr>
      <w:r>
        <w:rPr>
          <w:rFonts w:ascii="Arial" w:cs="Arial" w:eastAsia="Arial" w:hAnsi="Arial"/>
          <w:sz w:val="18"/>
          <w:szCs w:val="18"/>
          <w:color w:val="auto"/>
        </w:rPr>
        <w:t>participating in a hostile takeover attempt against the Company;</w:t>
      </w:r>
    </w:p>
    <w:p>
      <w:pPr>
        <w:spacing w:after="0" w:line="238" w:lineRule="exact"/>
        <w:rPr>
          <w:rFonts w:ascii="Arial" w:cs="Arial" w:eastAsia="Arial" w:hAnsi="Arial"/>
          <w:sz w:val="18"/>
          <w:szCs w:val="18"/>
          <w:color w:val="auto"/>
        </w:rPr>
      </w:pPr>
    </w:p>
    <w:p>
      <w:pPr>
        <w:ind w:left="1940" w:hanging="559"/>
        <w:spacing w:after="0"/>
        <w:tabs>
          <w:tab w:leader="none" w:pos="1940" w:val="left"/>
        </w:tabs>
        <w:numPr>
          <w:ilvl w:val="3"/>
          <w:numId w:val="50"/>
        </w:numPr>
        <w:rPr>
          <w:rFonts w:ascii="Arial" w:cs="Arial" w:eastAsia="Arial" w:hAnsi="Arial"/>
          <w:sz w:val="17"/>
          <w:szCs w:val="17"/>
          <w:color w:val="auto"/>
        </w:rPr>
      </w:pPr>
      <w:r>
        <w:rPr>
          <w:rFonts w:ascii="Arial" w:cs="Arial" w:eastAsia="Arial" w:hAnsi="Arial"/>
          <w:sz w:val="17"/>
          <w:szCs w:val="17"/>
          <w:color w:val="auto"/>
        </w:rPr>
        <w:t>a material violation of Company policy, including, without limitation, the Company's insider trading policies; or</w:t>
      </w:r>
    </w:p>
    <w:p>
      <w:pPr>
        <w:spacing w:after="0" w:line="250" w:lineRule="exact"/>
        <w:rPr>
          <w:rFonts w:ascii="Arial" w:cs="Arial" w:eastAsia="Arial" w:hAnsi="Arial"/>
          <w:sz w:val="17"/>
          <w:szCs w:val="17"/>
          <w:color w:val="auto"/>
        </w:rPr>
      </w:pPr>
    </w:p>
    <w:p>
      <w:pPr>
        <w:ind w:left="1300" w:right="20" w:firstLine="31"/>
        <w:spacing w:after="0" w:line="261" w:lineRule="auto"/>
        <w:tabs>
          <w:tab w:leader="none" w:pos="1948" w:val="left"/>
        </w:tabs>
        <w:numPr>
          <w:ilvl w:val="3"/>
          <w:numId w:val="50"/>
        </w:numPr>
        <w:rPr>
          <w:rFonts w:ascii="Arial" w:cs="Arial" w:eastAsia="Arial" w:hAnsi="Arial"/>
          <w:sz w:val="18"/>
          <w:szCs w:val="18"/>
          <w:color w:val="auto"/>
        </w:rPr>
      </w:pPr>
      <w:r>
        <w:rPr>
          <w:rFonts w:ascii="Arial" w:cs="Arial" w:eastAsia="Arial" w:hAnsi="Arial"/>
          <w:sz w:val="18"/>
          <w:szCs w:val="18"/>
          <w:color w:val="auto"/>
        </w:rPr>
        <w:t>conduct related to your employment for which you have been convicted of criminal conduct or for which you have been assessed civil penalties.</w:t>
      </w:r>
    </w:p>
    <w:p>
      <w:pPr>
        <w:spacing w:after="0" w:line="197" w:lineRule="exact"/>
        <w:rPr>
          <w:rFonts w:ascii="Arial" w:cs="Arial" w:eastAsia="Arial" w:hAnsi="Arial"/>
          <w:sz w:val="18"/>
          <w:szCs w:val="18"/>
          <w:color w:val="auto"/>
        </w:rPr>
      </w:pPr>
    </w:p>
    <w:p>
      <w:pPr>
        <w:ind w:left="640" w:firstLine="652"/>
        <w:spacing w:after="0" w:line="261" w:lineRule="auto"/>
        <w:tabs>
          <w:tab w:leader="none" w:pos="1926" w:val="left"/>
        </w:tabs>
        <w:numPr>
          <w:ilvl w:val="1"/>
          <w:numId w:val="51"/>
        </w:numPr>
        <w:rPr>
          <w:rFonts w:ascii="Arial" w:cs="Arial" w:eastAsia="Arial" w:hAnsi="Arial"/>
          <w:sz w:val="18"/>
          <w:szCs w:val="18"/>
          <w:color w:val="auto"/>
        </w:rPr>
      </w:pPr>
      <w:r>
        <w:rPr>
          <w:rFonts w:ascii="Arial" w:cs="Arial" w:eastAsia="Arial" w:hAnsi="Arial"/>
          <w:sz w:val="18"/>
          <w:szCs w:val="18"/>
          <w:color w:val="auto"/>
        </w:rPr>
        <w:t>Upon receipt of any Shares pursuant to Section 2 of this Agreement, you agree to certify, if requested by the Company, that you are in compliance with the terms and conditions of this Agreement.</w:t>
      </w:r>
    </w:p>
    <w:p>
      <w:pPr>
        <w:spacing w:after="0" w:line="197" w:lineRule="exact"/>
        <w:rPr>
          <w:rFonts w:ascii="Arial" w:cs="Arial" w:eastAsia="Arial" w:hAnsi="Arial"/>
          <w:sz w:val="18"/>
          <w:szCs w:val="18"/>
          <w:color w:val="auto"/>
        </w:rPr>
      </w:pPr>
    </w:p>
    <w:p>
      <w:pPr>
        <w:ind w:left="640" w:firstLine="652"/>
        <w:spacing w:after="0" w:line="261" w:lineRule="auto"/>
        <w:tabs>
          <w:tab w:leader="none" w:pos="1936" w:val="left"/>
        </w:tabs>
        <w:numPr>
          <w:ilvl w:val="1"/>
          <w:numId w:val="51"/>
        </w:numPr>
        <w:rPr>
          <w:rFonts w:ascii="Arial" w:cs="Arial" w:eastAsia="Arial" w:hAnsi="Arial"/>
          <w:sz w:val="18"/>
          <w:szCs w:val="18"/>
          <w:color w:val="auto"/>
        </w:rPr>
      </w:pPr>
      <w:r>
        <w:rPr>
          <w:rFonts w:ascii="Arial" w:cs="Arial" w:eastAsia="Arial" w:hAnsi="Arial"/>
          <w:sz w:val="18"/>
          <w:szCs w:val="18"/>
          <w:color w:val="auto"/>
        </w:rPr>
        <w:t>You may be released from your obligations under this Section 7 only if the Board or the Committee, or its authorized designee(s), determines in its sole discretion that to do so is in the best interests of the Company.</w:t>
      </w:r>
    </w:p>
    <w:p>
      <w:pPr>
        <w:sectPr>
          <w:pgSz w:w="11900" w:h="16838" w:orient="portrait"/>
          <w:cols w:equalWidth="0" w:num="1">
            <w:col w:w="10580"/>
          </w:cols>
          <w:pgMar w:left="980" w:top="935" w:right="339" w:bottom="1440" w:gutter="0" w:footer="0" w:header="0"/>
        </w:sectPr>
      </w:pPr>
    </w:p>
    <w:bookmarkStart w:id="121" w:name="page122"/>
    <w:bookmarkEnd w:id="121"/>
    <w:p>
      <w:pPr>
        <w:jc w:val="both"/>
        <w:ind w:left="-460" w:firstLine="644"/>
        <w:spacing w:after="0" w:line="264" w:lineRule="auto"/>
        <w:tabs>
          <w:tab w:leader="none" w:pos="836"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Restriction on Transfer</w:t>
      </w:r>
      <w:r>
        <w:rPr>
          <w:rFonts w:ascii="Arial" w:cs="Arial" w:eastAsia="Arial" w:hAnsi="Arial"/>
          <w:sz w:val="17"/>
          <w:szCs w:val="17"/>
          <w:color w:val="auto"/>
        </w:rPr>
        <w:t>. PSUs may not be sold, assigned, transferred, pledged, hypothecated or otherwise disposed of by you</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provided under the Plan, and any unauthorized purported sale, assignment, transfer, pledge, hypothecation or other disposition shall be void and unenforceable against the Company. If any PSUs are transferred, this Agreement will be binding upon and inure to the benefit of the heirs, legatees, legal representatives, successors, and assigns of the parties to this Agreement.</w:t>
      </w:r>
    </w:p>
    <w:p>
      <w:pPr>
        <w:spacing w:after="0" w:line="192" w:lineRule="exact"/>
        <w:rPr>
          <w:rFonts w:ascii="Arial" w:cs="Arial" w:eastAsia="Arial" w:hAnsi="Arial"/>
          <w:sz w:val="17"/>
          <w:szCs w:val="17"/>
          <w:color w:val="auto"/>
        </w:rPr>
      </w:pPr>
    </w:p>
    <w:p>
      <w:pPr>
        <w:ind w:left="840" w:hanging="656"/>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Tax Obligations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b w:val="1"/>
          <w:bCs w:val="1"/>
          <w:color w:val="auto"/>
        </w:rPr>
        <w:t>Tax Withholding</w:t>
      </w:r>
      <w:r>
        <w:rPr>
          <w:rFonts w:ascii="Arial" w:cs="Arial" w:eastAsia="Arial" w:hAnsi="Arial"/>
          <w:sz w:val="16"/>
          <w:szCs w:val="16"/>
          <w:color w:val="auto"/>
        </w:rPr>
        <w:t>.</w:t>
      </w:r>
    </w:p>
    <w:p>
      <w:pPr>
        <w:spacing w:after="0" w:line="242" w:lineRule="exact"/>
        <w:rPr>
          <w:rFonts w:ascii="Arial" w:cs="Arial" w:eastAsia="Arial" w:hAnsi="Arial"/>
          <w:sz w:val="18"/>
          <w:szCs w:val="18"/>
          <w:color w:val="auto"/>
        </w:rPr>
      </w:pPr>
    </w:p>
    <w:p>
      <w:pPr>
        <w:jc w:val="both"/>
        <w:ind w:left="840" w:firstLine="221"/>
        <w:spacing w:after="0" w:line="268" w:lineRule="auto"/>
        <w:tabs>
          <w:tab w:leader="none" w:pos="1488" w:val="left"/>
        </w:tabs>
        <w:numPr>
          <w:ilvl w:val="3"/>
          <w:numId w:val="52"/>
        </w:numPr>
        <w:rPr>
          <w:rFonts w:ascii="Arial" w:cs="Arial" w:eastAsia="Arial" w:hAnsi="Arial"/>
          <w:sz w:val="16"/>
          <w:szCs w:val="16"/>
          <w:color w:val="auto"/>
        </w:rPr>
      </w:pPr>
      <w:r>
        <w:rPr>
          <w:rFonts w:ascii="Arial" w:cs="Arial" w:eastAsia="Arial" w:hAnsi="Arial"/>
          <w:sz w:val="16"/>
          <w:szCs w:val="16"/>
          <w:color w:val="auto"/>
        </w:rPr>
        <w:t>No Shares will be issued to you until you make satisfactory arrangements (as determined by the Board or the Committee) for the payment of Tax Withholdings, payment on account or other tax-related items related to your participation in the Plan and legally applicable to you that the Board or the Committee determines must be withheld (“Tax-Related Items”), including those that result from the grant, vesting, or payment of the PSUs, the subsequent sale of Shares acquired pursuant to such payment, or the receipt of any dividends. If you are a non-U.S. employee, the method of payment of Tax-Related Items may be restricted by any Appendix (as defined below). If you fail to make satisfactory arrangements for the payment of any Tax-Related Items under this Agreement when any of these PSUs otherwise are supposed to vest or Tax Related Items related to PSUs otherwise are due, you will permanently forfeit the applicable PSUs and any right to receive Shares under such PSUs, and such PSUs will be returned to the Company at no cost to the Company. For purposes of this Agreement, “Tax Withholdings” means tax, social insurance and social security liability or premium obligations in connection with the PSUs, including, without limitation, (1) all federal, state, and local income, employment and any other taxes (including your U.S. Federal Insurance Contributions Act (FICA) obligation) that are required to be withheld by the Company or applicable Affiliated Company, (2) your fringe benefit tax liability and, to the extent required by the Company, the fringe benefit tax liability of the Company or the applicable Affiliated Company, if any, associated with the grant, vesting, or exercise of the PSUs or sale of Shares issued under the PSUs, and (3) any other taxes or social insurance or social security liabilities or premium the responsibility for which you have, or have agreed to bear, with respect to the PSUs or the Shares subject to the PSUs (“Tax Withholdings”).</w:t>
      </w:r>
    </w:p>
    <w:p>
      <w:pPr>
        <w:spacing w:after="0" w:line="195" w:lineRule="exact"/>
        <w:rPr>
          <w:rFonts w:ascii="Arial" w:cs="Arial" w:eastAsia="Arial" w:hAnsi="Arial"/>
          <w:sz w:val="16"/>
          <w:szCs w:val="16"/>
          <w:color w:val="auto"/>
        </w:rPr>
      </w:pPr>
    </w:p>
    <w:p>
      <w:pPr>
        <w:jc w:val="both"/>
        <w:ind w:left="840" w:firstLine="171"/>
        <w:spacing w:after="0" w:line="243" w:lineRule="auto"/>
        <w:tabs>
          <w:tab w:leader="none" w:pos="1488" w:val="left"/>
        </w:tabs>
        <w:numPr>
          <w:ilvl w:val="3"/>
          <w:numId w:val="52"/>
        </w:numPr>
        <w:rPr>
          <w:rFonts w:ascii="Arial" w:cs="Arial" w:eastAsia="Arial" w:hAnsi="Arial"/>
          <w:sz w:val="18"/>
          <w:szCs w:val="18"/>
          <w:color w:val="auto"/>
        </w:rPr>
      </w:pPr>
      <w:r>
        <w:rPr>
          <w:rFonts w:ascii="Arial" w:cs="Arial" w:eastAsia="Arial" w:hAnsi="Arial"/>
          <w:sz w:val="18"/>
          <w:szCs w:val="18"/>
          <w:color w:val="auto"/>
        </w:rPr>
        <w:t>The Company has the right (but not the obligation) to satisfy any Tax-Related Items by withholding from proceeds of a sale of Shares acquired upon payment of these PSUs arranged by the Company (on your behalf pursuant to this authorization without further consent), and this will be the method by which such tax withholding obligations are satisfied until the Company determines otherwise, subject to applicable laws.</w:t>
      </w:r>
    </w:p>
    <w:p>
      <w:pPr>
        <w:spacing w:after="0" w:line="214" w:lineRule="exact"/>
        <w:rPr>
          <w:rFonts w:ascii="Arial" w:cs="Arial" w:eastAsia="Arial" w:hAnsi="Arial"/>
          <w:sz w:val="18"/>
          <w:szCs w:val="18"/>
          <w:color w:val="auto"/>
        </w:rPr>
      </w:pPr>
    </w:p>
    <w:p>
      <w:pPr>
        <w:ind w:left="840" w:firstLine="121"/>
        <w:spacing w:after="0" w:line="261" w:lineRule="auto"/>
        <w:tabs>
          <w:tab w:leader="none" w:pos="1488" w:val="left"/>
        </w:tabs>
        <w:numPr>
          <w:ilvl w:val="3"/>
          <w:numId w:val="52"/>
        </w:numPr>
        <w:rPr>
          <w:rFonts w:ascii="Arial" w:cs="Arial" w:eastAsia="Arial" w:hAnsi="Arial"/>
          <w:sz w:val="18"/>
          <w:szCs w:val="18"/>
          <w:color w:val="auto"/>
        </w:rPr>
      </w:pPr>
      <w:r>
        <w:rPr>
          <w:rFonts w:ascii="Arial" w:cs="Arial" w:eastAsia="Arial" w:hAnsi="Arial"/>
          <w:sz w:val="18"/>
          <w:szCs w:val="18"/>
          <w:color w:val="auto"/>
        </w:rPr>
        <w:t>The Company also has the right (but not the obligation) to satisfy any Tax-Related Items by reducing the number of Shares otherwise deliverable to you).</w:t>
      </w:r>
    </w:p>
    <w:p>
      <w:pPr>
        <w:spacing w:after="0" w:line="197" w:lineRule="exact"/>
        <w:rPr>
          <w:rFonts w:ascii="Arial" w:cs="Arial" w:eastAsia="Arial" w:hAnsi="Arial"/>
          <w:sz w:val="18"/>
          <w:szCs w:val="18"/>
          <w:color w:val="auto"/>
        </w:rPr>
      </w:pPr>
    </w:p>
    <w:p>
      <w:pPr>
        <w:jc w:val="both"/>
        <w:ind w:left="840" w:firstLine="131"/>
        <w:spacing w:after="0" w:line="270" w:lineRule="auto"/>
        <w:tabs>
          <w:tab w:leader="none" w:pos="1476" w:val="left"/>
        </w:tabs>
        <w:numPr>
          <w:ilvl w:val="2"/>
          <w:numId w:val="52"/>
        </w:numPr>
        <w:rPr>
          <w:rFonts w:ascii="Arial" w:cs="Arial" w:eastAsia="Arial" w:hAnsi="Arial"/>
          <w:sz w:val="17"/>
          <w:szCs w:val="17"/>
          <w:color w:val="auto"/>
        </w:rPr>
      </w:pPr>
      <w:r>
        <w:rPr>
          <w:rFonts w:ascii="Arial" w:cs="Arial" w:eastAsia="Arial" w:hAnsi="Arial"/>
          <w:sz w:val="17"/>
          <w:szCs w:val="17"/>
          <w:color w:val="auto"/>
        </w:rPr>
        <w:t>Further, if you are subject to taxation in more than one jurisdiction between the Date of Grant and the date of any relevant taxable or tax withholding event, the Company and/or any Affiliated Company for whom you are performing services (each, an “Employer”) or former Employer(s) may withhold or account for tax in more than one jurisdiction.</w:t>
      </w:r>
    </w:p>
    <w:p>
      <w:pPr>
        <w:spacing w:after="0" w:line="190" w:lineRule="exact"/>
        <w:rPr>
          <w:rFonts w:ascii="Arial" w:cs="Arial" w:eastAsia="Arial" w:hAnsi="Arial"/>
          <w:sz w:val="17"/>
          <w:szCs w:val="17"/>
          <w:color w:val="auto"/>
        </w:rPr>
      </w:pPr>
    </w:p>
    <w:p>
      <w:pPr>
        <w:jc w:val="both"/>
        <w:ind w:left="840" w:firstLine="181"/>
        <w:spacing w:after="0" w:line="294" w:lineRule="auto"/>
        <w:tabs>
          <w:tab w:leader="none" w:pos="1523" w:val="left"/>
        </w:tabs>
        <w:numPr>
          <w:ilvl w:val="2"/>
          <w:numId w:val="52"/>
        </w:numPr>
        <w:rPr>
          <w:rFonts w:ascii="Arial" w:cs="Arial" w:eastAsia="Arial" w:hAnsi="Arial"/>
          <w:sz w:val="16"/>
          <w:szCs w:val="16"/>
          <w:color w:val="auto"/>
        </w:rPr>
      </w:pPr>
      <w:r>
        <w:rPr>
          <w:rFonts w:ascii="Arial" w:cs="Arial" w:eastAsia="Arial" w:hAnsi="Arial"/>
          <w:sz w:val="16"/>
          <w:szCs w:val="16"/>
          <w:color w:val="auto"/>
        </w:rPr>
        <w:t>of any action of the Company or the Employer(s), you acknowledge that the ultimate liability for all Tax-Related Items is and remains your responsibility and may exceed the amount actually withheld by the Company or the Employer(s). You further acknowledge that the Company and the Employer(s) (1) make no representations or undertakings regarding the</w:t>
      </w:r>
    </w:p>
    <w:p>
      <w:pPr>
        <w:sectPr>
          <w:pgSz w:w="11900" w:h="16838" w:orient="portrait"/>
          <w:cols w:equalWidth="0" w:num="1">
            <w:col w:w="10120"/>
          </w:cols>
          <w:pgMar w:left="1440" w:top="1174" w:right="339" w:bottom="1440" w:gutter="0" w:footer="0" w:header="0"/>
        </w:sectPr>
      </w:pPr>
    </w:p>
    <w:bookmarkStart w:id="122" w:name="page123"/>
    <w:bookmarkEnd w:id="122"/>
    <w:p>
      <w:pPr>
        <w:jc w:val="both"/>
        <w:ind w:left="840"/>
        <w:spacing w:after="0" w:line="248" w:lineRule="auto"/>
        <w:rPr>
          <w:sz w:val="20"/>
          <w:szCs w:val="20"/>
          <w:color w:val="auto"/>
        </w:rPr>
      </w:pPr>
      <w:r>
        <w:rPr>
          <w:rFonts w:ascii="Arial" w:cs="Arial" w:eastAsia="Arial" w:hAnsi="Arial"/>
          <w:sz w:val="18"/>
          <w:szCs w:val="18"/>
          <w:color w:val="auto"/>
        </w:rPr>
        <w:t>treatment of any Tax-Related Items in connection with any aspect of these PSUs and (2) do not commit to and are under no obligation to structure the terms of the grant or any aspect of these PSUs to reduce or eliminate your liability for Tax-Related Items or achieve any particular tax result.</w:t>
      </w:r>
    </w:p>
    <w:p>
      <w:pPr>
        <w:spacing w:after="0" w:line="205" w:lineRule="exact"/>
        <w:rPr>
          <w:sz w:val="20"/>
          <w:szCs w:val="20"/>
          <w:color w:val="auto"/>
        </w:rPr>
      </w:pPr>
    </w:p>
    <w:p>
      <w:pPr>
        <w:ind w:left="1480" w:hanging="648"/>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This Section 9(b) does not apply if you are not a U.S. income taxpayer.</w:t>
      </w:r>
    </w:p>
    <w:p>
      <w:pPr>
        <w:spacing w:after="0" w:line="242" w:lineRule="exact"/>
        <w:rPr>
          <w:rFonts w:ascii="Arial" w:cs="Arial" w:eastAsia="Arial" w:hAnsi="Arial"/>
          <w:sz w:val="18"/>
          <w:szCs w:val="18"/>
          <w:color w:val="auto"/>
        </w:rPr>
      </w:pPr>
    </w:p>
    <w:p>
      <w:pPr>
        <w:jc w:val="both"/>
        <w:ind w:left="840" w:firstLine="221"/>
        <w:spacing w:after="0" w:line="241" w:lineRule="auto"/>
        <w:tabs>
          <w:tab w:leader="none" w:pos="1488" w:val="left"/>
        </w:tabs>
        <w:numPr>
          <w:ilvl w:val="3"/>
          <w:numId w:val="53"/>
        </w:numPr>
        <w:rPr>
          <w:rFonts w:ascii="Arial" w:cs="Arial" w:eastAsia="Arial" w:hAnsi="Arial"/>
          <w:sz w:val="18"/>
          <w:szCs w:val="18"/>
          <w:color w:val="auto"/>
        </w:rPr>
      </w:pPr>
      <w:r>
        <w:rPr>
          <w:rFonts w:ascii="Arial" w:cs="Arial" w:eastAsia="Arial" w:hAnsi="Arial"/>
          <w:sz w:val="18"/>
          <w:szCs w:val="18"/>
          <w:color w:val="auto"/>
        </w:rPr>
        <w:t>If the vesting of any PSUs is accelerated in connection with a termination of your status as an Associate that is a “separation from service” within the meaning of Code Section 409A and (x) you are a “specified employee” within the meaning of Code Section 409A at that time and (y) the payment of such accelerated PSUs would result in the imposition of additional tax under Code Section 409A if paid to you within the 6-month period following such termination, then the accelerated PSUs will not be paid until the first day after the 6-month period ends.</w:t>
      </w:r>
    </w:p>
    <w:p>
      <w:pPr>
        <w:spacing w:after="0" w:line="216" w:lineRule="exact"/>
        <w:rPr>
          <w:rFonts w:ascii="Arial" w:cs="Arial" w:eastAsia="Arial" w:hAnsi="Arial"/>
          <w:sz w:val="18"/>
          <w:szCs w:val="18"/>
          <w:color w:val="auto"/>
        </w:rPr>
      </w:pPr>
    </w:p>
    <w:p>
      <w:pPr>
        <w:jc w:val="both"/>
        <w:ind w:left="840" w:firstLine="171"/>
        <w:spacing w:after="0" w:line="248" w:lineRule="auto"/>
        <w:tabs>
          <w:tab w:leader="none" w:pos="1488" w:val="left"/>
        </w:tabs>
        <w:numPr>
          <w:ilvl w:val="3"/>
          <w:numId w:val="53"/>
        </w:numPr>
        <w:rPr>
          <w:rFonts w:ascii="Arial" w:cs="Arial" w:eastAsia="Arial" w:hAnsi="Arial"/>
          <w:sz w:val="18"/>
          <w:szCs w:val="18"/>
          <w:color w:val="auto"/>
        </w:rPr>
      </w:pPr>
      <w:r>
        <w:rPr>
          <w:rFonts w:ascii="Arial" w:cs="Arial" w:eastAsia="Arial" w:hAnsi="Arial"/>
          <w:sz w:val="18"/>
          <w:szCs w:val="18"/>
          <w:color w:val="auto"/>
        </w:rPr>
        <w:t>If your status as an Associate terminates due to death or you die after you stop being an Associate, the delay under Section 9(b)(i) of this Agreement will not apply, and these PSUs will be paid in Shares to your estate (or such other person as specified in Section 6 above) as soon as practicable.</w:t>
      </w:r>
    </w:p>
    <w:p>
      <w:pPr>
        <w:spacing w:after="0" w:line="208" w:lineRule="exact"/>
        <w:rPr>
          <w:rFonts w:ascii="Arial" w:cs="Arial" w:eastAsia="Arial" w:hAnsi="Arial"/>
          <w:sz w:val="18"/>
          <w:szCs w:val="18"/>
          <w:color w:val="auto"/>
        </w:rPr>
      </w:pPr>
    </w:p>
    <w:p>
      <w:pPr>
        <w:jc w:val="both"/>
        <w:ind w:left="840" w:firstLine="121"/>
        <w:spacing w:after="0"/>
        <w:tabs>
          <w:tab w:leader="none" w:pos="1488" w:val="left"/>
        </w:tabs>
        <w:numPr>
          <w:ilvl w:val="3"/>
          <w:numId w:val="53"/>
        </w:numPr>
        <w:rPr>
          <w:rFonts w:ascii="Arial" w:cs="Arial" w:eastAsia="Arial" w:hAnsi="Arial"/>
          <w:sz w:val="18"/>
          <w:szCs w:val="18"/>
          <w:color w:val="auto"/>
        </w:rPr>
      </w:pPr>
      <w:r>
        <w:rPr>
          <w:rFonts w:ascii="Arial" w:cs="Arial" w:eastAsia="Arial" w:hAnsi="Arial"/>
          <w:sz w:val="18"/>
          <w:szCs w:val="18"/>
          <w:color w:val="auto"/>
        </w:rPr>
        <w:t>All payments and benefits under this Agreement are intended to be exempt from Code Section 409A or comply with any requirements necessary to avoid the imposition of additional tax under Code Section 409A(a)(1)(B) so that none of these PSUs or Shares issuable upon the vesting of PSUs will be subject to the additional tax imposed under Code Section 409A, and any ambiguities or ambiguous terms will be interpreted according to that intent. In no event will the Company or any Affiliated Company have any obligation or liability to reimburse, indemnify, or hold you harmless for any taxes imposed, or other costs incurred, as a result of Code Section 409A.</w:t>
      </w:r>
    </w:p>
    <w:p>
      <w:pPr>
        <w:spacing w:after="0" w:line="216" w:lineRule="exact"/>
        <w:rPr>
          <w:rFonts w:ascii="Arial" w:cs="Arial" w:eastAsia="Arial" w:hAnsi="Arial"/>
          <w:sz w:val="18"/>
          <w:szCs w:val="18"/>
          <w:color w:val="auto"/>
        </w:rPr>
      </w:pPr>
    </w:p>
    <w:p>
      <w:pPr>
        <w:ind w:left="1460" w:hanging="489"/>
        <w:spacing w:after="0"/>
        <w:tabs>
          <w:tab w:leader="none" w:pos="1460" w:val="left"/>
        </w:tabs>
        <w:numPr>
          <w:ilvl w:val="2"/>
          <w:numId w:val="53"/>
        </w:numPr>
        <w:rPr>
          <w:rFonts w:ascii="Arial" w:cs="Arial" w:eastAsia="Arial" w:hAnsi="Arial"/>
          <w:sz w:val="17"/>
          <w:szCs w:val="17"/>
          <w:color w:val="auto"/>
        </w:rPr>
      </w:pPr>
      <w:r>
        <w:rPr>
          <w:rFonts w:ascii="Arial" w:cs="Arial" w:eastAsia="Arial" w:hAnsi="Arial"/>
          <w:sz w:val="17"/>
          <w:szCs w:val="17"/>
          <w:color w:val="auto"/>
        </w:rPr>
        <w:t>Each payment under this Agreement is a separate payment under Treasury Regulations Section 1.409A-2(b)(2).</w:t>
      </w:r>
    </w:p>
    <w:p>
      <w:pPr>
        <w:spacing w:after="0" w:line="246" w:lineRule="exact"/>
        <w:rPr>
          <w:rFonts w:ascii="Arial" w:cs="Arial" w:eastAsia="Arial" w:hAnsi="Arial"/>
          <w:sz w:val="17"/>
          <w:szCs w:val="17"/>
          <w:color w:val="auto"/>
        </w:rPr>
      </w:pPr>
    </w:p>
    <w:p>
      <w:pPr>
        <w:ind w:left="820" w:hanging="636"/>
        <w:spacing w:after="0"/>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Acknowledgments and Agreements</w:t>
      </w:r>
      <w:r>
        <w:rPr>
          <w:rFonts w:ascii="Arial" w:cs="Arial" w:eastAsia="Arial" w:hAnsi="Arial"/>
          <w:sz w:val="18"/>
          <w:szCs w:val="18"/>
          <w:color w:val="auto"/>
        </w:rPr>
        <w:t>. Your signature on the Notice accepting these PSUs indicates that:</w:t>
      </w:r>
    </w:p>
    <w:p>
      <w:pPr>
        <w:spacing w:after="0" w:line="242" w:lineRule="exact"/>
        <w:rPr>
          <w:rFonts w:ascii="Arial" w:cs="Arial" w:eastAsia="Arial" w:hAnsi="Arial"/>
          <w:sz w:val="18"/>
          <w:szCs w:val="18"/>
          <w:color w:val="auto"/>
        </w:rPr>
      </w:pPr>
    </w:p>
    <w:p>
      <w:pPr>
        <w:jc w:val="both"/>
        <w:ind w:left="180" w:firstLine="652"/>
        <w:spacing w:after="0" w:line="270" w:lineRule="auto"/>
        <w:tabs>
          <w:tab w:leader="none" w:pos="1466" w:val="left"/>
        </w:tabs>
        <w:numPr>
          <w:ilvl w:val="1"/>
          <w:numId w:val="54"/>
        </w:numPr>
        <w:rPr>
          <w:rFonts w:ascii="Arial" w:cs="Arial" w:eastAsia="Arial" w:hAnsi="Arial"/>
          <w:sz w:val="17"/>
          <w:szCs w:val="17"/>
          <w:color w:val="auto"/>
        </w:rPr>
      </w:pPr>
      <w:r>
        <w:rPr>
          <w:rFonts w:ascii="Arial" w:cs="Arial" w:eastAsia="Arial" w:hAnsi="Arial"/>
          <w:sz w:val="17"/>
          <w:szCs w:val="17"/>
          <w:color w:val="auto"/>
        </w:rPr>
        <w:t>YOU ACKNOWLEDGE AND AGREE THAT THE VESTING OF THESE PSUs IS EARNED ONLY BY CONTINUING AS AN ASSOCIATE AND THE ACHIEVEMENT OF CERTAIN PERFORMANCE OBJECTIVES AS SET FORTH IN THE ADDENDUM, AND THAT BEING HIRED OR BEING GRANTED THESE PSUs WILL NOT RESULT IN VESTING.</w:t>
      </w:r>
    </w:p>
    <w:p>
      <w:pPr>
        <w:spacing w:after="0" w:line="190" w:lineRule="exact"/>
        <w:rPr>
          <w:rFonts w:ascii="Arial" w:cs="Arial" w:eastAsia="Arial" w:hAnsi="Arial"/>
          <w:sz w:val="17"/>
          <w:szCs w:val="17"/>
          <w:color w:val="auto"/>
        </w:rPr>
      </w:pPr>
    </w:p>
    <w:p>
      <w:pPr>
        <w:jc w:val="both"/>
        <w:ind w:left="180" w:firstLine="652"/>
        <w:spacing w:after="0" w:line="241" w:lineRule="auto"/>
        <w:tabs>
          <w:tab w:leader="none" w:pos="1476"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 FURTHER ACKNOWLEDGE AND AGREE THAT THESE PSUs AND THIS AGREEMENT DO NOT CREATE AN EXPRESS OR IMPLIED PROMISE OF CONTINUED ENGAGEMENT AS AN ASSOCIATE FOR THE VESTING PERIOD, FOR ANY PERIOD, OR AT ALL AND WILL NOT INTERFERE IN ANY WAY WITH YOUR RIGHT OR THE RIGHT OF THE EMPLOYER(S) TO TERMINATE YOUR RELATIONSHIP AS AN ASSOCIATE AT ANY TIME, WITH OR WITHOUT CAUSE, SUBJECT TO APPLICABLE LAWS.</w:t>
      </w:r>
    </w:p>
    <w:p>
      <w:pPr>
        <w:spacing w:after="0" w:line="216" w:lineRule="exact"/>
        <w:rPr>
          <w:rFonts w:ascii="Arial" w:cs="Arial" w:eastAsia="Arial" w:hAnsi="Arial"/>
          <w:sz w:val="18"/>
          <w:szCs w:val="18"/>
          <w:color w:val="auto"/>
        </w:rPr>
      </w:pPr>
    </w:p>
    <w:p>
      <w:pPr>
        <w:ind w:left="180" w:right="20" w:firstLine="652"/>
        <w:spacing w:after="0" w:line="324" w:lineRule="auto"/>
        <w:tabs>
          <w:tab w:leader="none" w:pos="1466" w:val="left"/>
        </w:tabs>
        <w:numPr>
          <w:ilvl w:val="1"/>
          <w:numId w:val="54"/>
        </w:numPr>
        <w:rPr>
          <w:rFonts w:ascii="Arial" w:cs="Arial" w:eastAsia="Arial" w:hAnsi="Arial"/>
          <w:sz w:val="16"/>
          <w:szCs w:val="16"/>
          <w:color w:val="auto"/>
        </w:rPr>
      </w:pPr>
      <w:r>
        <w:rPr>
          <w:rFonts w:ascii="Arial" w:cs="Arial" w:eastAsia="Arial" w:hAnsi="Arial"/>
          <w:sz w:val="16"/>
          <w:szCs w:val="16"/>
          <w:color w:val="auto"/>
        </w:rPr>
        <w:t>You agree that this Agreement and its incorporated documents reflect all agreements on its subject matters and that you are not accepting this Agreement based on any promises, representations, or inducements other than those reflected in this Agreement.</w:t>
      </w:r>
    </w:p>
    <w:p>
      <w:pPr>
        <w:spacing w:after="0" w:line="151" w:lineRule="exact"/>
        <w:rPr>
          <w:rFonts w:ascii="Arial" w:cs="Arial" w:eastAsia="Arial" w:hAnsi="Arial"/>
          <w:sz w:val="16"/>
          <w:szCs w:val="16"/>
          <w:color w:val="auto"/>
        </w:rPr>
      </w:pPr>
    </w:p>
    <w:p>
      <w:pPr>
        <w:jc w:val="both"/>
        <w:ind w:left="180" w:firstLine="652"/>
        <w:spacing w:after="0" w:line="248" w:lineRule="auto"/>
        <w:tabs>
          <w:tab w:leader="none" w:pos="1476" w:val="left"/>
        </w:tabs>
        <w:numPr>
          <w:ilvl w:val="1"/>
          <w:numId w:val="54"/>
        </w:numPr>
        <w:rPr>
          <w:rFonts w:ascii="Arial" w:cs="Arial" w:eastAsia="Arial" w:hAnsi="Arial"/>
          <w:sz w:val="18"/>
          <w:szCs w:val="18"/>
          <w:color w:val="auto"/>
        </w:rPr>
      </w:pPr>
      <w:r>
        <w:rPr>
          <w:rFonts w:ascii="Arial" w:cs="Arial" w:eastAsia="Arial" w:hAnsi="Arial"/>
          <w:sz w:val="18"/>
          <w:szCs w:val="18"/>
          <w:color w:val="auto"/>
        </w:rPr>
        <w:t>You agree that the Company’s delivery of any documents related to the Plan or these PSUs (including the Plan, this Agreement, the Plan’s prospectus, and any reports of the Company provided generally to the Company’s stockholders) to you may be made by electronic delivery, which may include but does not necessarily include the</w:t>
      </w:r>
    </w:p>
    <w:p>
      <w:pPr>
        <w:sectPr>
          <w:pgSz w:w="11900" w:h="16838" w:orient="portrait"/>
          <w:cols w:equalWidth="0" w:num="1">
            <w:col w:w="10120"/>
          </w:cols>
          <w:pgMar w:left="1440" w:top="935" w:right="339" w:bottom="1440" w:gutter="0" w:footer="0" w:header="0"/>
        </w:sectPr>
      </w:pPr>
    </w:p>
    <w:bookmarkStart w:id="123" w:name="page124"/>
    <w:bookmarkEnd w:id="123"/>
    <w:p>
      <w:pPr>
        <w:jc w:val="both"/>
        <w:ind w:left="180"/>
        <w:spacing w:after="0" w:line="238" w:lineRule="auto"/>
        <w:rPr>
          <w:sz w:val="20"/>
          <w:szCs w:val="20"/>
          <w:color w:val="auto"/>
        </w:rPr>
      </w:pPr>
      <w:r>
        <w:rPr>
          <w:rFonts w:ascii="Arial" w:cs="Arial" w:eastAsia="Arial" w:hAnsi="Arial"/>
          <w:sz w:val="18"/>
          <w:szCs w:val="18"/>
          <w:color w:val="auto"/>
        </w:rPr>
        <w:t>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you will be provided with a paper copy of the documents. You acknowledge that you may receive from the Company a paper copy of any documents that were delivered electronically at no cost to you by contacting the Company by telephone or in writing. You may revoke your consent to the electronic delivery of documents or may change the electronic mail address to which such documents are to be delivered (if you have provided an electronic mail address) at any time by notifying the Company of such revoked consent or revised e mail address by telephone, postal service or electronic mail. Finally, you understand that you are not required to consent to electronic delivery of documents.</w:t>
      </w:r>
    </w:p>
    <w:p>
      <w:pPr>
        <w:spacing w:after="0" w:line="221" w:lineRule="exact"/>
        <w:rPr>
          <w:sz w:val="20"/>
          <w:szCs w:val="20"/>
          <w:color w:val="auto"/>
        </w:rPr>
      </w:pPr>
    </w:p>
    <w:p>
      <w:pPr>
        <w:jc w:val="both"/>
        <w:ind w:left="180" w:firstLine="652"/>
        <w:spacing w:after="0" w:line="248" w:lineRule="auto"/>
        <w:tabs>
          <w:tab w:leader="none" w:pos="1466"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may deliver any documents related to the Plan or these PSUs to the Company by e-mail or any other means of electronic delivery approved by the Board or the Committee, but you must provide the Company or any designated third party administrator with a paper copy of any documents if your attempted electronic delivery of such documents fails.</w:t>
      </w:r>
    </w:p>
    <w:p>
      <w:pPr>
        <w:spacing w:after="0" w:line="208" w:lineRule="exact"/>
        <w:rPr>
          <w:rFonts w:ascii="Arial" w:cs="Arial" w:eastAsia="Arial" w:hAnsi="Arial"/>
          <w:sz w:val="18"/>
          <w:szCs w:val="18"/>
          <w:color w:val="auto"/>
        </w:rPr>
      </w:pPr>
    </w:p>
    <w:p>
      <w:pPr>
        <w:jc w:val="both"/>
        <w:ind w:left="180" w:firstLine="652"/>
        <w:spacing w:after="0" w:line="248" w:lineRule="auto"/>
        <w:tabs>
          <w:tab w:leader="none" w:pos="1473"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accept that all good faith decisions or interpretations of the Board or the Committee regarding the Plan and these PSUs are binding, conclusive, and final. No member of the Board or the Committee will be personally liable for any such decisions or interpretations.</w:t>
      </w:r>
    </w:p>
    <w:p>
      <w:pPr>
        <w:spacing w:after="0" w:line="208" w:lineRule="exact"/>
        <w:rPr>
          <w:rFonts w:ascii="Arial" w:cs="Arial" w:eastAsia="Arial" w:hAnsi="Arial"/>
          <w:sz w:val="18"/>
          <w:szCs w:val="18"/>
          <w:color w:val="auto"/>
        </w:rPr>
      </w:pPr>
    </w:p>
    <w:p>
      <w:pPr>
        <w:ind w:left="180" w:firstLine="652"/>
        <w:spacing w:after="0" w:line="261" w:lineRule="auto"/>
        <w:tabs>
          <w:tab w:leader="none" w:pos="14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agree that the Plan is established voluntarily by the Company, is discretionary in nature, and may be amended, suspended, or terminated by the Company at any time, to the extent permitted by the Plan.</w:t>
      </w:r>
    </w:p>
    <w:p>
      <w:pPr>
        <w:spacing w:after="0" w:line="197" w:lineRule="exact"/>
        <w:rPr>
          <w:rFonts w:ascii="Arial" w:cs="Arial" w:eastAsia="Arial" w:hAnsi="Arial"/>
          <w:sz w:val="18"/>
          <w:szCs w:val="18"/>
          <w:color w:val="auto"/>
        </w:rPr>
      </w:pPr>
    </w:p>
    <w:p>
      <w:pPr>
        <w:jc w:val="both"/>
        <w:ind w:left="180" w:firstLine="652"/>
        <w:spacing w:after="0" w:line="248" w:lineRule="auto"/>
        <w:tabs>
          <w:tab w:leader="none" w:pos="14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agree that the grant of Awards is voluntary and occasional and does not create any contractual or other right to receive future grants of performance units or benefits in lieu of performance units, even if performance units have been granted in the past.</w:t>
      </w:r>
    </w:p>
    <w:p>
      <w:pPr>
        <w:spacing w:after="0" w:line="208" w:lineRule="exact"/>
        <w:rPr>
          <w:rFonts w:ascii="Arial" w:cs="Arial" w:eastAsia="Arial" w:hAnsi="Arial"/>
          <w:sz w:val="18"/>
          <w:szCs w:val="18"/>
          <w:color w:val="auto"/>
        </w:rPr>
      </w:pPr>
    </w:p>
    <w:p>
      <w:pPr>
        <w:ind w:left="1460" w:hanging="628"/>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agree that any decisions regarding future Awards will be in the Company’s sole discretion.</w:t>
      </w:r>
    </w:p>
    <w:p>
      <w:pPr>
        <w:spacing w:after="0" w:line="238" w:lineRule="exact"/>
        <w:rPr>
          <w:rFonts w:ascii="Arial" w:cs="Arial" w:eastAsia="Arial" w:hAnsi="Arial"/>
          <w:sz w:val="18"/>
          <w:szCs w:val="18"/>
          <w:color w:val="auto"/>
        </w:rPr>
      </w:pPr>
    </w:p>
    <w:p>
      <w:pPr>
        <w:ind w:left="1460" w:hanging="628"/>
        <w:spacing w:after="0"/>
        <w:tabs>
          <w:tab w:leader="none" w:pos="1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agree that you are voluntarily participating in the Plan.</w:t>
      </w:r>
    </w:p>
    <w:p>
      <w:pPr>
        <w:spacing w:after="0" w:line="238" w:lineRule="exact"/>
        <w:rPr>
          <w:rFonts w:ascii="Arial" w:cs="Arial" w:eastAsia="Arial" w:hAnsi="Arial"/>
          <w:sz w:val="18"/>
          <w:szCs w:val="18"/>
          <w:color w:val="auto"/>
        </w:rPr>
      </w:pPr>
    </w:p>
    <w:p>
      <w:pPr>
        <w:ind w:left="1480" w:hanging="648"/>
        <w:spacing w:after="0"/>
        <w:tabs>
          <w:tab w:leader="none" w:pos="14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agree that these PSUs and any Shares acquired under these PSUs are not intended to replace any pension rights or</w:t>
      </w:r>
    </w:p>
    <w:p>
      <w:pPr>
        <w:spacing w:after="0" w:line="34"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compensation.</w:t>
      </w:r>
    </w:p>
    <w:p>
      <w:pPr>
        <w:spacing w:after="0" w:line="222" w:lineRule="exact"/>
        <w:rPr>
          <w:rFonts w:ascii="Arial" w:cs="Arial" w:eastAsia="Arial" w:hAnsi="Arial"/>
          <w:sz w:val="16"/>
          <w:szCs w:val="16"/>
          <w:color w:val="auto"/>
        </w:rPr>
      </w:pPr>
    </w:p>
    <w:p>
      <w:pPr>
        <w:jc w:val="both"/>
        <w:ind w:left="180" w:firstLine="652"/>
        <w:spacing w:after="0" w:line="294" w:lineRule="auto"/>
        <w:tabs>
          <w:tab w:leader="none" w:pos="14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You agree that these PSUs, any Shares acquired under these PSUs,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w:t>
      </w:r>
    </w:p>
    <w:p>
      <w:pPr>
        <w:spacing w:after="0" w:line="174" w:lineRule="exact"/>
        <w:rPr>
          <w:rFonts w:ascii="Arial" w:cs="Arial" w:eastAsia="Arial" w:hAnsi="Arial"/>
          <w:sz w:val="16"/>
          <w:szCs w:val="16"/>
          <w:color w:val="auto"/>
        </w:rPr>
      </w:pPr>
    </w:p>
    <w:p>
      <w:pPr>
        <w:ind w:left="180" w:firstLine="652"/>
        <w:spacing w:after="0" w:line="261" w:lineRule="auto"/>
        <w:tabs>
          <w:tab w:leader="none" w:pos="1472"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agree that the future value of the Shares underlying these PSUs is unknown, indeterminable, and cannot be predicted with certainty.</w:t>
      </w:r>
    </w:p>
    <w:p>
      <w:pPr>
        <w:spacing w:after="0" w:line="197" w:lineRule="exact"/>
        <w:rPr>
          <w:rFonts w:ascii="Arial" w:cs="Arial" w:eastAsia="Arial" w:hAnsi="Arial"/>
          <w:sz w:val="18"/>
          <w:szCs w:val="18"/>
          <w:color w:val="auto"/>
        </w:rPr>
      </w:pPr>
    </w:p>
    <w:p>
      <w:pPr>
        <w:jc w:val="both"/>
        <w:ind w:left="180" w:firstLine="652"/>
        <w:spacing w:after="0" w:line="241" w:lineRule="auto"/>
        <w:tabs>
          <w:tab w:leader="none" w:pos="1476" w:val="left"/>
        </w:tabs>
        <w:numPr>
          <w:ilvl w:val="0"/>
          <w:numId w:val="55"/>
        </w:numPr>
        <w:rPr>
          <w:rFonts w:ascii="Arial" w:cs="Arial" w:eastAsia="Arial" w:hAnsi="Arial"/>
          <w:sz w:val="18"/>
          <w:szCs w:val="18"/>
          <w:color w:val="auto"/>
        </w:rPr>
      </w:pPr>
      <w:r>
        <w:rPr>
          <w:rFonts w:ascii="Arial" w:cs="Arial" w:eastAsia="Arial" w:hAnsi="Arial"/>
          <w:sz w:val="18"/>
          <w:szCs w:val="18"/>
          <w:color w:val="auto"/>
        </w:rPr>
        <w:t>You agree that, for purposes of these PSUs, your engagement as an Associate is terminated as of the date your service relationship with the Company or any Affiliated Company is terminated (regardless of the reason for such termination and whether or not the termination is later found to be invalid or in breach of employment laws in the jurisdiction where you are providing services to the Company or any Affiliated Company or the terms of your service agreement, if any), unless otherwise expressly provided in this Agreement or determined by the Board or the Committee.</w:t>
      </w:r>
    </w:p>
    <w:p>
      <w:pPr>
        <w:spacing w:after="0" w:line="216" w:lineRule="exact"/>
        <w:rPr>
          <w:rFonts w:ascii="Arial" w:cs="Arial" w:eastAsia="Arial" w:hAnsi="Arial"/>
          <w:sz w:val="18"/>
          <w:szCs w:val="18"/>
          <w:color w:val="auto"/>
        </w:rPr>
      </w:pPr>
    </w:p>
    <w:p>
      <w:pPr>
        <w:ind w:left="180" w:firstLine="652"/>
        <w:spacing w:after="0" w:line="291" w:lineRule="auto"/>
        <w:tabs>
          <w:tab w:leader="none" w:pos="1476" w:val="left"/>
        </w:tabs>
        <w:numPr>
          <w:ilvl w:val="0"/>
          <w:numId w:val="55"/>
        </w:numPr>
        <w:rPr>
          <w:rFonts w:ascii="Arial" w:cs="Arial" w:eastAsia="Arial" w:hAnsi="Arial"/>
          <w:sz w:val="17"/>
          <w:szCs w:val="17"/>
          <w:color w:val="auto"/>
        </w:rPr>
      </w:pPr>
      <w:r>
        <w:rPr>
          <w:rFonts w:ascii="Arial" w:cs="Arial" w:eastAsia="Arial" w:hAnsi="Arial"/>
          <w:sz w:val="17"/>
          <w:szCs w:val="17"/>
          <w:color w:val="auto"/>
        </w:rPr>
        <w:t>You agree that any right to vest in these PSUs will be extended by any notice period (e.g., the period that you are an Associate would include any contractual notice period or any period of “garden leave” or similar period mandated under</w:t>
      </w:r>
    </w:p>
    <w:p>
      <w:pPr>
        <w:sectPr>
          <w:pgSz w:w="11900" w:h="16838" w:orient="portrait"/>
          <w:cols w:equalWidth="0" w:num="1">
            <w:col w:w="10120"/>
          </w:cols>
          <w:pgMar w:left="1440" w:top="935" w:right="339" w:bottom="1440" w:gutter="0" w:footer="0" w:header="0"/>
        </w:sectPr>
      </w:pPr>
    </w:p>
    <w:bookmarkStart w:id="124" w:name="page125"/>
    <w:bookmarkEnd w:id="124"/>
    <w:p>
      <w:pPr>
        <w:jc w:val="both"/>
        <w:ind w:left="180"/>
        <w:spacing w:after="0" w:line="248" w:lineRule="auto"/>
        <w:rPr>
          <w:sz w:val="20"/>
          <w:szCs w:val="20"/>
          <w:color w:val="auto"/>
        </w:rPr>
      </w:pPr>
      <w:r>
        <w:rPr>
          <w:rFonts w:ascii="Arial" w:cs="Arial" w:eastAsia="Arial" w:hAnsi="Arial"/>
          <w:sz w:val="18"/>
          <w:szCs w:val="18"/>
          <w:color w:val="auto"/>
        </w:rPr>
        <w:t>employment laws (including common law, if applicable) in the jurisdiction where you are an Associate or by your service agreement or employment agreement, if any) and your termination date will not occur until the end of such period, unless otherwise expressly provided in this Agreement or determined by the Board or the Committee or required by applicable law.</w:t>
      </w:r>
    </w:p>
    <w:p>
      <w:pPr>
        <w:spacing w:after="0" w:line="209" w:lineRule="exact"/>
        <w:rPr>
          <w:sz w:val="20"/>
          <w:szCs w:val="20"/>
          <w:color w:val="auto"/>
        </w:rPr>
      </w:pPr>
    </w:p>
    <w:p>
      <w:pPr>
        <w:jc w:val="both"/>
        <w:ind w:left="180" w:firstLine="652"/>
        <w:spacing w:after="0" w:line="248" w:lineRule="auto"/>
        <w:tabs>
          <w:tab w:leader="none" w:pos="14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 agree that the Board or the Committee has the exclusive discretion to determine when you are no longer actively providing services for purposes of these PSUs (including whether you are still considered to be providing services while on a leave of absence).</w:t>
      </w:r>
    </w:p>
    <w:p>
      <w:pPr>
        <w:spacing w:after="0" w:line="208" w:lineRule="exact"/>
        <w:rPr>
          <w:rFonts w:ascii="Arial" w:cs="Arial" w:eastAsia="Arial" w:hAnsi="Arial"/>
          <w:sz w:val="18"/>
          <w:szCs w:val="18"/>
          <w:color w:val="auto"/>
        </w:rPr>
      </w:pPr>
    </w:p>
    <w:p>
      <w:pPr>
        <w:jc w:val="both"/>
        <w:ind w:left="180" w:firstLine="652"/>
        <w:spacing w:after="0" w:line="248" w:lineRule="auto"/>
        <w:tabs>
          <w:tab w:leader="none" w:pos="1476"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 agree that neither the Company or any Affiliated Company is liable for any foreign exchange rate fluctuation between your local currency and the United States Dollar that may affect the value of these PSUs or of any amounts due to you from the payment of these PSUs or the subsequent sale of any Shares acquired upon such payment.</w:t>
      </w:r>
    </w:p>
    <w:p>
      <w:pPr>
        <w:spacing w:after="0" w:line="208" w:lineRule="exact"/>
        <w:rPr>
          <w:rFonts w:ascii="Arial" w:cs="Arial" w:eastAsia="Arial" w:hAnsi="Arial"/>
          <w:sz w:val="18"/>
          <w:szCs w:val="18"/>
          <w:color w:val="auto"/>
        </w:rPr>
      </w:pPr>
    </w:p>
    <w:p>
      <w:pPr>
        <w:ind w:left="1460" w:hanging="628"/>
        <w:spacing w:after="0"/>
        <w:tabs>
          <w:tab w:leader="none" w:pos="1460"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 have read and agree to the Data Privacy provisions of Section 11 of this Agreement.</w:t>
      </w:r>
    </w:p>
    <w:p>
      <w:pPr>
        <w:spacing w:after="0" w:line="238" w:lineRule="exact"/>
        <w:rPr>
          <w:rFonts w:ascii="Arial" w:cs="Arial" w:eastAsia="Arial" w:hAnsi="Arial"/>
          <w:sz w:val="18"/>
          <w:szCs w:val="18"/>
          <w:color w:val="auto"/>
        </w:rPr>
      </w:pPr>
    </w:p>
    <w:p>
      <w:pPr>
        <w:jc w:val="both"/>
        <w:ind w:left="180" w:firstLine="652"/>
        <w:spacing w:after="0" w:line="238" w:lineRule="auto"/>
        <w:tabs>
          <w:tab w:leader="none" w:pos="1469" w:val="left"/>
        </w:tabs>
        <w:numPr>
          <w:ilvl w:val="1"/>
          <w:numId w:val="56"/>
        </w:numPr>
        <w:rPr>
          <w:rFonts w:ascii="Arial" w:cs="Arial" w:eastAsia="Arial" w:hAnsi="Arial"/>
          <w:sz w:val="18"/>
          <w:szCs w:val="18"/>
          <w:color w:val="auto"/>
        </w:rPr>
      </w:pPr>
      <w:r>
        <w:rPr>
          <w:rFonts w:ascii="Arial" w:cs="Arial" w:eastAsia="Arial" w:hAnsi="Arial"/>
          <w:sz w:val="18"/>
          <w:szCs w:val="18"/>
          <w:color w:val="auto"/>
        </w:rPr>
        <w:t>You agree that you have no claim or entitlement to compensation or damages from any forfeiture of these PSUs resulting from the termination of your status as an Associate (for any reason whatsoever, whether or not later found to be invalid or in breach of employment laws in the jurisdiction where you are an Associate or the terms of your service agreement, if any), and in consideration of the grant of these PSUs to which you are otherwise not entitled, you irrevocably agree never to institute any claim against the Company or any Affiliated Company, waive your ability (if any) to bring any such claim, and release the Company and all Affiliated Companies from any such claim. If any such claim is nevertheless allowed by a court of competent jurisdiction, then your participation in the Plan constitutes your irrevocable agreement to not pursue such claim and to execute any and all documents necessary to request dismissal or withdrawal of such claim.</w:t>
      </w:r>
    </w:p>
    <w:p>
      <w:pPr>
        <w:spacing w:after="0" w:line="216" w:lineRule="exact"/>
        <w:rPr>
          <w:rFonts w:ascii="Arial" w:cs="Arial" w:eastAsia="Arial" w:hAnsi="Arial"/>
          <w:sz w:val="18"/>
          <w:szCs w:val="18"/>
          <w:color w:val="auto"/>
        </w:rPr>
      </w:pPr>
    </w:p>
    <w:p>
      <w:pPr>
        <w:ind w:left="440" w:hanging="256"/>
        <w:spacing w:after="0"/>
        <w:tabs>
          <w:tab w:leader="none" w:pos="44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Data Privacy</w:t>
      </w:r>
    </w:p>
    <w:p>
      <w:pPr>
        <w:spacing w:after="0" w:line="242" w:lineRule="exact"/>
        <w:rPr>
          <w:rFonts w:ascii="Arial" w:cs="Arial" w:eastAsia="Arial" w:hAnsi="Arial"/>
          <w:sz w:val="18"/>
          <w:szCs w:val="18"/>
          <w:b w:val="1"/>
          <w:bCs w:val="1"/>
          <w:color w:val="auto"/>
        </w:rPr>
      </w:pPr>
    </w:p>
    <w:p>
      <w:pPr>
        <w:jc w:val="both"/>
        <w:ind w:left="180" w:firstLine="652"/>
        <w:spacing w:after="0" w:line="270" w:lineRule="auto"/>
        <w:tabs>
          <w:tab w:leader="none" w:pos="1466"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 voluntarily consent to the collection, use and transfer, in electronic or other form, of your personal data as described in this Agreement and any other Award materials (“Data”) by and among, as applicable, the Employer(s), the Company and any Affiliated Company for the exclusive purpose of implementing, administering, and managing your participation in the Plan.</w:t>
      </w:r>
    </w:p>
    <w:p>
      <w:pPr>
        <w:spacing w:after="0" w:line="190" w:lineRule="exact"/>
        <w:rPr>
          <w:rFonts w:ascii="Arial" w:cs="Arial" w:eastAsia="Arial" w:hAnsi="Arial"/>
          <w:sz w:val="17"/>
          <w:szCs w:val="17"/>
          <w:color w:val="auto"/>
        </w:rPr>
      </w:pPr>
    </w:p>
    <w:p>
      <w:pPr>
        <w:jc w:val="both"/>
        <w:ind w:left="180" w:firstLine="652"/>
        <w:spacing w:after="0" w:line="241" w:lineRule="auto"/>
        <w:tabs>
          <w:tab w:leader="none" w:pos="1476" w:val="left"/>
        </w:tabs>
        <w:numPr>
          <w:ilvl w:val="1"/>
          <w:numId w:val="57"/>
        </w:numPr>
        <w:rPr>
          <w:rFonts w:ascii="Arial" w:cs="Arial" w:eastAsia="Arial" w:hAnsi="Arial"/>
          <w:sz w:val="18"/>
          <w:szCs w:val="18"/>
          <w:color w:val="auto"/>
        </w:rPr>
      </w:pPr>
      <w:r>
        <w:rPr>
          <w:rFonts w:ascii="Arial" w:cs="Arial" w:eastAsia="Arial" w:hAnsi="Arial"/>
          <w:sz w:val="18"/>
          <w:szCs w:val="18"/>
          <w:color w:val="auto"/>
        </w:rPr>
        <w:t>You understand that the Company and the Employer(s) may hold certain personal information about you, including, but not limited to, your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your favor, for the exclusive purpose of implementing, administering, and managing the Plan.</w:t>
      </w:r>
    </w:p>
    <w:p>
      <w:pPr>
        <w:spacing w:after="0" w:line="216" w:lineRule="exact"/>
        <w:rPr>
          <w:rFonts w:ascii="Arial" w:cs="Arial" w:eastAsia="Arial" w:hAnsi="Arial"/>
          <w:sz w:val="18"/>
          <w:szCs w:val="18"/>
          <w:color w:val="auto"/>
        </w:rPr>
      </w:pPr>
    </w:p>
    <w:p>
      <w:pPr>
        <w:jc w:val="both"/>
        <w:ind w:left="180" w:firstLine="652"/>
        <w:spacing w:after="0" w:line="254" w:lineRule="auto"/>
        <w:tabs>
          <w:tab w:leader="none" w:pos="1466" w:val="left"/>
        </w:tabs>
        <w:numPr>
          <w:ilvl w:val="1"/>
          <w:numId w:val="57"/>
        </w:numPr>
        <w:rPr>
          <w:rFonts w:ascii="Arial" w:cs="Arial" w:eastAsia="Arial" w:hAnsi="Arial"/>
          <w:sz w:val="17"/>
          <w:szCs w:val="17"/>
          <w:color w:val="auto"/>
        </w:rPr>
      </w:pPr>
      <w:r>
        <w:rPr>
          <w:rFonts w:ascii="Arial" w:cs="Arial" w:eastAsia="Arial" w:hAnsi="Arial"/>
          <w:sz w:val="17"/>
          <w:szCs w:val="17"/>
          <w:color w:val="auto"/>
        </w:rPr>
        <w:t>You understand that Data will be transferred to one or more stock plan service provider(s) selected by the Company, which may assist the Company with the implementation, administration, and management of the Plan. You understand that the recipients of the Data may be located in the United States or elsewhere, and that the recipient’s country (e.g., the United States) may have different data privacy laws and protections than your country. You understand that if you reside outside the United States, you may request a list with the names and addresses of any potential recipients of the Data by contacting your local human resources representative. You authorize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your participation in the Plan.</w:t>
      </w:r>
    </w:p>
    <w:p>
      <w:pPr>
        <w:sectPr>
          <w:pgSz w:w="11900" w:h="16838" w:orient="portrait"/>
          <w:cols w:equalWidth="0" w:num="1">
            <w:col w:w="10120"/>
          </w:cols>
          <w:pgMar w:left="1440" w:top="935" w:right="339" w:bottom="1440" w:gutter="0" w:footer="0" w:header="0"/>
        </w:sectPr>
      </w:pPr>
    </w:p>
    <w:bookmarkStart w:id="125" w:name="page126"/>
    <w:bookmarkEnd w:id="125"/>
    <w:p>
      <w:pPr>
        <w:jc w:val="both"/>
        <w:ind w:left="180" w:firstLine="652"/>
        <w:spacing w:after="0" w:line="252" w:lineRule="auto"/>
        <w:tabs>
          <w:tab w:leader="none" w:pos="1476" w:val="left"/>
        </w:tabs>
        <w:numPr>
          <w:ilvl w:val="1"/>
          <w:numId w:val="58"/>
        </w:numPr>
        <w:rPr>
          <w:rFonts w:ascii="Arial" w:cs="Arial" w:eastAsia="Arial" w:hAnsi="Arial"/>
          <w:sz w:val="17"/>
          <w:szCs w:val="17"/>
          <w:color w:val="auto"/>
        </w:rPr>
      </w:pPr>
      <w:r>
        <w:rPr>
          <w:rFonts w:ascii="Arial" w:cs="Arial" w:eastAsia="Arial" w:hAnsi="Arial"/>
          <w:sz w:val="17"/>
          <w:szCs w:val="17"/>
          <w:color w:val="auto"/>
        </w:rPr>
        <w:t>You understand that Data will be held only as long as is necessary to implement, administer and manage your participation in the Plan. You understand that if you reside in certain jurisdictions outside the United States, to the extent required by applicable laws, you may, at any time, request access to Data, request additional information about the storage and processing of Data, require any necessary amendments to Data or refuse or withdraw the consents given by accepting these PSUs, in any case without cost, by contacting in writing your local human resources representative. Further, you understand that you are providing these consents on a purely voluntary basis. If you do not consent or if you later seek to revoke your consent, your engagement as an Associate with the Employer(s) will not be adversely affected; the only consequence of refusing or withdrawing your consent is that the Company will not be able to grant you awards under the Plan or administer or maintain awards. Therefore, you understand that refusing or withdrawing your consent may affect your ability to participate in the Plan (including the right to retain these PSUs). You understand that you may contact your local human resources representative for more information on the consequences of your refusal to consent or withdrawal of consent.</w:t>
      </w:r>
    </w:p>
    <w:p>
      <w:pPr>
        <w:spacing w:after="0" w:line="200" w:lineRule="exact"/>
        <w:rPr>
          <w:rFonts w:ascii="Arial" w:cs="Arial" w:eastAsia="Arial" w:hAnsi="Arial"/>
          <w:sz w:val="17"/>
          <w:szCs w:val="17"/>
          <w:color w:val="auto"/>
        </w:rPr>
      </w:pPr>
    </w:p>
    <w:p>
      <w:pPr>
        <w:spacing w:after="0" w:line="251" w:lineRule="exact"/>
        <w:rPr>
          <w:rFonts w:ascii="Arial" w:cs="Arial" w:eastAsia="Arial" w:hAnsi="Arial"/>
          <w:sz w:val="17"/>
          <w:szCs w:val="17"/>
          <w:color w:val="auto"/>
        </w:rPr>
      </w:pPr>
    </w:p>
    <w:p>
      <w:pPr>
        <w:jc w:val="both"/>
        <w:ind w:left="-460" w:firstLine="644"/>
        <w:spacing w:after="0"/>
        <w:tabs>
          <w:tab w:leader="none" w:pos="47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Modifications to the Agreement</w:t>
      </w:r>
      <w:r>
        <w:rPr>
          <w:rFonts w:ascii="Arial" w:cs="Arial" w:eastAsia="Arial" w:hAnsi="Arial"/>
          <w:sz w:val="18"/>
          <w:szCs w:val="18"/>
          <w:color w:val="auto"/>
        </w:rPr>
        <w:t>. The Plan and this Agreement constitute the entire understanding of the parties on the subjects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covered. You expressly warrant that you are not accepting this Agreement in reliance on any promises, representations, or inducements other than those contained herein. All amendments to this Agreement shall be in writing executed by a duly authorized officer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Agreement is subject to the power of the Board and/or the Committee to amend this Agreement and the Plan as provided in the Plan. Notwithstanding the foregoing, the Company reserves the right to revise this Agreement as it deems necessary or advisable, in its sole discretion and without your consent, to comply with Code Section 409A, to otherwise avoid imposition of any additional tax or income recognition under Code Section 409A in connection with these PSUs</w:t>
      </w:r>
    </w:p>
    <w:p>
      <w:pPr>
        <w:spacing w:after="0" w:line="211" w:lineRule="exact"/>
        <w:rPr>
          <w:rFonts w:ascii="Arial" w:cs="Arial" w:eastAsia="Arial" w:hAnsi="Arial"/>
          <w:sz w:val="18"/>
          <w:szCs w:val="18"/>
          <w:b w:val="1"/>
          <w:bCs w:val="1"/>
          <w:color w:val="auto"/>
        </w:rPr>
      </w:pPr>
    </w:p>
    <w:p>
      <w:pPr>
        <w:jc w:val="both"/>
        <w:ind w:left="-460" w:firstLine="644"/>
        <w:spacing w:after="0" w:line="242" w:lineRule="auto"/>
        <w:tabs>
          <w:tab w:leader="none" w:pos="45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to be given under this Agreement to the Company shall be addressed to the Company in care of its stock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at LiveRamp Holdings, Inc., 225 Bush Street, Seventeenth Floor, San Francisco, CA 94104, until the Company designates another address in writing. Any notice to be given to you shall be addressed to you at the address listed in the Company’s records. By a notice given pursuant to this Section, either party may designate a different address for notices. Any notice shall have been deemed given when actually delivered.</w:t>
      </w:r>
    </w:p>
    <w:p>
      <w:pPr>
        <w:spacing w:after="0" w:line="211" w:lineRule="exact"/>
        <w:rPr>
          <w:rFonts w:ascii="Arial" w:cs="Arial" w:eastAsia="Arial" w:hAnsi="Arial"/>
          <w:sz w:val="18"/>
          <w:szCs w:val="18"/>
          <w:b w:val="1"/>
          <w:bCs w:val="1"/>
          <w:color w:val="auto"/>
        </w:rPr>
      </w:pPr>
    </w:p>
    <w:p>
      <w:pPr>
        <w:jc w:val="both"/>
        <w:ind w:left="-460" w:firstLine="644"/>
        <w:spacing w:after="0" w:line="241" w:lineRule="auto"/>
        <w:tabs>
          <w:tab w:leader="none" w:pos="493"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Conditions to Issuance of Stock</w:t>
      </w:r>
      <w:r>
        <w:rPr>
          <w:rFonts w:ascii="Arial" w:cs="Arial" w:eastAsia="Arial" w:hAnsi="Arial"/>
          <w:sz w:val="18"/>
          <w:szCs w:val="18"/>
          <w:color w:val="auto"/>
        </w:rPr>
        <w:t>. If the Company determines that the listing, registration, qualification, or rule</w:t>
      </w:r>
      <w:r>
        <w:rPr>
          <w:rFonts w:ascii="Arial" w:cs="Arial" w:eastAsia="Arial" w:hAnsi="Arial"/>
          <w:sz w:val="18"/>
          <w:szCs w:val="18"/>
          <w:b w:val="1"/>
          <w:bCs w:val="1"/>
          <w:color w:val="auto"/>
        </w:rPr>
        <w:t xml:space="preserve"> </w:t>
      </w:r>
      <w:r>
        <w:rPr>
          <w:rFonts w:ascii="Arial" w:cs="Arial" w:eastAsia="Arial" w:hAnsi="Arial"/>
          <w:sz w:val="18"/>
          <w:szCs w:val="18"/>
          <w:color w:val="auto"/>
        </w:rPr>
        <w:t>compliance of the Common Stock on any securities exchange or under any state, federal, or foreign law or the tax code and related regulations or the consent or approval of any governmental regulatory authority is necessary or desirable as a condition to the issuance of Shares to you (or your estate), the Company will try to meet the requirements of any such state, federal, or foreign law or securities exchange and to obtain any such consent or approval of any such governmental authority or securities exchange, but the Shares will not be issued until such conditions have been met in a manner acceptable to the Company.</w:t>
      </w:r>
    </w:p>
    <w:p>
      <w:pPr>
        <w:spacing w:after="0" w:line="210" w:lineRule="exact"/>
        <w:rPr>
          <w:rFonts w:ascii="Arial" w:cs="Arial" w:eastAsia="Arial" w:hAnsi="Arial"/>
          <w:sz w:val="18"/>
          <w:szCs w:val="18"/>
          <w:b w:val="1"/>
          <w:bCs w:val="1"/>
          <w:color w:val="auto"/>
        </w:rPr>
      </w:pPr>
    </w:p>
    <w:p>
      <w:pPr>
        <w:ind w:left="-460" w:firstLine="644"/>
        <w:spacing w:after="0" w:line="296" w:lineRule="auto"/>
        <w:tabs>
          <w:tab w:leader="none" w:pos="458" w:val="left"/>
        </w:tabs>
        <w:numPr>
          <w:ilvl w:val="0"/>
          <w:numId w:val="59"/>
        </w:numPr>
        <w:rPr>
          <w:rFonts w:ascii="Arial" w:cs="Arial" w:eastAsia="Arial" w:hAnsi="Arial"/>
          <w:sz w:val="16"/>
          <w:szCs w:val="16"/>
          <w:b w:val="1"/>
          <w:bCs w:val="1"/>
          <w:color w:val="auto"/>
        </w:rPr>
      </w:pPr>
      <w:r>
        <w:rPr>
          <w:rFonts w:ascii="Arial" w:cs="Arial" w:eastAsia="Arial" w:hAnsi="Arial"/>
          <w:sz w:val="16"/>
          <w:szCs w:val="16"/>
          <w:b w:val="1"/>
          <w:bCs w:val="1"/>
          <w:color w:val="auto"/>
        </w:rPr>
        <w:t>Clawback</w:t>
      </w:r>
      <w:r>
        <w:rPr>
          <w:rFonts w:ascii="Arial" w:cs="Arial" w:eastAsia="Arial" w:hAnsi="Arial"/>
          <w:sz w:val="16"/>
          <w:szCs w:val="16"/>
          <w:color w:val="auto"/>
        </w:rPr>
        <w:t>. These PSUs (including any proceeds, gains or other economic benefit received by you upon its payment or the subsequent</w:t>
      </w:r>
      <w:r>
        <w:rPr>
          <w:rFonts w:ascii="Arial" w:cs="Arial" w:eastAsia="Arial" w:hAnsi="Arial"/>
          <w:sz w:val="16"/>
          <w:szCs w:val="16"/>
          <w:b w:val="1"/>
          <w:bCs w:val="1"/>
          <w:color w:val="auto"/>
        </w:rPr>
        <w:t xml:space="preserve"> </w:t>
      </w:r>
      <w:r>
        <w:rPr>
          <w:rFonts w:ascii="Arial" w:cs="Arial" w:eastAsia="Arial" w:hAnsi="Arial"/>
          <w:sz w:val="16"/>
          <w:szCs w:val="16"/>
          <w:color w:val="auto"/>
        </w:rPr>
        <w:t>sale of Shares issued upon payment of the PSUs) will be subject to any compensation recovery or clawback policy implemented by the Company before or after the date of this Agreement. This includes any clawback policy adopted to comply with the requirements of applicable laws.</w:t>
      </w:r>
    </w:p>
    <w:p>
      <w:pPr>
        <w:spacing w:after="0" w:line="169" w:lineRule="exact"/>
        <w:rPr>
          <w:rFonts w:ascii="Arial" w:cs="Arial" w:eastAsia="Arial" w:hAnsi="Arial"/>
          <w:sz w:val="16"/>
          <w:szCs w:val="16"/>
          <w:b w:val="1"/>
          <w:bCs w:val="1"/>
          <w:color w:val="auto"/>
        </w:rPr>
      </w:pPr>
    </w:p>
    <w:p>
      <w:pPr>
        <w:jc w:val="both"/>
        <w:ind w:left="-460" w:firstLine="644"/>
        <w:spacing w:after="0" w:line="250" w:lineRule="auto"/>
        <w:tabs>
          <w:tab w:leader="none" w:pos="461"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Board and the Committee administer the Plan. Your rights under this Agreement are expressly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of the Plan, including continued stockholder approval of the Plan, and to any guidelines the Board or the Committee adopts from time to time.</w:t>
      </w:r>
    </w:p>
    <w:p>
      <w:pPr>
        <w:spacing w:after="0" w:line="203" w:lineRule="exact"/>
        <w:rPr>
          <w:rFonts w:ascii="Arial" w:cs="Arial" w:eastAsia="Arial" w:hAnsi="Arial"/>
          <w:sz w:val="18"/>
          <w:szCs w:val="18"/>
          <w:b w:val="1"/>
          <w:bCs w:val="1"/>
          <w:color w:val="auto"/>
        </w:rPr>
      </w:pPr>
    </w:p>
    <w:p>
      <w:pPr>
        <w:ind w:left="-460" w:right="20" w:firstLine="644"/>
        <w:spacing w:after="0" w:line="296" w:lineRule="auto"/>
        <w:tabs>
          <w:tab w:leader="none" w:pos="485"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Severability</w:t>
      </w:r>
      <w:r>
        <w:rPr>
          <w:rFonts w:ascii="Arial" w:cs="Arial" w:eastAsia="Arial" w:hAnsi="Arial"/>
          <w:sz w:val="17"/>
          <w:szCs w:val="17"/>
          <w:color w:val="auto"/>
        </w:rPr>
        <w:t>. If any part of this Agreement is declared by any court or governmental authority to be unlawful or invalid, such</w:t>
      </w:r>
      <w:r>
        <w:rPr>
          <w:rFonts w:ascii="Arial" w:cs="Arial" w:eastAsia="Arial" w:hAnsi="Arial"/>
          <w:sz w:val="17"/>
          <w:szCs w:val="17"/>
          <w:b w:val="1"/>
          <w:bCs w:val="1"/>
          <w:color w:val="auto"/>
        </w:rPr>
        <w:t xml:space="preserve"> </w:t>
      </w:r>
      <w:r>
        <w:rPr>
          <w:rFonts w:ascii="Arial" w:cs="Arial" w:eastAsia="Arial" w:hAnsi="Arial"/>
          <w:sz w:val="17"/>
          <w:szCs w:val="17"/>
          <w:color w:val="auto"/>
        </w:rPr>
        <w:t>unlawfulness or invalidity shall not serve to invalidate any part of this Agreement not declared to be unlawful or invalid. Any part so declared</w:t>
      </w:r>
    </w:p>
    <w:p>
      <w:pPr>
        <w:sectPr>
          <w:pgSz w:w="11900" w:h="16838" w:orient="portrait"/>
          <w:cols w:equalWidth="0" w:num="1">
            <w:col w:w="10120"/>
          </w:cols>
          <w:pgMar w:left="1440" w:top="1178" w:right="339" w:bottom="1440" w:gutter="0" w:footer="0" w:header="0"/>
        </w:sectPr>
      </w:pPr>
    </w:p>
    <w:bookmarkStart w:id="126" w:name="page127"/>
    <w:bookmarkEnd w:id="126"/>
    <w:p>
      <w:pPr>
        <w:ind w:right="20"/>
        <w:spacing w:after="0" w:line="261" w:lineRule="auto"/>
        <w:rPr>
          <w:sz w:val="20"/>
          <w:szCs w:val="20"/>
          <w:color w:val="auto"/>
        </w:rPr>
      </w:pPr>
      <w:r>
        <w:rPr>
          <w:rFonts w:ascii="Arial" w:cs="Arial" w:eastAsia="Arial" w:hAnsi="Arial"/>
          <w:sz w:val="18"/>
          <w:szCs w:val="18"/>
          <w:color w:val="auto"/>
        </w:rPr>
        <w:t>unlawful or invalid shall, if possible, be construed in a manner which gives effect to the terms of such part to the fullest extent possible while remaining lawful and valid.</w:t>
      </w:r>
    </w:p>
    <w:p>
      <w:pPr>
        <w:spacing w:after="0" w:line="194" w:lineRule="exact"/>
        <w:rPr>
          <w:sz w:val="20"/>
          <w:szCs w:val="20"/>
          <w:color w:val="auto"/>
        </w:rPr>
      </w:pPr>
    </w:p>
    <w:p>
      <w:pPr>
        <w:jc w:val="both"/>
        <w:ind w:firstLine="644"/>
        <w:spacing w:after="0" w:line="250" w:lineRule="auto"/>
        <w:tabs>
          <w:tab w:leader="none" w:pos="915"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r>
        <w:rPr>
          <w:rFonts w:ascii="Arial" w:cs="Arial" w:eastAsia="Arial" w:hAnsi="Arial"/>
          <w:sz w:val="18"/>
          <w:szCs w:val="18"/>
          <w:color w:val="auto"/>
        </w:rPr>
        <w:t>. The Plan, this Agreement, these PSUs, and all determinations made and actions taken under the Plan,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not otherwise governed by the laws of the United States, will be governed by the laws of the State of Delaware without giving effect to principles of conflicts of law.</w:t>
      </w:r>
    </w:p>
    <w:p>
      <w:pPr>
        <w:spacing w:after="0" w:line="203" w:lineRule="exact"/>
        <w:rPr>
          <w:rFonts w:ascii="Arial" w:cs="Arial" w:eastAsia="Arial" w:hAnsi="Arial"/>
          <w:sz w:val="18"/>
          <w:szCs w:val="18"/>
          <w:b w:val="1"/>
          <w:bCs w:val="1"/>
          <w:color w:val="auto"/>
        </w:rPr>
      </w:pPr>
    </w:p>
    <w:p>
      <w:pPr>
        <w:jc w:val="both"/>
        <w:ind w:firstLine="644"/>
        <w:spacing w:after="0" w:line="255" w:lineRule="auto"/>
        <w:tabs>
          <w:tab w:leader="none" w:pos="945"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Forum Selection </w:t>
      </w:r>
      <w:r>
        <w:rPr>
          <w:rFonts w:ascii="Arial" w:cs="Arial" w:eastAsia="Arial" w:hAnsi="Arial"/>
          <w:sz w:val="17"/>
          <w:szCs w:val="17"/>
          <w:color w:val="auto"/>
        </w:rPr>
        <w:t>At all times each party hereto: (i) irrevocably submits to the exclusive jurisdiction of any California court or</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court sitting in the Northern District of California; (ii) agrees that any action or proceeding arising out of or relating to this Agreement or the transactions contemplated hereby will be heard and determined in such California or Federal court; (iii) to the extent permitted by law, irrevocably waives (a) any objection such party may have to the laying of venue of any such action or proceeding in any of such courts, or (b) any claim that such party may have that any such action or proceeding has been brought in an inconvenient forum; and (iv) to the extent permitted by law, irrevocably agrees that a final nonappealable judgment in any such action or proceeding will be conclusive and may be enforced in other jurisdictions by suit on the judgment or in any other manner provided by law. Nothing in this section entitled “Forum Selection” will affect the right of any party hereto to serve legal process in any manner permitted by law.</w:t>
      </w:r>
    </w:p>
    <w:p>
      <w:pPr>
        <w:spacing w:after="0" w:line="201" w:lineRule="exact"/>
        <w:rPr>
          <w:rFonts w:ascii="Arial" w:cs="Arial" w:eastAsia="Arial" w:hAnsi="Arial"/>
          <w:sz w:val="17"/>
          <w:szCs w:val="17"/>
          <w:b w:val="1"/>
          <w:bCs w:val="1"/>
          <w:color w:val="auto"/>
        </w:rPr>
      </w:pPr>
    </w:p>
    <w:p>
      <w:pPr>
        <w:ind w:left="920" w:hanging="276"/>
        <w:spacing w:after="0"/>
        <w:tabs>
          <w:tab w:leader="none" w:pos="920"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Headings</w:t>
      </w:r>
      <w:r>
        <w:rPr>
          <w:rFonts w:ascii="Arial" w:cs="Arial" w:eastAsia="Arial" w:hAnsi="Arial"/>
          <w:sz w:val="16"/>
          <w:szCs w:val="16"/>
          <w:color w:val="auto"/>
        </w:rPr>
        <w:t>. Headings are for convenience only and are not to serve as a basis for interpretation or construction of this Agreement.</w:t>
      </w:r>
    </w:p>
    <w:p>
      <w:pPr>
        <w:spacing w:after="0" w:line="261" w:lineRule="exact"/>
        <w:rPr>
          <w:rFonts w:ascii="Arial" w:cs="Arial" w:eastAsia="Arial" w:hAnsi="Arial"/>
          <w:sz w:val="16"/>
          <w:szCs w:val="16"/>
          <w:b w:val="1"/>
          <w:bCs w:val="1"/>
          <w:color w:val="auto"/>
        </w:rPr>
      </w:pPr>
    </w:p>
    <w:p>
      <w:pPr>
        <w:ind w:firstLine="644"/>
        <w:spacing w:after="0" w:line="266" w:lineRule="auto"/>
        <w:tabs>
          <w:tab w:leader="none" w:pos="92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 You acknowledge that a waiver by the Company of a breach of any provision of this Agreement will not operate or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as a waiver of any other provision of this Agreement or of any subsequent breach of this Agreement by you.</w:t>
      </w:r>
    </w:p>
    <w:p>
      <w:pPr>
        <w:spacing w:after="0" w:line="189" w:lineRule="exact"/>
        <w:rPr>
          <w:rFonts w:ascii="Arial" w:cs="Arial" w:eastAsia="Arial" w:hAnsi="Arial"/>
          <w:sz w:val="18"/>
          <w:szCs w:val="18"/>
          <w:b w:val="1"/>
          <w:bCs w:val="1"/>
          <w:color w:val="auto"/>
        </w:rPr>
      </w:pPr>
    </w:p>
    <w:p>
      <w:pPr>
        <w:jc w:val="both"/>
        <w:ind w:firstLine="644"/>
        <w:spacing w:after="0" w:line="296" w:lineRule="auto"/>
        <w:tabs>
          <w:tab w:leader="none" w:pos="918"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Non-U.S. Appendix</w:t>
      </w:r>
      <w:r>
        <w:rPr>
          <w:rFonts w:ascii="Arial" w:cs="Arial" w:eastAsia="Arial" w:hAnsi="Arial"/>
          <w:sz w:val="16"/>
          <w:szCs w:val="16"/>
          <w:color w:val="auto"/>
        </w:rPr>
        <w:t>. These PSUs are subject to any special terms and conditions set forth in any appendix to this Agreement for your</w:t>
      </w:r>
      <w:r>
        <w:rPr>
          <w:rFonts w:ascii="Arial" w:cs="Arial" w:eastAsia="Arial" w:hAnsi="Arial"/>
          <w:sz w:val="16"/>
          <w:szCs w:val="16"/>
          <w:b w:val="1"/>
          <w:bCs w:val="1"/>
          <w:color w:val="auto"/>
        </w:rPr>
        <w:t xml:space="preserve"> </w:t>
      </w:r>
      <w:r>
        <w:rPr>
          <w:rFonts w:ascii="Arial" w:cs="Arial" w:eastAsia="Arial" w:hAnsi="Arial"/>
          <w:sz w:val="16"/>
          <w:szCs w:val="16"/>
          <w:color w:val="auto"/>
        </w:rPr>
        <w:t>country (the “Appendix”). If you relocate to a country included in the Appendix, the special terms and conditions for that country will apply to you to the extent the Company determines that applying such terms and conditions is necessary or advisable for legal or administrative reasons.</w:t>
      </w:r>
    </w:p>
    <w:p>
      <w:pPr>
        <w:sectPr>
          <w:pgSz w:w="11900" w:h="16838" w:orient="portrait"/>
          <w:cols w:equalWidth="0" w:num="1">
            <w:col w:w="10580"/>
          </w:cols>
          <w:pgMar w:left="980" w:top="93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SUBSIDIARIES OF LIVERAMP HOLDINGS, INC.</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53" w:lineRule="exact"/>
        <w:rPr>
          <w:sz w:val="20"/>
          <w:szCs w:val="20"/>
          <w:color w:val="auto"/>
        </w:rPr>
      </w:pPr>
    </w:p>
    <w:p>
      <w:pPr>
        <w:ind w:left="1520"/>
        <w:spacing w:after="0"/>
        <w:rPr>
          <w:sz w:val="20"/>
          <w:szCs w:val="20"/>
          <w:color w:val="auto"/>
        </w:rPr>
      </w:pPr>
      <w:r>
        <w:rPr>
          <w:rFonts w:ascii="Arial" w:cs="Arial" w:eastAsia="Arial" w:hAnsi="Arial"/>
          <w:sz w:val="14"/>
          <w:szCs w:val="14"/>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399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Organized or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14605</wp:posOffset>
            </wp:positionV>
            <wp:extent cx="10883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Percent of Equity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Securities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14605</wp:posOffset>
            </wp:positionV>
            <wp:extent cx="11315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Doing Business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14605</wp:posOffset>
            </wp:positionV>
            <wp:extent cx="239141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4">
            <w:col w:w="3500" w:space="720"/>
            <w:col w:w="980" w:space="720"/>
            <w:col w:w="2120" w:space="720"/>
            <w:col w:w="248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21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Inc.</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60" w:type="dxa"/>
            <w:vAlign w:val="bottom"/>
          </w:tcPr>
          <w:p>
            <w:pPr>
              <w:ind w:left="1220"/>
              <w:spacing w:after="0"/>
              <w:rPr>
                <w:sz w:val="20"/>
                <w:szCs w:val="20"/>
                <w:color w:val="auto"/>
              </w:rPr>
            </w:pPr>
            <w:r>
              <w:rPr>
                <w:rFonts w:ascii="Arial" w:cs="Arial" w:eastAsia="Arial" w:hAnsi="Arial"/>
                <w:sz w:val="18"/>
                <w:szCs w:val="18"/>
                <w:color w:val="auto"/>
              </w:rPr>
              <w:t>100</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LiveRamp, Inc.</w:t>
            </w:r>
          </w:p>
        </w:tc>
      </w:tr>
      <w:tr>
        <w:trPr>
          <w:trHeight w:val="25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Data Plus Math Corporation</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Delaware</w:t>
            </w:r>
          </w:p>
        </w:tc>
        <w:tc>
          <w:tcPr>
            <w:tcW w:w="1560" w:type="dxa"/>
            <w:vAlign w:val="bottom"/>
          </w:tcPr>
          <w:p>
            <w:pPr>
              <w:ind w:left="1220"/>
              <w:spacing w:after="0"/>
              <w:rPr>
                <w:sz w:val="20"/>
                <w:szCs w:val="20"/>
                <w:color w:val="auto"/>
              </w:rPr>
            </w:pPr>
            <w:r>
              <w:rPr>
                <w:rFonts w:ascii="Arial" w:cs="Arial" w:eastAsia="Arial" w:hAnsi="Arial"/>
                <w:sz w:val="18"/>
                <w:szCs w:val="18"/>
                <w:color w:val="auto"/>
              </w:rPr>
              <w:t>100</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Data Plus Math</w:t>
            </w:r>
          </w:p>
        </w:tc>
      </w:tr>
      <w:tr>
        <w:trPr>
          <w:trHeight w:val="803"/>
        </w:trPr>
        <w:tc>
          <w:tcPr>
            <w:tcW w:w="3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ind w:left="460"/>
              <w:spacing w:after="0"/>
              <w:rPr>
                <w:sz w:val="20"/>
                <w:szCs w:val="20"/>
                <w:color w:val="auto"/>
              </w:rPr>
            </w:pPr>
            <w:r>
              <w:rPr>
                <w:rFonts w:ascii="Arial" w:cs="Arial" w:eastAsia="Arial" w:hAnsi="Arial"/>
                <w:sz w:val="18"/>
                <w:szCs w:val="18"/>
                <w:b w:val="1"/>
                <w:bCs w:val="1"/>
                <w:color w:val="auto"/>
              </w:rPr>
              <w:t>INTERNATIONAL SUBSIDIARIES</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r>
        <w:trPr>
          <w:trHeight w:val="194"/>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color w:val="auto"/>
              </w:rPr>
              <w:t>Organized or</w:t>
            </w:r>
          </w:p>
        </w:tc>
        <w:tc>
          <w:tcPr>
            <w:tcW w:w="1560" w:type="dxa"/>
            <w:vAlign w:val="bottom"/>
          </w:tcPr>
          <w:p>
            <w:pPr>
              <w:ind w:left="20"/>
              <w:spacing w:after="0"/>
              <w:rPr>
                <w:sz w:val="20"/>
                <w:szCs w:val="20"/>
                <w:color w:val="auto"/>
              </w:rPr>
            </w:pPr>
            <w:r>
              <w:rPr>
                <w:rFonts w:ascii="Arial" w:cs="Arial" w:eastAsia="Arial" w:hAnsi="Arial"/>
                <w:sz w:val="14"/>
                <w:szCs w:val="14"/>
                <w:color w:val="auto"/>
              </w:rPr>
              <w:t>Percent of Equity</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178"/>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Subsidiary</w:t>
            </w:r>
          </w:p>
        </w:tc>
        <w:tc>
          <w:tcPr>
            <w:tcW w:w="80" w:type="dxa"/>
            <w:vAlign w:val="bottom"/>
          </w:tcPr>
          <w:p>
            <w:pPr>
              <w:spacing w:after="0"/>
              <w:rPr>
                <w:sz w:val="15"/>
                <w:szCs w:val="15"/>
                <w:color w:val="auto"/>
              </w:rPr>
            </w:pPr>
          </w:p>
        </w:tc>
        <w:tc>
          <w:tcPr>
            <w:tcW w:w="1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Incorporated</w:t>
            </w:r>
          </w:p>
        </w:tc>
        <w:tc>
          <w:tcPr>
            <w:tcW w:w="100" w:type="dxa"/>
            <w:vAlign w:val="bottom"/>
          </w:tcPr>
          <w:p>
            <w:pPr>
              <w:spacing w:after="0"/>
              <w:rPr>
                <w:sz w:val="15"/>
                <w:szCs w:val="15"/>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Securities Owned</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Doing Business As</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Australia Pty Limited</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Australia</w:t>
            </w:r>
          </w:p>
        </w:tc>
        <w:tc>
          <w:tcPr>
            <w:tcW w:w="1560" w:type="dxa"/>
            <w:vAlign w:val="bottom"/>
          </w:tcPr>
          <w:p>
            <w:pPr>
              <w:ind w:left="1220"/>
              <w:spacing w:after="0"/>
              <w:rPr>
                <w:sz w:val="20"/>
                <w:szCs w:val="20"/>
                <w:color w:val="auto"/>
              </w:rPr>
            </w:pPr>
            <w:r>
              <w:rPr>
                <w:rFonts w:ascii="Arial" w:cs="Arial" w:eastAsia="Arial" w:hAnsi="Arial"/>
                <w:sz w:val="18"/>
                <w:szCs w:val="18"/>
                <w:color w:val="auto"/>
              </w:rPr>
              <w:t>100</w:t>
            </w:r>
          </w:p>
        </w:tc>
        <w:tc>
          <w:tcPr>
            <w:tcW w:w="4080" w:type="dxa"/>
            <w:vAlign w:val="bottom"/>
            <w:gridSpan w:val="3"/>
          </w:tcPr>
          <w:p>
            <w:pPr>
              <w:ind w:left="40"/>
              <w:spacing w:after="0"/>
              <w:rPr>
                <w:sz w:val="20"/>
                <w:szCs w:val="20"/>
                <w:color w:val="auto"/>
              </w:rPr>
            </w:pPr>
            <w:r>
              <w:rPr>
                <w:rFonts w:ascii="Arial" w:cs="Arial" w:eastAsia="Arial" w:hAnsi="Arial"/>
                <w:sz w:val="18"/>
                <w:szCs w:val="18"/>
                <w:color w:val="auto"/>
              </w:rPr>
              <w:t>%  LiveRamp Australia Pty Limited</w:t>
            </w:r>
          </w:p>
        </w:tc>
      </w:tr>
      <w:tr>
        <w:trPr>
          <w:trHeight w:val="25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France SAS</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France</w:t>
            </w:r>
          </w:p>
        </w:tc>
        <w:tc>
          <w:tcPr>
            <w:tcW w:w="1780" w:type="dxa"/>
            <w:vAlign w:val="bottom"/>
            <w:gridSpan w:val="2"/>
          </w:tcPr>
          <w:p>
            <w:pPr>
              <w:ind w:left="1220"/>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LiveRamp France SAS</w:t>
            </w:r>
          </w:p>
        </w:tc>
      </w:tr>
      <w:tr>
        <w:trPr>
          <w:trHeight w:val="25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UK Ltd.</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UK</w:t>
            </w:r>
          </w:p>
        </w:tc>
        <w:tc>
          <w:tcPr>
            <w:tcW w:w="1780" w:type="dxa"/>
            <w:vAlign w:val="bottom"/>
            <w:gridSpan w:val="2"/>
          </w:tcPr>
          <w:p>
            <w:pPr>
              <w:ind w:left="1220"/>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LiveRamp UK Ltd.</w:t>
            </w:r>
          </w:p>
        </w:tc>
      </w:tr>
      <w:tr>
        <w:trPr>
          <w:trHeight w:val="24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Greater China Information</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China</w:t>
            </w:r>
          </w:p>
        </w:tc>
        <w:tc>
          <w:tcPr>
            <w:tcW w:w="1560" w:type="dxa"/>
            <w:vAlign w:val="bottom"/>
          </w:tcPr>
          <w:p>
            <w:pPr>
              <w:ind w:left="1220"/>
              <w:spacing w:after="0"/>
              <w:rPr>
                <w:sz w:val="20"/>
                <w:szCs w:val="20"/>
                <w:color w:val="auto"/>
              </w:rPr>
            </w:pPr>
            <w:r>
              <w:rPr>
                <w:rFonts w:ascii="Arial" w:cs="Arial" w:eastAsia="Arial" w:hAnsi="Arial"/>
                <w:sz w:val="18"/>
                <w:szCs w:val="18"/>
                <w:color w:val="auto"/>
              </w:rPr>
              <w:t>100</w:t>
            </w:r>
          </w:p>
        </w:tc>
        <w:tc>
          <w:tcPr>
            <w:tcW w:w="4080" w:type="dxa"/>
            <w:vAlign w:val="bottom"/>
            <w:gridSpan w:val="3"/>
          </w:tcPr>
          <w:p>
            <w:pPr>
              <w:ind w:left="40"/>
              <w:spacing w:after="0"/>
              <w:rPr>
                <w:sz w:val="20"/>
                <w:szCs w:val="20"/>
                <w:color w:val="auto"/>
              </w:rPr>
            </w:pPr>
            <w:r>
              <w:rPr>
                <w:rFonts w:ascii="Arial" w:cs="Arial" w:eastAsia="Arial" w:hAnsi="Arial"/>
                <w:sz w:val="18"/>
                <w:szCs w:val="18"/>
                <w:color w:val="auto"/>
              </w:rPr>
              <w:t>%  LiveRamp Greater China Information Services</w:t>
            </w:r>
          </w:p>
        </w:tc>
      </w:tr>
      <w:tr>
        <w:trPr>
          <w:trHeight w:val="21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Services Ltd.</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Ltd.</w:t>
            </w:r>
          </w:p>
        </w:tc>
      </w:tr>
      <w:tr>
        <w:trPr>
          <w:trHeight w:val="25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Japan K.K.</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Japan</w:t>
            </w:r>
          </w:p>
        </w:tc>
        <w:tc>
          <w:tcPr>
            <w:tcW w:w="1560" w:type="dxa"/>
            <w:vAlign w:val="bottom"/>
          </w:tcPr>
          <w:p>
            <w:pPr>
              <w:ind w:left="1220"/>
              <w:spacing w:after="0"/>
              <w:rPr>
                <w:sz w:val="20"/>
                <w:szCs w:val="20"/>
                <w:color w:val="auto"/>
              </w:rPr>
            </w:pPr>
            <w:r>
              <w:rPr>
                <w:rFonts w:ascii="Arial" w:cs="Arial" w:eastAsia="Arial" w:hAnsi="Arial"/>
                <w:sz w:val="18"/>
                <w:szCs w:val="18"/>
                <w:color w:val="auto"/>
              </w:rPr>
              <w:t>100</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LiveRamp Japan K.K.</w:t>
            </w:r>
          </w:p>
        </w:tc>
      </w:tr>
      <w:tr>
        <w:trPr>
          <w:trHeight w:val="25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Netherlands</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Netherlands</w:t>
            </w:r>
          </w:p>
        </w:tc>
        <w:tc>
          <w:tcPr>
            <w:tcW w:w="1560" w:type="dxa"/>
            <w:vAlign w:val="bottom"/>
          </w:tcPr>
          <w:p>
            <w:pPr>
              <w:ind w:left="1220"/>
              <w:spacing w:after="0"/>
              <w:rPr>
                <w:sz w:val="20"/>
                <w:szCs w:val="20"/>
                <w:color w:val="auto"/>
              </w:rPr>
            </w:pPr>
            <w:r>
              <w:rPr>
                <w:rFonts w:ascii="Arial" w:cs="Arial" w:eastAsia="Arial" w:hAnsi="Arial"/>
                <w:sz w:val="18"/>
                <w:szCs w:val="18"/>
                <w:color w:val="auto"/>
              </w:rPr>
              <w:t>100</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Faktor B.V.</w:t>
            </w:r>
          </w:p>
        </w:tc>
      </w:tr>
      <w:tr>
        <w:trPr>
          <w:trHeight w:val="256"/>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LiveRamp PTE. Ltd.</w:t>
            </w:r>
          </w:p>
        </w:tc>
        <w:tc>
          <w:tcPr>
            <w:tcW w:w="1820" w:type="dxa"/>
            <w:vAlign w:val="bottom"/>
            <w:gridSpan w:val="2"/>
          </w:tcPr>
          <w:p>
            <w:pPr>
              <w:ind w:left="20"/>
              <w:spacing w:after="0"/>
              <w:rPr>
                <w:sz w:val="20"/>
                <w:szCs w:val="20"/>
                <w:color w:val="auto"/>
              </w:rPr>
            </w:pPr>
            <w:r>
              <w:rPr>
                <w:rFonts w:ascii="Arial" w:cs="Arial" w:eastAsia="Arial" w:hAnsi="Arial"/>
                <w:sz w:val="18"/>
                <w:szCs w:val="18"/>
                <w:color w:val="auto"/>
              </w:rPr>
              <w:t>Singapore</w:t>
            </w:r>
          </w:p>
        </w:tc>
        <w:tc>
          <w:tcPr>
            <w:tcW w:w="1560" w:type="dxa"/>
            <w:vAlign w:val="bottom"/>
          </w:tcPr>
          <w:p>
            <w:pPr>
              <w:ind w:left="1220"/>
              <w:spacing w:after="0"/>
              <w:rPr>
                <w:sz w:val="20"/>
                <w:szCs w:val="20"/>
                <w:color w:val="auto"/>
              </w:rPr>
            </w:pPr>
            <w:r>
              <w:rPr>
                <w:rFonts w:ascii="Arial" w:cs="Arial" w:eastAsia="Arial" w:hAnsi="Arial"/>
                <w:sz w:val="18"/>
                <w:szCs w:val="18"/>
                <w:color w:val="auto"/>
              </w:rPr>
              <w:t>100</w:t>
            </w:r>
          </w:p>
        </w:tc>
        <w:tc>
          <w:tcPr>
            <w:tcW w:w="22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Arial" w:cs="Arial" w:eastAsia="Arial" w:hAnsi="Arial"/>
                <w:sz w:val="18"/>
                <w:szCs w:val="18"/>
                <w:color w:val="auto"/>
              </w:rPr>
              <w:t>LiveRamp PTE. Ltd.</w:t>
            </w:r>
          </w:p>
        </w:tc>
      </w:tr>
    </w:tbl>
    <w:p>
      <w:pPr>
        <w:sectPr>
          <w:pgSz w:w="11900" w:h="16838" w:orient="portrait"/>
          <w:cols w:equalWidth="0" w:num="1">
            <w:col w:w="11240"/>
          </w:cols>
          <w:pgMar w:left="320" w:top="118" w:right="339" w:bottom="1440" w:gutter="0" w:footer="0" w:header="0"/>
          <w:type w:val="continuous"/>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LiveRamp Holdings, Inc.:</w:t>
      </w:r>
    </w:p>
    <w:p>
      <w:pPr>
        <w:spacing w:after="0" w:line="200" w:lineRule="exact"/>
        <w:rPr>
          <w:sz w:val="20"/>
          <w:szCs w:val="20"/>
          <w:color w:val="auto"/>
        </w:rPr>
      </w:pPr>
    </w:p>
    <w:p>
      <w:pPr>
        <w:spacing w:after="0" w:line="29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consent to the incorporation by reference in the registration statements filed on Form S-3 and Form S-8 (Nos. 33-17115, 33-37609, 33-37610, 33-42351, 33-72310, 333-63633, 333-40114, 333-57470, 333-68620, 333-91395, 333-98613, 333-108900, 333-124901, 333-127743, 333-136919, 333-148708, 333-148946, 333-151333, 333-158005, 333-175854, 333-190906, 333-197463, 333-209438, 333-214926, 333-214927, 333-215197, 333-215626, 333-219839, 333-221162, 333-223520, 333-227540, 333-231823, 333-232963) of LiveRamp Holdings, Inc. of our report dated May 22, 2020, with respect to the consolidated balance sheets of LiveRamp Holdings, Inc. as of March 31, 2020 and 2019, the related consolidated statements of operations, comprehensive income (loss), equity, and cash flows for each of the years in the three-year period ended March 31, 2020, and the related notes (collectively, the “consolidated financial statements”), and the effectiveness of internal control over financial reporting as of March 31, 2020, which report appears in the March 31, 2020 annual report on Form 10-K of LiveRamp Holdings, Inc.</w:t>
      </w:r>
    </w:p>
    <w:p>
      <w:pPr>
        <w:spacing w:after="0" w:line="239"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Our report dated May 22, 2020 with respect to the consolidated financial statements refers to a change in the Company’s method of accounting for leases as of April 1, 2019 and revenue recognition as of April 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22,2020</w:t>
      </w:r>
    </w:p>
    <w:p>
      <w:pPr>
        <w:sectPr>
          <w:pgSz w:w="11900" w:h="16838" w:orient="portrait"/>
          <w:cols w:equalWidth="0" w:num="1">
            <w:col w:w="11240"/>
          </w:cols>
          <w:pgMar w:left="320" w:top="360"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31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KNOW ALL MEN BY THESE PRESENTS: That the undersigned, a director or officer, or both, of LiveRamp Holdings, Inc. ("the Company"), acting pursuant to authorization of the Company’s Board of Directors, hereby appoints Catherine L. Hughes and Jerry C. Jones, or any one of them, attorneys-in-fact and agents for me and in my name and on my behalf, individually and as a director or officer, or both, of the Company, to sign the Company’s Annual Report on Form 10-K for the year ended March 31, 2020, together with any amendments thereto, and to file the same, together with any exhibits and all other documents related thereto, with the Securities and Exchange Commission, granting to said attorneys-in-fact and agents full power and authority to do and perform each and any act necessary to be done in connection therewith, as fully to all intents and purposes as the undersigned might or could do in person, duly ratifying and confirming all that said attorneys-in-fact and agents may lawfully do or cause to be done by virtue of the power herein granted.</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22nd day of May,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332105</wp:posOffset>
            </wp:positionV>
            <wp:extent cx="6377940" cy="27774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6377940" cy="27774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Signed: /s/ John L. Battelle</w:t>
      </w:r>
    </w:p>
    <w:p>
      <w:pPr>
        <w:ind w:left="4400"/>
        <w:spacing w:after="0"/>
        <w:rPr>
          <w:sz w:val="20"/>
          <w:szCs w:val="20"/>
          <w:color w:val="auto"/>
        </w:rPr>
      </w:pPr>
      <w:r>
        <w:rPr>
          <w:rFonts w:ascii="Arial" w:cs="Arial" w:eastAsia="Arial" w:hAnsi="Arial"/>
          <w:sz w:val="18"/>
          <w:szCs w:val="18"/>
          <w:color w:val="auto"/>
        </w:rPr>
        <w:t>Name: JOHN L. BATTELLE, Director</w:t>
      </w:r>
    </w:p>
    <w:p>
      <w:pPr>
        <w:spacing w:after="0" w:line="24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Signed: /s/ Timothy R. Cadogan</w:t>
      </w:r>
    </w:p>
    <w:p>
      <w:pPr>
        <w:ind w:left="4400"/>
        <w:spacing w:after="0"/>
        <w:rPr>
          <w:sz w:val="20"/>
          <w:szCs w:val="20"/>
          <w:color w:val="auto"/>
        </w:rPr>
      </w:pPr>
      <w:r>
        <w:rPr>
          <w:rFonts w:ascii="Arial" w:cs="Arial" w:eastAsia="Arial" w:hAnsi="Arial"/>
          <w:sz w:val="18"/>
          <w:szCs w:val="18"/>
          <w:color w:val="auto"/>
        </w:rPr>
        <w:t>Name: TIMOTHY R. CADOGAN, Director</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Signed: /s/ Vivian Chow</w:t>
      </w:r>
    </w:p>
    <w:p>
      <w:pPr>
        <w:ind w:left="4400"/>
        <w:spacing w:after="0"/>
        <w:rPr>
          <w:sz w:val="20"/>
          <w:szCs w:val="20"/>
          <w:color w:val="auto"/>
        </w:rPr>
      </w:pPr>
      <w:r>
        <w:rPr>
          <w:rFonts w:ascii="Arial" w:cs="Arial" w:eastAsia="Arial" w:hAnsi="Arial"/>
          <w:sz w:val="18"/>
          <w:szCs w:val="18"/>
          <w:color w:val="auto"/>
        </w:rPr>
        <w:t>Name: VIVIAN CHOW, Director</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Signed: /s/ William T. Dillard II</w:t>
      </w:r>
    </w:p>
    <w:p>
      <w:pPr>
        <w:ind w:left="4400"/>
        <w:spacing w:after="0"/>
        <w:rPr>
          <w:sz w:val="20"/>
          <w:szCs w:val="20"/>
          <w:color w:val="auto"/>
        </w:rPr>
      </w:pPr>
      <w:r>
        <w:rPr>
          <w:rFonts w:ascii="Arial" w:cs="Arial" w:eastAsia="Arial" w:hAnsi="Arial"/>
          <w:sz w:val="18"/>
          <w:szCs w:val="18"/>
          <w:color w:val="auto"/>
        </w:rPr>
        <w:t>Name: WILLIAM T. DILLARD II, Director</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Richard P. Fox</w:t>
      </w:r>
    </w:p>
    <w:p>
      <w:pPr>
        <w:ind w:left="4400"/>
        <w:spacing w:after="0"/>
        <w:rPr>
          <w:sz w:val="20"/>
          <w:szCs w:val="20"/>
          <w:color w:val="auto"/>
        </w:rPr>
      </w:pPr>
      <w:r>
        <w:rPr>
          <w:rFonts w:ascii="Arial" w:cs="Arial" w:eastAsia="Arial" w:hAnsi="Arial"/>
          <w:sz w:val="18"/>
          <w:szCs w:val="18"/>
          <w:color w:val="auto"/>
        </w:rPr>
        <w:t>Name: RICHARD P. FOX, Director</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William J. Henderson</w:t>
      </w:r>
    </w:p>
    <w:p>
      <w:pPr>
        <w:ind w:left="4400"/>
        <w:spacing w:after="0"/>
        <w:rPr>
          <w:sz w:val="20"/>
          <w:szCs w:val="20"/>
          <w:color w:val="auto"/>
        </w:rPr>
      </w:pPr>
      <w:r>
        <w:rPr>
          <w:rFonts w:ascii="Arial" w:cs="Arial" w:eastAsia="Arial" w:hAnsi="Arial"/>
          <w:sz w:val="18"/>
          <w:szCs w:val="18"/>
          <w:color w:val="auto"/>
        </w:rPr>
        <w:t>Name: WILLIAM J. HENDERSON, Director</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Scott E. Howe</w:t>
      </w:r>
    </w:p>
    <w:p>
      <w:pPr>
        <w:ind w:left="4400"/>
        <w:spacing w:after="0" w:line="203" w:lineRule="auto"/>
        <w:rPr>
          <w:sz w:val="20"/>
          <w:szCs w:val="20"/>
          <w:color w:val="auto"/>
        </w:rPr>
      </w:pPr>
      <w:r>
        <w:rPr>
          <w:rFonts w:ascii="Arial" w:cs="Arial" w:eastAsia="Arial" w:hAnsi="Arial"/>
          <w:sz w:val="18"/>
          <w:szCs w:val="18"/>
          <w:color w:val="auto"/>
        </w:rPr>
        <w:t>Name: SCOTT E. HOWE, Director and Chief Executive Officer</w:t>
      </w:r>
    </w:p>
    <w:p>
      <w:pPr>
        <w:ind w:left="5040"/>
        <w:spacing w:after="0"/>
        <w:rPr>
          <w:sz w:val="20"/>
          <w:szCs w:val="20"/>
          <w:color w:val="auto"/>
        </w:rPr>
      </w:pPr>
      <w:r>
        <w:rPr>
          <w:rFonts w:ascii="Arial" w:cs="Arial" w:eastAsia="Arial" w:hAnsi="Arial"/>
          <w:sz w:val="18"/>
          <w:szCs w:val="18"/>
          <w:color w:val="auto"/>
        </w:rPr>
        <w:t>(principal executive officer)</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Clark M. Kokich</w:t>
      </w:r>
    </w:p>
    <w:p>
      <w:pPr>
        <w:ind w:left="4400"/>
        <w:spacing w:after="0" w:line="203" w:lineRule="auto"/>
        <w:rPr>
          <w:sz w:val="20"/>
          <w:szCs w:val="20"/>
          <w:color w:val="auto"/>
        </w:rPr>
      </w:pPr>
      <w:r>
        <w:rPr>
          <w:rFonts w:ascii="Arial" w:cs="Arial" w:eastAsia="Arial" w:hAnsi="Arial"/>
          <w:sz w:val="18"/>
          <w:szCs w:val="18"/>
          <w:color w:val="auto"/>
        </w:rPr>
        <w:t>Name: CLARK M. KOKICH, Director</w:t>
      </w:r>
    </w:p>
    <w:p>
      <w:pPr>
        <w:ind w:left="5000"/>
        <w:spacing w:after="0"/>
        <w:rPr>
          <w:sz w:val="20"/>
          <w:szCs w:val="20"/>
          <w:color w:val="auto"/>
        </w:rPr>
      </w:pPr>
      <w:r>
        <w:rPr>
          <w:rFonts w:ascii="Arial" w:cs="Arial" w:eastAsia="Arial" w:hAnsi="Arial"/>
          <w:sz w:val="18"/>
          <w:szCs w:val="18"/>
          <w:color w:val="auto"/>
        </w:rPr>
        <w:t>(Non-Executive Chairman of the Board)</w:t>
      </w:r>
    </w:p>
    <w:p>
      <w:pPr>
        <w:spacing w:after="0" w:line="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 xml:space="preserve">Signed: </w:t>
      </w:r>
      <w:r>
        <w:rPr>
          <w:rFonts w:ascii="Arial" w:cs="Arial" w:eastAsia="Arial" w:hAnsi="Arial"/>
          <w:sz w:val="18"/>
          <w:szCs w:val="18"/>
          <w:u w:val="single" w:color="auto"/>
          <w:color w:val="auto"/>
        </w:rPr>
        <w:t>/s/ Debora B. Tomlin</w:t>
      </w:r>
    </w:p>
    <w:p>
      <w:pPr>
        <w:ind w:left="4400"/>
        <w:spacing w:after="0"/>
        <w:rPr>
          <w:sz w:val="20"/>
          <w:szCs w:val="20"/>
          <w:color w:val="auto"/>
        </w:rPr>
      </w:pPr>
      <w:r>
        <w:rPr>
          <w:rFonts w:ascii="Arial" w:cs="Arial" w:eastAsia="Arial" w:hAnsi="Arial"/>
          <w:sz w:val="18"/>
          <w:szCs w:val="18"/>
          <w:color w:val="auto"/>
        </w:rPr>
        <w:t>Name: DEBORA B. TOMLIN, Director</w:t>
      </w:r>
    </w:p>
    <w:p>
      <w:pPr>
        <w:sectPr>
          <w:pgSz w:w="11900" w:h="16838" w:orient="portrait"/>
          <w:cols w:equalWidth="0" w:num="1">
            <w:col w:w="11240"/>
          </w:cols>
          <w:pgMar w:left="320" w:top="118"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LIVERAMP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Scott E. Howe, certify that:</w:t>
      </w:r>
    </w:p>
    <w:p>
      <w:pPr>
        <w:spacing w:after="0" w:line="225"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LiveRamp Holdings, Inc.;</w:t>
      </w:r>
    </w:p>
    <w:p>
      <w:pPr>
        <w:spacing w:after="0" w:line="238" w:lineRule="exact"/>
        <w:rPr>
          <w:rFonts w:ascii="Arial" w:cs="Arial" w:eastAsia="Arial" w:hAnsi="Arial"/>
          <w:sz w:val="18"/>
          <w:szCs w:val="18"/>
          <w:color w:val="auto"/>
        </w:rPr>
      </w:pPr>
    </w:p>
    <w:p>
      <w:pPr>
        <w:ind w:left="660" w:right="80" w:hanging="4"/>
        <w:spacing w:after="0"/>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660" w:right="60" w:hanging="4"/>
        <w:spacing w:after="0"/>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Arial" w:cs="Arial" w:eastAsia="Arial" w:hAnsi="Arial"/>
          <w:sz w:val="18"/>
          <w:szCs w:val="18"/>
          <w:color w:val="auto"/>
        </w:rPr>
      </w:pPr>
    </w:p>
    <w:p>
      <w:pPr>
        <w:ind w:left="660" w:right="240" w:hanging="4"/>
        <w:spacing w:after="0"/>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ind w:left="1300" w:right="240" w:firstLine="4"/>
        <w:spacing w:after="0" w:line="238" w:lineRule="auto"/>
        <w:tabs>
          <w:tab w:leader="none" w:pos="19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8"/>
          <w:szCs w:val="18"/>
          <w:color w:val="auto"/>
        </w:rPr>
      </w:pPr>
    </w:p>
    <w:p>
      <w:pPr>
        <w:ind w:left="1300" w:right="160" w:firstLine="4"/>
        <w:spacing w:after="0"/>
        <w:tabs>
          <w:tab w:leader="none" w:pos="19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300" w:right="300" w:firstLine="4"/>
        <w:spacing w:after="0"/>
        <w:tabs>
          <w:tab w:leader="none" w:pos="1939"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jc w:val="both"/>
        <w:ind w:left="1300" w:right="60" w:firstLine="4"/>
        <w:spacing w:after="0"/>
        <w:tabs>
          <w:tab w:leader="none" w:pos="19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660" w:right="280" w:hanging="4"/>
        <w:spacing w:after="0"/>
        <w:tabs>
          <w:tab w:leader="none" w:pos="12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1300" w:right="440" w:firstLine="4"/>
        <w:spacing w:after="0"/>
        <w:tabs>
          <w:tab w:leader="none" w:pos="19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1300" w:right="160" w:firstLine="4"/>
        <w:spacing w:after="0" w:line="246" w:lineRule="auto"/>
        <w:tabs>
          <w:tab w:leader="none" w:pos="193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520" w:val="left"/>
          <w:tab w:leader="none" w:pos="6120" w:val="left"/>
        </w:tabs>
        <w:rPr>
          <w:sz w:val="20"/>
          <w:szCs w:val="20"/>
          <w:color w:val="auto"/>
        </w:rPr>
      </w:pPr>
      <w:r>
        <w:rPr>
          <w:rFonts w:ascii="Arial" w:cs="Arial" w:eastAsia="Arial" w:hAnsi="Arial"/>
          <w:sz w:val="18"/>
          <w:szCs w:val="18"/>
          <w:color w:val="auto"/>
        </w:rPr>
        <w:t>Dated: May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143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Scott E. Howe</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927"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LIVERAMP HOLDINGS, INC. AND SUBSIDIARIES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Warren C. Jenson, certify that:</w:t>
      </w:r>
    </w:p>
    <w:p>
      <w:pPr>
        <w:spacing w:after="0" w:line="225"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LiveRamp Holdings, Inc.;</w:t>
      </w:r>
    </w:p>
    <w:p>
      <w:pPr>
        <w:spacing w:after="0" w:line="238" w:lineRule="exact"/>
        <w:rPr>
          <w:rFonts w:ascii="Arial" w:cs="Arial" w:eastAsia="Arial" w:hAnsi="Arial"/>
          <w:sz w:val="18"/>
          <w:szCs w:val="18"/>
          <w:color w:val="auto"/>
        </w:rPr>
      </w:pPr>
    </w:p>
    <w:p>
      <w:pPr>
        <w:ind w:left="660" w:right="80" w:hanging="4"/>
        <w:spacing w:after="0"/>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9" w:lineRule="exact"/>
        <w:rPr>
          <w:rFonts w:ascii="Arial" w:cs="Arial" w:eastAsia="Arial" w:hAnsi="Arial"/>
          <w:sz w:val="18"/>
          <w:szCs w:val="18"/>
          <w:color w:val="auto"/>
        </w:rPr>
      </w:pPr>
    </w:p>
    <w:p>
      <w:pPr>
        <w:ind w:left="660" w:right="60" w:hanging="4"/>
        <w:spacing w:after="0"/>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9" w:lineRule="exact"/>
        <w:rPr>
          <w:rFonts w:ascii="Arial" w:cs="Arial" w:eastAsia="Arial" w:hAnsi="Arial"/>
          <w:sz w:val="18"/>
          <w:szCs w:val="18"/>
          <w:color w:val="auto"/>
        </w:rPr>
      </w:pPr>
    </w:p>
    <w:p>
      <w:pPr>
        <w:ind w:left="660" w:right="240" w:hanging="4"/>
        <w:spacing w:after="0"/>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9" w:lineRule="exact"/>
        <w:rPr>
          <w:rFonts w:ascii="Arial" w:cs="Arial" w:eastAsia="Arial" w:hAnsi="Arial"/>
          <w:sz w:val="18"/>
          <w:szCs w:val="18"/>
          <w:color w:val="auto"/>
        </w:rPr>
      </w:pPr>
    </w:p>
    <w:p>
      <w:pPr>
        <w:ind w:left="1300" w:right="240" w:firstLine="4"/>
        <w:spacing w:after="0" w:line="238" w:lineRule="auto"/>
        <w:tabs>
          <w:tab w:leader="none" w:pos="19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1" w:lineRule="exact"/>
        <w:rPr>
          <w:rFonts w:ascii="Arial" w:cs="Arial" w:eastAsia="Arial" w:hAnsi="Arial"/>
          <w:sz w:val="18"/>
          <w:szCs w:val="18"/>
          <w:color w:val="auto"/>
        </w:rPr>
      </w:pPr>
    </w:p>
    <w:p>
      <w:pPr>
        <w:ind w:left="1300" w:right="160" w:firstLine="4"/>
        <w:spacing w:after="0"/>
        <w:tabs>
          <w:tab w:leader="none" w:pos="19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9" w:lineRule="exact"/>
        <w:rPr>
          <w:rFonts w:ascii="Arial" w:cs="Arial" w:eastAsia="Arial" w:hAnsi="Arial"/>
          <w:sz w:val="18"/>
          <w:szCs w:val="18"/>
          <w:color w:val="auto"/>
        </w:rPr>
      </w:pPr>
    </w:p>
    <w:p>
      <w:pPr>
        <w:jc w:val="both"/>
        <w:ind w:left="1300" w:right="300" w:firstLine="4"/>
        <w:spacing w:after="0"/>
        <w:tabs>
          <w:tab w:leader="none" w:pos="1939"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9" w:lineRule="exact"/>
        <w:rPr>
          <w:rFonts w:ascii="Arial" w:cs="Arial" w:eastAsia="Arial" w:hAnsi="Arial"/>
          <w:sz w:val="18"/>
          <w:szCs w:val="18"/>
          <w:color w:val="auto"/>
        </w:rPr>
      </w:pPr>
    </w:p>
    <w:p>
      <w:pPr>
        <w:jc w:val="both"/>
        <w:ind w:left="1300" w:right="60" w:firstLine="4"/>
        <w:spacing w:after="0"/>
        <w:tabs>
          <w:tab w:leader="none" w:pos="19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9" w:lineRule="exact"/>
        <w:rPr>
          <w:rFonts w:ascii="Arial" w:cs="Arial" w:eastAsia="Arial" w:hAnsi="Arial"/>
          <w:sz w:val="18"/>
          <w:szCs w:val="18"/>
          <w:color w:val="auto"/>
        </w:rPr>
      </w:pPr>
    </w:p>
    <w:p>
      <w:pPr>
        <w:ind w:left="660" w:right="280" w:hanging="4"/>
        <w:spacing w:after="0"/>
        <w:tabs>
          <w:tab w:leader="none" w:pos="12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9" w:lineRule="exact"/>
        <w:rPr>
          <w:rFonts w:ascii="Arial" w:cs="Arial" w:eastAsia="Arial" w:hAnsi="Arial"/>
          <w:sz w:val="18"/>
          <w:szCs w:val="18"/>
          <w:color w:val="auto"/>
        </w:rPr>
      </w:pPr>
    </w:p>
    <w:p>
      <w:pPr>
        <w:ind w:left="1300" w:right="440" w:firstLine="4"/>
        <w:spacing w:after="0"/>
        <w:tabs>
          <w:tab w:leader="none" w:pos="19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9" w:lineRule="exact"/>
        <w:rPr>
          <w:rFonts w:ascii="Arial" w:cs="Arial" w:eastAsia="Arial" w:hAnsi="Arial"/>
          <w:sz w:val="18"/>
          <w:szCs w:val="18"/>
          <w:color w:val="auto"/>
        </w:rPr>
      </w:pPr>
    </w:p>
    <w:p>
      <w:pPr>
        <w:ind w:left="1300" w:right="160" w:firstLine="4"/>
        <w:spacing w:after="0" w:line="246" w:lineRule="auto"/>
        <w:tabs>
          <w:tab w:leader="none" w:pos="1936"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5520" w:val="left"/>
          <w:tab w:leader="none" w:pos="6120" w:val="left"/>
        </w:tabs>
        <w:rPr>
          <w:sz w:val="20"/>
          <w:szCs w:val="20"/>
          <w:color w:val="auto"/>
        </w:rPr>
      </w:pPr>
      <w:r>
        <w:rPr>
          <w:rFonts w:ascii="Arial" w:cs="Arial" w:eastAsia="Arial" w:hAnsi="Arial"/>
          <w:sz w:val="18"/>
          <w:szCs w:val="18"/>
          <w:color w:val="auto"/>
        </w:rPr>
        <w:t>Dated: May 22,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Warren C. Jenson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143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43"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(Signature)</w:t>
      </w:r>
    </w:p>
    <w:p>
      <w:pPr>
        <w:spacing w:after="0" w:line="50"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Warren C. Jenson</w:t>
      </w:r>
    </w:p>
    <w:p>
      <w:pPr>
        <w:spacing w:after="0" w:line="45"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President, Chief Financial Officer and Executive Managing</w:t>
      </w:r>
    </w:p>
    <w:p>
      <w:pPr>
        <w:ind w:left="6140"/>
        <w:spacing w:after="0"/>
        <w:rPr>
          <w:sz w:val="20"/>
          <w:szCs w:val="20"/>
          <w:color w:val="auto"/>
        </w:rPr>
      </w:pPr>
      <w:r>
        <w:rPr>
          <w:rFonts w:ascii="Arial" w:cs="Arial" w:eastAsia="Arial" w:hAnsi="Arial"/>
          <w:sz w:val="18"/>
          <w:szCs w:val="18"/>
          <w:color w:val="auto"/>
        </w:rPr>
        <w:t>Director of International</w:t>
      </w:r>
    </w:p>
    <w:p>
      <w:pPr>
        <w:sectPr>
          <w:pgSz w:w="11900" w:h="16838" w:orient="portrait"/>
          <w:cols w:equalWidth="0" w:num="1">
            <w:col w:w="11240"/>
          </w:cols>
          <w:pgMar w:left="320" w:top="927"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accompanying Annual Report on Form 10-K of LiveRamp Holdings, Inc. (the “Company”) for the period ending March 31, 2020 as filed with the Securities and Exchange Commission on the date hereof (the “Report”), I, Scott E. Howe, Chief Executive Officer of the Company, certify, pursuant to 18 U.S.C. § 1350, as adopted pursuant to § 906 of the Sarbanes-Oxley Act of 2002, to my knowledge, that:</w:t>
      </w:r>
    </w:p>
    <w:p>
      <w:pPr>
        <w:spacing w:after="0" w:line="220" w:lineRule="exact"/>
        <w:rPr>
          <w:sz w:val="20"/>
          <w:szCs w:val="20"/>
          <w:color w:val="auto"/>
        </w:rPr>
      </w:pPr>
    </w:p>
    <w:p>
      <w:pPr>
        <w:ind w:left="640" w:hanging="308"/>
        <w:spacing w:after="0"/>
        <w:tabs>
          <w:tab w:leader="none" w:pos="640" w:val="left"/>
        </w:tabs>
        <w:numPr>
          <w:ilvl w:val="0"/>
          <w:numId w:val="63"/>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69" w:lineRule="exact"/>
        <w:rPr>
          <w:rFonts w:ascii="Arial" w:cs="Arial" w:eastAsia="Arial" w:hAnsi="Arial"/>
          <w:sz w:val="22"/>
          <w:szCs w:val="22"/>
          <w:color w:val="auto"/>
        </w:rPr>
      </w:pPr>
    </w:p>
    <w:p>
      <w:pPr>
        <w:ind w:left="660" w:right="20" w:hanging="328"/>
        <w:spacing w:after="0" w:line="225" w:lineRule="auto"/>
        <w:tabs>
          <w:tab w:leader="none" w:pos="651" w:val="left"/>
        </w:tabs>
        <w:numPr>
          <w:ilvl w:val="0"/>
          <w:numId w:val="63"/>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Scott E. Howe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178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3317875" cy="8255"/>
                    </a:xfrm>
                    <a:prstGeom prst="rect">
                      <a:avLst/>
                    </a:prstGeom>
                    <a:noFill/>
                  </pic:spPr>
                </pic:pic>
              </a:graphicData>
            </a:graphic>
          </wp:anchor>
        </w:drawing>
      </w:r>
    </w:p>
    <w:p>
      <w:pPr>
        <w:spacing w:after="0" w:line="4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Scott E. Howe</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May 22, 2020</w:t>
      </w:r>
    </w:p>
    <w:p>
      <w:pPr>
        <w:sectPr>
          <w:pgSz w:w="11900" w:h="16838" w:orient="portrait"/>
          <w:cols w:equalWidth="0" w:num="1">
            <w:col w:w="11240"/>
          </w:cols>
          <w:pgMar w:left="320" w:top="927"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connection with the accompanying Annual Report on Form 10-K of LiveRamp Holdings, Inc. (the “Company”) for the period ending March 31, 2020 as filed with the Securities and Exchange Commission on the date hereof (the “Report”), I, Warren C. Jenson, President, Chief Financial Officer &amp; Executive Managing Director of International of the Company, certify, pursuant to 18 U.S.C. § 1350, as adopted pursuant to § 906 of the Sarbanes-Oxley Act of 2002, to my knowledge, that:</w:t>
      </w:r>
    </w:p>
    <w:p>
      <w:pPr>
        <w:spacing w:after="0" w:line="223" w:lineRule="exact"/>
        <w:rPr>
          <w:sz w:val="20"/>
          <w:szCs w:val="20"/>
          <w:color w:val="auto"/>
        </w:rPr>
      </w:pPr>
    </w:p>
    <w:p>
      <w:pPr>
        <w:ind w:left="640" w:hanging="308"/>
        <w:spacing w:after="0"/>
        <w:tabs>
          <w:tab w:leader="none" w:pos="640" w:val="left"/>
        </w:tabs>
        <w:numPr>
          <w:ilvl w:val="0"/>
          <w:numId w:val="64"/>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69" w:lineRule="exact"/>
        <w:rPr>
          <w:rFonts w:ascii="Arial" w:cs="Arial" w:eastAsia="Arial" w:hAnsi="Arial"/>
          <w:sz w:val="22"/>
          <w:szCs w:val="22"/>
          <w:color w:val="auto"/>
        </w:rPr>
      </w:pPr>
    </w:p>
    <w:p>
      <w:pPr>
        <w:ind w:left="660" w:right="20" w:hanging="328"/>
        <w:spacing w:after="0" w:line="225" w:lineRule="auto"/>
        <w:tabs>
          <w:tab w:leader="none" w:pos="651" w:val="left"/>
        </w:tabs>
        <w:numPr>
          <w:ilvl w:val="0"/>
          <w:numId w:val="64"/>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Warren C. Jenson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0600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Warren C. Jenson</w:t>
      </w:r>
    </w:p>
    <w:p>
      <w:pPr>
        <w:spacing w:after="0" w:line="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Chief Financial Officer and Executive Managing</w:t>
      </w:r>
    </w:p>
    <w:p>
      <w:pPr>
        <w:ind w:left="5560"/>
        <w:spacing w:after="0"/>
        <w:rPr>
          <w:sz w:val="20"/>
          <w:szCs w:val="20"/>
          <w:color w:val="auto"/>
        </w:rPr>
      </w:pPr>
      <w:r>
        <w:rPr>
          <w:rFonts w:ascii="Arial" w:cs="Arial" w:eastAsia="Arial" w:hAnsi="Arial"/>
          <w:sz w:val="18"/>
          <w:szCs w:val="18"/>
          <w:color w:val="auto"/>
        </w:rPr>
        <w:t>Director of International</w:t>
      </w:r>
    </w:p>
    <w:p>
      <w:pPr>
        <w:spacing w:after="0" w:line="5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May 22, 2020</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lvl w:ilvl="1">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1."/>
      <w:numFmt w:val="decimal"/>
      <w:start w:val="1"/>
    </w:lvl>
  </w:abstractNum>
  <w:abstractNum w:abstractNumId="14">
    <w:nsid w:val="51EAD36B"/>
    <w:multiLevelType w:val="hybridMultilevel"/>
    <w:lvl w:ilvl="0">
      <w:lvlJc w:val="left"/>
      <w:lvlText w:val="(%1)"/>
      <w:numFmt w:val="lowerLetter"/>
      <w:start w:val="1"/>
    </w:lvl>
  </w:abstractNum>
  <w:abstractNum w:abstractNumId="15">
    <w:nsid w:val="2D517796"/>
    <w:multiLevelType w:val="hybridMultilevel"/>
    <w:lvl w:ilvl="0">
      <w:lvlJc w:val="left"/>
      <w:lvlText w:val="%1."/>
      <w:numFmt w:val="decimal"/>
      <w:start w:val="2"/>
    </w:lvl>
  </w:abstractNum>
  <w:abstractNum w:abstractNumId="16">
    <w:nsid w:val="580BD78F"/>
    <w:multiLevelType w:val="hybridMultilevel"/>
    <w:lvl w:ilvl="0">
      <w:lvlJc w:val="left"/>
      <w:lvlText w:val="%1."/>
      <w:numFmt w:val="decimal"/>
      <w:start w:val="3"/>
    </w:lvl>
  </w:abstractNum>
  <w:abstractNum w:abstractNumId="17">
    <w:nsid w:val="153EA438"/>
    <w:multiLevelType w:val="hybridMultilevel"/>
    <w:lvl w:ilvl="0">
      <w:lvlJc w:val="left"/>
      <w:lvlText w:val="%1"/>
      <w:numFmt w:val="decimal"/>
      <w:start w:val="21"/>
    </w:lvl>
  </w:abstractNum>
  <w:abstractNum w:abstractNumId="18">
    <w:nsid w:val="3855585C"/>
    <w:multiLevelType w:val="hybridMultilevel"/>
    <w:lvl w:ilvl="0">
      <w:lvlJc w:val="left"/>
      <w:lvlText w:val="%1"/>
      <w:numFmt w:val="decimal"/>
      <w:start w:val="23"/>
    </w:lvl>
  </w:abstractNum>
  <w:abstractNum w:abstractNumId="19">
    <w:nsid w:val="70A64E2A"/>
    <w:multiLevelType w:val="hybridMultilevel"/>
    <w:lvl w:ilvl="0">
      <w:lvlJc w:val="left"/>
      <w:lvlText w:val="%1"/>
      <w:numFmt w:val="decimal"/>
      <w:start w:val="10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lvl w:ilvl="1">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1"/>
      <w:numFmt w:val="lowerRoman"/>
      <w:start w:val="1"/>
    </w:lvl>
    <w:lvl w:ilvl="1">
      <w:lvlJc w:val="left"/>
      <w:lvlText w:val="%2."/>
      <w:numFmt w:val="lowerRoman"/>
      <w:start w:val="1"/>
    </w:lvl>
  </w:abstractNum>
  <w:abstractNum w:abstractNumId="31">
    <w:nsid w:val="7644A45C"/>
    <w:multiLevelType w:val="hybridMultilevel"/>
    <w:lvl w:ilvl="0">
      <w:lvlJc w:val="left"/>
      <w:lvlText w:val="%1."/>
      <w:numFmt w:val="lowerRoman"/>
      <w:start w:val="4"/>
    </w:lvl>
    <w:lvl w:ilvl="1">
      <w:lvlJc w:val="left"/>
      <w:lvlText w:val="%2"/>
      <w:numFmt w:val="lowerRoman"/>
      <w:start w:val="1"/>
    </w:lvl>
  </w:abstractNum>
  <w:abstractNum w:abstractNumId="32">
    <w:nsid w:val="32FFF902"/>
    <w:multiLevelType w:val="hybridMultilevel"/>
    <w:lvl w:ilvl="0">
      <w:lvlJc w:val="left"/>
      <w:lvlText w:val="%1."/>
      <w:numFmt w:val="decimal"/>
      <w:start w:val="1"/>
    </w:lvl>
    <w:lvl w:ilvl="1">
      <w:lvlJc w:val="left"/>
      <w:lvlText w:val="%2."/>
      <w:numFmt w:val="lowerLetter"/>
      <w:start w:val="1"/>
    </w:lvl>
  </w:abstractNum>
  <w:abstractNum w:abstractNumId="33">
    <w:nsid w:val="684A481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3"/>
    </w:lvl>
    <w:lvl w:ilvl="3">
      <w:lvlJc w:val="left"/>
      <w:lvlText w:val="%4."/>
      <w:numFmt w:val="lowerRoman"/>
      <w:start w:val="1"/>
    </w:lvl>
    <w:lvl w:ilvl="4">
      <w:lvlJc w:val="left"/>
      <w:lvlText w:val="%5."/>
      <w:numFmt w:val="lowerRoman"/>
      <w:start w:val="1"/>
    </w:lvl>
  </w:abstractNum>
  <w:abstractNum w:abstractNumId="34">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35">
    <w:nsid w:val="749ABB4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36">
    <w:nsid w:val="3DC240F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37">
    <w:nsid w:val="1BA026F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3"/>
    </w:lvl>
    <w:lvl w:ilvl="3">
      <w:lvlJc w:val="left"/>
      <w:lvlText w:val="%4."/>
      <w:numFmt w:val="lowerRoman"/>
      <w:start w:val="1"/>
    </w:lvl>
  </w:abstractNum>
  <w:abstractNum w:abstractNumId="38">
    <w:nsid w:val="79A1DEAA"/>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9">
    <w:nsid w:val="75C6C33A"/>
    <w:multiLevelType w:val="hybridMultilevel"/>
    <w:lvl w:ilvl="0">
      <w:lvlJc w:val="left"/>
      <w:lvlText w:val="%1."/>
      <w:numFmt w:val="lowerLetter"/>
      <w:start w:val="5"/>
    </w:lvl>
  </w:abstractNum>
  <w:abstractNum w:abstractNumId="40">
    <w:nsid w:val="12E685FB"/>
    <w:multiLevelType w:val="hybridMultilevel"/>
    <w:lvl w:ilvl="0">
      <w:lvlJc w:val="left"/>
      <w:lvlText w:val="%1"/>
      <w:numFmt w:val="decimal"/>
      <w:start w:val="1"/>
    </w:lvl>
    <w:lvl w:ilvl="1">
      <w:lvlJc w:val="left"/>
      <w:lvlText w:val="%2."/>
      <w:numFmt w:val="lowerLetter"/>
      <w:start w:val="16"/>
    </w:lvl>
  </w:abstractNum>
  <w:abstractNum w:abstractNumId="41">
    <w:nsid w:val="70C6A529"/>
    <w:multiLevelType w:val="hybridMultilevel"/>
    <w:lvl w:ilvl="0">
      <w:lvlJc w:val="left"/>
      <w:lvlText w:val="%1."/>
      <w:numFmt w:val="decimal"/>
      <w:start w:val="11"/>
    </w:lvl>
    <w:lvl w:ilvl="1">
      <w:lvlJc w:val="left"/>
      <w:lvlText w:val="%2."/>
      <w:numFmt w:val="lowerLetter"/>
      <w:start w:val="1"/>
    </w:lvl>
  </w:abstractNum>
  <w:abstractNum w:abstractNumId="42">
    <w:nsid w:val="520EEDD1"/>
    <w:multiLevelType w:val="hybridMultilevel"/>
    <w:lvl w:ilvl="0">
      <w:lvlJc w:val="left"/>
      <w:lvlText w:val="%1"/>
      <w:numFmt w:val="decimal"/>
      <w:start w:val="1"/>
    </w:lvl>
    <w:lvl w:ilvl="1">
      <w:lvlJc w:val="left"/>
      <w:lvlText w:val="%2."/>
      <w:numFmt w:val="lowerLetter"/>
      <w:start w:val="4"/>
    </w:lvl>
  </w:abstractNum>
  <w:abstractNum w:abstractNumId="43">
    <w:nsid w:val="374A3FE6"/>
    <w:multiLevelType w:val="hybridMultilevel"/>
    <w:lvl w:ilvl="0">
      <w:lvlJc w:val="left"/>
      <w:lvlText w:val="%1."/>
      <w:numFmt w:val="decimal"/>
      <w:start w:val="12"/>
    </w:lvl>
    <w:lvl w:ilvl="1">
      <w:lvlJc w:val="left"/>
      <w:lvlText w:val="%2"/>
      <w:numFmt w:val="lowerLetter"/>
      <w:start w:val="1"/>
    </w:lvl>
  </w:abstractNum>
  <w:abstractNum w:abstractNumId="44">
    <w:nsid w:val="4F4EF005"/>
    <w:multiLevelType w:val="hybridMultilevel"/>
    <w:lvl w:ilvl="0">
      <w:lvlJc w:val="left"/>
      <w:lvlText w:val="%1."/>
      <w:numFmt w:val="decimal"/>
      <w:start w:val="18"/>
    </w:lvl>
  </w:abstractNum>
  <w:abstractNum w:abstractNumId="45">
    <w:nsid w:val="23F9C13C"/>
    <w:multiLevelType w:val="hybridMultilevel"/>
    <w:lvl w:ilvl="0">
      <w:lvlJc w:val="left"/>
      <w:lvlText w:val="%1"/>
      <w:numFmt w:val="lowerRoman"/>
      <w:start w:val="1"/>
    </w:lvl>
    <w:lvl w:ilvl="1">
      <w:lvlJc w:val="left"/>
      <w:lvlText w:val="%2."/>
      <w:numFmt w:val="lowerRoman"/>
      <w:start w:val="1"/>
    </w:lvl>
  </w:abstractNum>
  <w:abstractNum w:abstractNumId="46">
    <w:nsid w:val="649BB77C"/>
    <w:multiLevelType w:val="hybridMultilevel"/>
    <w:lvl w:ilvl="0">
      <w:lvlJc w:val="left"/>
      <w:lvlText w:val="%1."/>
      <w:numFmt w:val="lowerRoman"/>
      <w:start w:val="4"/>
    </w:lvl>
    <w:lvl w:ilvl="1">
      <w:lvlJc w:val="left"/>
      <w:lvlText w:val="%2"/>
      <w:numFmt w:val="lowerRoman"/>
      <w:start w:val="1"/>
    </w:lvl>
  </w:abstractNum>
  <w:abstractNum w:abstractNumId="47">
    <w:nsid w:val="275AC794"/>
    <w:multiLevelType w:val="hybridMultilevel"/>
    <w:lvl w:ilvl="0">
      <w:lvlJc w:val="left"/>
      <w:lvlText w:val="%1."/>
      <w:numFmt w:val="decimal"/>
      <w:start w:val="1"/>
    </w:lvl>
    <w:lvl w:ilvl="1">
      <w:lvlJc w:val="left"/>
      <w:lvlText w:val="%2."/>
      <w:numFmt w:val="lowerLetter"/>
      <w:start w:val="1"/>
    </w:lvl>
  </w:abstractNum>
  <w:abstractNum w:abstractNumId="48">
    <w:nsid w:val="3938657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3"/>
    </w:lvl>
    <w:lvl w:ilvl="3">
      <w:lvlJc w:val="left"/>
      <w:lvlText w:val="%4."/>
      <w:numFmt w:val="lowerRoman"/>
      <w:start w:val="1"/>
    </w:lvl>
    <w:lvl w:ilvl="4">
      <w:lvlJc w:val="left"/>
      <w:lvlText w:val="%5."/>
      <w:numFmt w:val="lowerRoman"/>
      <w:start w:val="1"/>
    </w:lvl>
  </w:abstractNum>
  <w:abstractNum w:abstractNumId="49">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lvl w:ilvl="4">
      <w:lvlJc w:val="left"/>
      <w:lvlText w:val="%5"/>
      <w:numFmt w:val="lowerRoman"/>
      <w:start w:val="1"/>
    </w:lvl>
  </w:abstractNum>
  <w:abstractNum w:abstractNumId="50">
    <w:nsid w:val="180115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Roman"/>
      <w:start w:val="1"/>
    </w:lvl>
    <w:lvl w:ilvl="4">
      <w:lvlJc w:val="left"/>
      <w:lvlText w:val="%5"/>
      <w:numFmt w:val="lowerRoman"/>
      <w:start w:val="1"/>
    </w:lvl>
  </w:abstractNum>
  <w:abstractNum w:abstractNumId="51">
    <w:nsid w:val="235BA86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52">
    <w:nsid w:val="47398C8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3"/>
    </w:lvl>
    <w:lvl w:ilvl="3">
      <w:lvlJc w:val="left"/>
      <w:lvlText w:val="%4."/>
      <w:numFmt w:val="lowerRoman"/>
      <w:start w:val="1"/>
    </w:lvl>
  </w:abstractNum>
  <w:abstractNum w:abstractNumId="53">
    <w:nsid w:val="354FE9F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54">
    <w:nsid w:val="15B5AF5C"/>
    <w:multiLevelType w:val="hybridMultilevel"/>
    <w:lvl w:ilvl="0">
      <w:lvlJc w:val="left"/>
      <w:lvlText w:val="%1."/>
      <w:numFmt w:val="lowerLetter"/>
      <w:start w:val="5"/>
    </w:lvl>
  </w:abstractNum>
  <w:abstractNum w:abstractNumId="55">
    <w:nsid w:val="741226BB"/>
    <w:multiLevelType w:val="hybridMultilevel"/>
    <w:lvl w:ilvl="0">
      <w:lvlJc w:val="left"/>
      <w:lvlText w:val="%1"/>
      <w:numFmt w:val="decimal"/>
      <w:start w:val="1"/>
    </w:lvl>
    <w:lvl w:ilvl="1">
      <w:lvlJc w:val="left"/>
      <w:lvlText w:val="%2."/>
      <w:numFmt w:val="lowerLetter"/>
      <w:start w:val="16"/>
    </w:lvl>
  </w:abstractNum>
  <w:abstractNum w:abstractNumId="56">
    <w:nsid w:val="D34B6A8"/>
    <w:multiLevelType w:val="hybridMultilevel"/>
    <w:lvl w:ilvl="0">
      <w:lvlJc w:val="left"/>
      <w:lvlText w:val="%1."/>
      <w:numFmt w:val="decimal"/>
      <w:start w:val="11"/>
    </w:lvl>
    <w:lvl w:ilvl="1">
      <w:lvlJc w:val="left"/>
      <w:lvlText w:val="%2."/>
      <w:numFmt w:val="lowerLetter"/>
      <w:start w:val="1"/>
    </w:lvl>
  </w:abstractNum>
  <w:abstractNum w:abstractNumId="57">
    <w:nsid w:val="10233C99"/>
    <w:multiLevelType w:val="hybridMultilevel"/>
    <w:lvl w:ilvl="0">
      <w:lvlJc w:val="left"/>
      <w:lvlText w:val="%1"/>
      <w:numFmt w:val="decimal"/>
      <w:start w:val="1"/>
    </w:lvl>
    <w:lvl w:ilvl="1">
      <w:lvlJc w:val="left"/>
      <w:lvlText w:val="%2."/>
      <w:numFmt w:val="lowerLetter"/>
      <w:start w:val="4"/>
    </w:lvl>
  </w:abstractNum>
  <w:abstractNum w:abstractNumId="58">
    <w:nsid w:val="3F6AB60F"/>
    <w:multiLevelType w:val="hybridMultilevel"/>
    <w:lvl w:ilvl="0">
      <w:lvlJc w:val="left"/>
      <w:lvlText w:val="%1."/>
      <w:numFmt w:val="decimal"/>
      <w:start w:val="12"/>
    </w:lvl>
    <w:lvl w:ilvl="1">
      <w:lvlJc w:val="left"/>
      <w:lvlText w:val="%2"/>
      <w:numFmt w:val="lowerLetter"/>
      <w:start w:val="1"/>
    </w:lvl>
  </w:abstractNum>
  <w:abstractNum w:abstractNumId="59">
    <w:nsid w:val="61574095"/>
    <w:multiLevelType w:val="hybridMultilevel"/>
    <w:lvl w:ilvl="0">
      <w:lvlJc w:val="left"/>
      <w:lvlText w:val="%1."/>
      <w:numFmt w:val="decimal"/>
      <w:start w:val="18"/>
    </w:lvl>
  </w:abstractNum>
  <w:abstractNum w:abstractNumId="60">
    <w:nsid w:val="7E0C57B1"/>
    <w:multiLevelType w:val="hybridMultilevel"/>
    <w:lvl w:ilvl="0">
      <w:lvlJc w:val="left"/>
      <w:lvlText w:val="%1."/>
      <w:numFmt w:val="decimal"/>
      <w:start w:val="1"/>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6" Type="http://schemas.openxmlformats.org/officeDocument/2006/relationships/image" Target="media/image42.png"/><Relationship Id="rId72"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85" Type="http://schemas.openxmlformats.org/officeDocument/2006/relationships/image" Target="media/image53.png"/><Relationship Id="rId86" Type="http://schemas.openxmlformats.org/officeDocument/2006/relationships/image" Target="media/image54.png"/><Relationship Id="rId87" Type="http://schemas.openxmlformats.org/officeDocument/2006/relationships/image" Target="media/image55.jpeg"/><Relationship Id="rId88" Type="http://schemas.openxmlformats.org/officeDocument/2006/relationships/image" Target="media/image56.png"/><Relationship Id="rId89" Type="http://schemas.openxmlformats.org/officeDocument/2006/relationships/image" Target="media/image57.png"/><Relationship Id="rId90" Type="http://schemas.openxmlformats.org/officeDocument/2006/relationships/image" Target="media/image58.png"/><Relationship Id="rId91" Type="http://schemas.openxmlformats.org/officeDocument/2006/relationships/image" Target="media/image59.png"/><Relationship Id="rId92" Type="http://schemas.openxmlformats.org/officeDocument/2006/relationships/image" Target="media/image60.png"/><Relationship Id="rId93" Type="http://schemas.openxmlformats.org/officeDocument/2006/relationships/image" Target="media/image61.png"/><Relationship Id="rId94" Type="http://schemas.openxmlformats.org/officeDocument/2006/relationships/image" Target="media/image62.png"/><Relationship Id="rId95" Type="http://schemas.openxmlformats.org/officeDocument/2006/relationships/image" Target="media/image63.png"/><Relationship Id="rId96" Type="http://schemas.openxmlformats.org/officeDocument/2006/relationships/image" Target="media/image64.png"/><Relationship Id="rId97" Type="http://schemas.openxmlformats.org/officeDocument/2006/relationships/image" Target="media/image65.png"/><Relationship Id="rId9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114" Type="http://schemas.openxmlformats.org/officeDocument/2006/relationships/image" Target="media/image82.png"/><Relationship Id="rId115" Type="http://schemas.openxmlformats.org/officeDocument/2006/relationships/image" Target="media/image83.png"/><Relationship Id="rId116" Type="http://schemas.openxmlformats.org/officeDocument/2006/relationships/image" Target="media/image84.png"/><Relationship Id="rId117" Type="http://schemas.openxmlformats.org/officeDocument/2006/relationships/image" Target="media/image85.png"/><Relationship Id="rId118" Type="http://schemas.openxmlformats.org/officeDocument/2006/relationships/image" Target="media/image86.png"/><Relationship Id="rId119" Type="http://schemas.openxmlformats.org/officeDocument/2006/relationships/image" Target="media/image87.png"/><Relationship Id="rId120" Type="http://schemas.openxmlformats.org/officeDocument/2006/relationships/image" Target="media/image88.png"/><Relationship Id="rId121" Type="http://schemas.openxmlformats.org/officeDocument/2006/relationships/image" Target="media/image89.png"/><Relationship Id="rId122" Type="http://schemas.openxmlformats.org/officeDocument/2006/relationships/image" Target="media/image90.png"/><Relationship Id="rId123" Type="http://schemas.openxmlformats.org/officeDocument/2006/relationships/image" Target="media/image91.png"/><Relationship Id="rId124" Type="http://schemas.openxmlformats.org/officeDocument/2006/relationships/image" Target="media/image92.png"/><Relationship Id="rId125" Type="http://schemas.openxmlformats.org/officeDocument/2006/relationships/image" Target="media/image93.png"/><Relationship Id="rId126" Type="http://schemas.openxmlformats.org/officeDocument/2006/relationships/image" Target="media/image94.png"/><Relationship Id="rId127" Type="http://schemas.openxmlformats.org/officeDocument/2006/relationships/image" Target="media/image95.png"/><Relationship Id="rId128" Type="http://schemas.openxmlformats.org/officeDocument/2006/relationships/image" Target="media/image96.png"/><Relationship Id="rId129" Type="http://schemas.openxmlformats.org/officeDocument/2006/relationships/image" Target="media/image97.png"/><Relationship Id="rId130" Type="http://schemas.openxmlformats.org/officeDocument/2006/relationships/image" Target="media/image98.png"/><Relationship Id="rId131" Type="http://schemas.openxmlformats.org/officeDocument/2006/relationships/image" Target="media/image99.png"/><Relationship Id="rId132"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49" Type="http://schemas.openxmlformats.org/officeDocument/2006/relationships/hyperlink" Target="http://www.sec.gov/Archives/edgar/data/733269/000119312518289748/d612393dex31.htm" TargetMode="External"/><Relationship Id="rId50" Type="http://schemas.openxmlformats.org/officeDocument/2006/relationships/hyperlink" Target="http://www.sec.gov/Archives/edgar/data/733269/000119312518289748/d612393dex32.htm" TargetMode="External"/><Relationship Id="rId51" Type="http://schemas.openxmlformats.org/officeDocument/2006/relationships/hyperlink" Target="http://www.sec.gov/Archives/edgar/data/733269/000073326919000022/q42019ex41capital.htm" TargetMode="External"/><Relationship Id="rId52" Type="http://schemas.openxmlformats.org/officeDocument/2006/relationships/hyperlink" Target="http://www.sec.gov/Archives/edgar/data/733269/000119312518289999/d612507dex997.htm" TargetMode="External"/><Relationship Id="rId53" Type="http://schemas.openxmlformats.org/officeDocument/2006/relationships/hyperlink" Target="http://www.sec.gov/Archives/edgar/data/733269/000073326905000043/s8.pdf" TargetMode="External"/><Relationship Id="rId54" Type="http://schemas.openxmlformats.org/officeDocument/2006/relationships/hyperlink" Target="http://www.sec.gov/Archives/edgar/data/733269/000119312518289993/d612507dex991.htm" TargetMode="External"/><Relationship Id="rId55" Type="http://schemas.openxmlformats.org/officeDocument/2006/relationships/hyperlink" Target="http://www.sec.gov/Archives/edgar/data/733269/000073326913000012/ex10-27.htm" TargetMode="External"/><Relationship Id="rId57" Type="http://schemas.openxmlformats.org/officeDocument/2006/relationships/hyperlink" Target="http://www.sec.gov/Archives/edgar/data/733269/000073326913000012/ex10-28.htm" TargetMode="External"/><Relationship Id="rId58" Type="http://schemas.openxmlformats.org/officeDocument/2006/relationships/hyperlink" Target="http://www.sec.gov/Archives/edgar/data/733269/000073326913000012/ex10-29.htm" TargetMode="External"/><Relationship Id="rId59" Type="http://schemas.openxmlformats.org/officeDocument/2006/relationships/hyperlink" Target="http://www.sec.gov/Archives/edgar/data/733269/000073326913000012/ex10-30.htm" TargetMode="External"/><Relationship Id="rId60" Type="http://schemas.openxmlformats.org/officeDocument/2006/relationships/hyperlink" Target="http://www.sec.gov/Archives/edgar/data/733269/000073326915000018/ex10-6cashinc.htm" TargetMode="External"/><Relationship Id="rId61" Type="http://schemas.openxmlformats.org/officeDocument/2006/relationships/hyperlink" Target="http://www.sec.gov/Archives/edgar/data/733269/000073326919000022/q42019ex109sevpolicy.htm" TargetMode="External"/><Relationship Id="rId62" Type="http://schemas.openxmlformats.org/officeDocument/2006/relationships/hyperlink" Target="http://www.sec.gov/Archives/edgar/data/733269/000073326916000090/ex10-1.htm" TargetMode="External"/><Relationship Id="rId63" Type="http://schemas.openxmlformats.org/officeDocument/2006/relationships/hyperlink" Target="http://www.sec.gov/Archives/edgar/data/733269/000073326914000027/ex99-1.htm" TargetMode="External"/><Relationship Id="rId64" Type="http://schemas.openxmlformats.org/officeDocument/2006/relationships/hyperlink" Target="http://www.sec.gov/Archives/edgar/data/733269/000073326916000089/ex10-2.htm" TargetMode="External"/><Relationship Id="rId65" Type="http://schemas.openxmlformats.org/officeDocument/2006/relationships/hyperlink" Target="http://www.sec.gov/Archives/edgar/data/733269/000073326917000039/ex10-19.htm" TargetMode="External"/><Relationship Id="rId66" Type="http://schemas.openxmlformats.org/officeDocument/2006/relationships/hyperlink" Target="http://www.sec.gov/Archives/edgar/data/733269/000073326916000089/ex10-4.htm" TargetMode="External"/><Relationship Id="rId67" Type="http://schemas.openxmlformats.org/officeDocument/2006/relationships/hyperlink" Target="http://www.sec.gov/Archives/edgar/data/733269/000119312518290002/d612507dex9910.htm" TargetMode="External"/><Relationship Id="rId68" Type="http://schemas.openxmlformats.org/officeDocument/2006/relationships/hyperlink" Target="http://www.sec.gov/Archives/edgar/data/733269/000119312519211069/d784594dex101.htm" TargetMode="External"/><Relationship Id="rId69" Type="http://schemas.openxmlformats.org/officeDocument/2006/relationships/hyperlink" Target="http://www.sec.gov/Archives/edgar/data/733269/000073326917000039/ex10-16.htm" TargetMode="External"/><Relationship Id="rId70" Type="http://schemas.openxmlformats.org/officeDocument/2006/relationships/hyperlink" Target="http://www.sec.gov/Archives/edgar/data/733269/000073326917000039/ex10-18.htm" TargetMode="External"/><Relationship Id="rId71" Type="http://schemas.openxmlformats.org/officeDocument/2006/relationships/hyperlink" Target="http://www.sec.gov/Archives/edgar/data/733269/000073326918000016/a2018q4exh1022howeemplagre.htm" TargetMode="External"/><Relationship Id="rId73" Type="http://schemas.openxmlformats.org/officeDocument/2006/relationships/hyperlink" Target="http://www.sec.gov/Archives/edgar/data/733269/000073326918000016/a2018q4exh1023jensonemplag.htm" TargetMode="External"/><Relationship Id="rId74" Type="http://schemas.openxmlformats.org/officeDocument/2006/relationships/hyperlink" Target="http://www.sec.gov/Archives/edgar/data/733269/000073326918000016/a2018q4exh1025directorinde.htm" TargetMode="External"/><Relationship Id="rId75" Type="http://schemas.openxmlformats.org/officeDocument/2006/relationships/hyperlink" Target="http://www.sec.gov/Archives/edgar/data/733269/000073326919000022/q42019ex1025indemnit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2020-05-26T05:11:12Z</dcterms:created>
  <dcterms:modified xsi:type="dcterms:W3CDTF">2020-05-26T05:11:12Z</dcterms:modified>
</cp:coreProperties>
</file>