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2"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w:t>
      </w:r>
    </w:p>
    <w:p>
      <w:pPr>
        <w:spacing w:after="0" w:line="162"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FORM 11-K</w:t>
      </w:r>
    </w:p>
    <w:p>
      <w:pPr>
        <w:spacing w:after="0" w:line="37" w:lineRule="exact"/>
        <w:rPr>
          <w:sz w:val="24"/>
          <w:szCs w:val="24"/>
          <w:color w:val="auto"/>
        </w:rPr>
      </w:pPr>
    </w:p>
    <w:p>
      <w:pPr>
        <w:ind w:left="2020"/>
        <w:spacing w:after="0"/>
        <w:rPr>
          <w:sz w:val="20"/>
          <w:szCs w:val="20"/>
          <w:color w:val="auto"/>
        </w:rPr>
      </w:pPr>
      <w:r>
        <w:rPr>
          <w:rFonts w:ascii="Arial" w:cs="Arial" w:eastAsia="Arial" w:hAnsi="Arial"/>
          <w:sz w:val="17"/>
          <w:szCs w:val="17"/>
          <w:b w:val="1"/>
          <w:bCs w:val="1"/>
          <w:color w:val="auto"/>
        </w:rPr>
        <w:t>________________________________________________________________________</w:t>
      </w:r>
    </w:p>
    <w:p>
      <w:pPr>
        <w:spacing w:after="0" w:line="178" w:lineRule="exact"/>
        <w:rPr>
          <w:sz w:val="24"/>
          <w:szCs w:val="24"/>
          <w:color w:val="auto"/>
        </w:rPr>
      </w:pPr>
    </w:p>
    <w:p>
      <w:pPr>
        <w:jc w:val="center"/>
        <w:ind w:left="2360" w:right="760"/>
        <w:spacing w:after="0" w:line="258" w:lineRule="auto"/>
        <w:rPr>
          <w:sz w:val="20"/>
          <w:szCs w:val="20"/>
          <w:color w:val="auto"/>
        </w:rPr>
      </w:pPr>
      <w:r>
        <w:rPr>
          <w:rFonts w:ascii="Arial" w:cs="Arial" w:eastAsia="Arial" w:hAnsi="Arial"/>
          <w:sz w:val="18"/>
          <w:szCs w:val="18"/>
          <w:b w:val="1"/>
          <w:bCs w:val="1"/>
          <w:color w:val="auto"/>
        </w:rPr>
        <w:t>FOR ANNUAL REPORTS OF EMPLOYEE STOCK PURCHASE, SAVINGS AND SIMILAR PLANS PURSUANT TO SECTION 15(d) OF THE SECURITIES EXCHANGE ACT OF 1934</w:t>
      </w:r>
    </w:p>
    <w:p>
      <w:pPr>
        <w:spacing w:after="0" w:line="1"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w:t>
      </w:r>
    </w:p>
    <w:p>
      <w:pPr>
        <w:spacing w:after="0" w:line="177"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380" w:hanging="372"/>
        <w:spacing w:after="0"/>
        <w:tabs>
          <w:tab w:leader="none" w:pos="38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Annual Report pursuant to Section 15(d) of the Securities Exchange Act of 1934</w:t>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fiscal year ended December 31, 2025.</w:t>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OR</w:t>
      </w:r>
    </w:p>
    <w:p>
      <w:pPr>
        <w:spacing w:after="0" w:line="198" w:lineRule="exact"/>
        <w:rPr>
          <w:sz w:val="24"/>
          <w:szCs w:val="24"/>
          <w:color w:val="auto"/>
        </w:rPr>
      </w:pPr>
    </w:p>
    <w:p>
      <w:pPr>
        <w:ind w:left="360" w:hanging="352"/>
        <w:spacing w:after="0"/>
        <w:tabs>
          <w:tab w:leader="none" w:pos="360" w:val="left"/>
        </w:tabs>
        <w:numPr>
          <w:ilvl w:val="0"/>
          <w:numId w:val="2"/>
        </w:numPr>
        <w:rPr>
          <w:rFonts w:ascii="Wingdings" w:cs="Wingdings" w:eastAsia="Wingdings" w:hAnsi="Wingdings"/>
          <w:sz w:val="18"/>
          <w:szCs w:val="18"/>
          <w:b w:val="1"/>
          <w:bCs w:val="1"/>
          <w:color w:val="auto"/>
        </w:rPr>
      </w:pPr>
      <w:r>
        <w:rPr>
          <w:rFonts w:ascii="Arial" w:cs="Arial" w:eastAsia="Arial" w:hAnsi="Arial"/>
          <w:sz w:val="18"/>
          <w:szCs w:val="18"/>
          <w:color w:val="auto"/>
        </w:rPr>
        <w:t>Transition Report pursuant to Section 15(d) of the Securities Exchange Act of 1934</w:t>
      </w:r>
    </w:p>
    <w:p>
      <w:pPr>
        <w:spacing w:after="0" w:line="185"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For the transition period from__________________to __________________</w:t>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Number 1-38669</w:t>
      </w:r>
    </w:p>
    <w:p>
      <w:pPr>
        <w:spacing w:after="0" w:line="30"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w:t>
      </w:r>
    </w:p>
    <w:p>
      <w:pPr>
        <w:spacing w:after="0" w:line="177" w:lineRule="exact"/>
        <w:rPr>
          <w:sz w:val="24"/>
          <w:szCs w:val="24"/>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184" w:lineRule="exact"/>
        <w:rPr>
          <w:rFonts w:ascii="Arial" w:cs="Arial" w:eastAsia="Arial" w:hAnsi="Arial"/>
          <w:sz w:val="18"/>
          <w:szCs w:val="18"/>
          <w:color w:val="auto"/>
        </w:rPr>
      </w:pPr>
    </w:p>
    <w:p>
      <w:pPr>
        <w:ind w:left="3500"/>
        <w:spacing w:after="0"/>
        <w:rPr>
          <w:rFonts w:ascii="Arial" w:cs="Arial" w:eastAsia="Arial" w:hAnsi="Arial"/>
          <w:sz w:val="18"/>
          <w:szCs w:val="18"/>
          <w:color w:val="auto"/>
        </w:rPr>
      </w:pPr>
      <w:r>
        <w:rPr>
          <w:rFonts w:ascii="Arial" w:cs="Arial" w:eastAsia="Arial" w:hAnsi="Arial"/>
          <w:sz w:val="18"/>
          <w:szCs w:val="18"/>
          <w:b w:val="1"/>
          <w:bCs w:val="1"/>
          <w:color w:val="auto"/>
        </w:rPr>
        <w:t>LiveRamp Holdings, Inc. Retirement Savings Plan</w:t>
      </w:r>
    </w:p>
    <w:p>
      <w:pPr>
        <w:spacing w:after="0" w:line="184"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LiveRamp Holdings, Inc.</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225 Bush Street, Seventeenth Floor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San Francisco, CA 94104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1039495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LIVERAMP HOLDINGS,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RETIREMENT SAVINGS PLAN</w:t>
      </w:r>
    </w:p>
    <w:p>
      <w:pPr>
        <w:spacing w:after="0" w:line="16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Financial Statements and Supplemental Schedule</w:t>
      </w:r>
    </w:p>
    <w:p>
      <w:pPr>
        <w:spacing w:after="0" w:line="19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December 31, 2025 and 2024</w:t>
      </w:r>
    </w:p>
    <w:p>
      <w:pPr>
        <w:spacing w:after="0" w:line="18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(With Report of Independent Registered Public Accounting Firm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706755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1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98"/>
        </w:trPr>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1140" w:type="dxa"/>
            <w:vAlign w:val="bottom"/>
          </w:tcPr>
          <w:p>
            <w:pPr>
              <w:spacing w:after="0"/>
              <w:rPr>
                <w:sz w:val="24"/>
                <w:szCs w:val="24"/>
                <w:color w:val="auto"/>
              </w:rPr>
            </w:pPr>
          </w:p>
        </w:tc>
        <w:tc>
          <w:tcPr>
            <w:tcW w:w="67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LIVERAMP HOLDINGS, INC.</w:t>
            </w: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7"/>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7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RETIREMENT SAVINGS PLAN</w:t>
            </w: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05"/>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520" w:type="dxa"/>
            <w:vAlign w:val="bottom"/>
            <w:gridSpan w:val="4"/>
          </w:tcPr>
          <w:p>
            <w:pPr>
              <w:jc w:val="center"/>
              <w:ind w:right="2500"/>
              <w:spacing w:after="0"/>
              <w:rPr>
                <w:sz w:val="20"/>
                <w:szCs w:val="20"/>
                <w:color w:val="auto"/>
              </w:rPr>
            </w:pPr>
            <w:r>
              <w:rPr>
                <w:rFonts w:ascii="Arial" w:cs="Arial" w:eastAsia="Arial" w:hAnsi="Arial"/>
                <w:sz w:val="18"/>
                <w:szCs w:val="18"/>
                <w:b w:val="1"/>
                <w:bCs w:val="1"/>
                <w:color w:val="auto"/>
                <w:w w:val="98"/>
              </w:rPr>
              <w:t>Table of Contents</w:t>
            </w: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3"/>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9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2"/>
          </w:tcPr>
          <w:p>
            <w:pPr>
              <w:spacing w:after="0"/>
              <w:rPr>
                <w:sz w:val="24"/>
                <w:szCs w:val="24"/>
                <w:color w:val="auto"/>
              </w:rPr>
            </w:pPr>
          </w:p>
        </w:tc>
        <w:tc>
          <w:tcPr>
            <w:tcW w:w="2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shd w:val="clear" w:color="auto" w:fill="CCEEFF"/>
          </w:tcPr>
          <w:p>
            <w:pPr>
              <w:spacing w:after="0"/>
              <w:rPr>
                <w:sz w:val="18"/>
                <w:szCs w:val="18"/>
                <w:color w:val="auto"/>
              </w:rPr>
            </w:pPr>
          </w:p>
        </w:tc>
        <w:tc>
          <w:tcPr>
            <w:tcW w:w="912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0000FF"/>
              </w:rPr>
              <w:t>Report of Independent Registered Public Accounting Firm</w:t>
            </w:r>
          </w:p>
        </w:tc>
        <w:tc>
          <w:tcPr>
            <w:tcW w:w="21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2</w:t>
            </w:r>
          </w:p>
        </w:tc>
      </w:tr>
      <w:tr>
        <w:trPr>
          <w:trHeight w:val="270"/>
        </w:trPr>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180" w:type="dxa"/>
            <w:vAlign w:val="bottom"/>
            <w:tcBorders>
              <w:top w:val="single" w:sz="8" w:color="0000FF"/>
            </w:tcBorders>
            <w:gridSpan w:val="2"/>
          </w:tcPr>
          <w:p>
            <w:pPr>
              <w:spacing w:after="0"/>
              <w:rPr>
                <w:sz w:val="23"/>
                <w:szCs w:val="23"/>
                <w:color w:val="auto"/>
              </w:rPr>
            </w:pPr>
          </w:p>
        </w:tc>
        <w:tc>
          <w:tcPr>
            <w:tcW w:w="2200" w:type="dxa"/>
            <w:vAlign w:val="bottom"/>
            <w:tcBorders>
              <w:top w:val="single" w:sz="8" w:color="0000FF"/>
            </w:tcBorders>
          </w:tcPr>
          <w:p>
            <w:pPr>
              <w:spacing w:after="0"/>
              <w:rPr>
                <w:sz w:val="23"/>
                <w:szCs w:val="23"/>
                <w:color w:val="auto"/>
              </w:rPr>
            </w:pPr>
          </w:p>
        </w:tc>
        <w:tc>
          <w:tcPr>
            <w:tcW w:w="17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912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0000FF"/>
              </w:rPr>
              <w:t>Statements of Net Assets Available for Benefits – December 31, 2025 and 2024</w:t>
            </w:r>
          </w:p>
        </w:tc>
        <w:tc>
          <w:tcPr>
            <w:tcW w:w="21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3</w:t>
            </w:r>
          </w:p>
        </w:tc>
      </w:tr>
      <w:tr>
        <w:trPr>
          <w:trHeight w:val="270"/>
        </w:trPr>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180" w:type="dxa"/>
            <w:vAlign w:val="bottom"/>
            <w:tcBorders>
              <w:top w:val="single" w:sz="8" w:color="0000FF"/>
            </w:tcBorders>
            <w:gridSpan w:val="2"/>
          </w:tcPr>
          <w:p>
            <w:pPr>
              <w:spacing w:after="0"/>
              <w:rPr>
                <w:sz w:val="23"/>
                <w:szCs w:val="23"/>
                <w:color w:val="auto"/>
              </w:rPr>
            </w:pPr>
          </w:p>
        </w:tc>
        <w:tc>
          <w:tcPr>
            <w:tcW w:w="2200" w:type="dxa"/>
            <w:vAlign w:val="bottom"/>
            <w:tcBorders>
              <w:top w:val="single" w:sz="8" w:color="0000FF"/>
            </w:tcBorders>
          </w:tcPr>
          <w:p>
            <w:pPr>
              <w:spacing w:after="0"/>
              <w:rPr>
                <w:sz w:val="23"/>
                <w:szCs w:val="23"/>
                <w:color w:val="auto"/>
              </w:rPr>
            </w:pPr>
          </w:p>
        </w:tc>
        <w:tc>
          <w:tcPr>
            <w:tcW w:w="1760" w:type="dxa"/>
            <w:vAlign w:val="bottom"/>
            <w:tcBorders>
              <w:top w:val="single" w:sz="8" w:color="0000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912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0000FF"/>
              </w:rPr>
              <w:t>Statement of Changes in Net Assets Available for Benefits – Year ended December 31, 2025</w:t>
            </w:r>
          </w:p>
        </w:tc>
        <w:tc>
          <w:tcPr>
            <w:tcW w:w="21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w:t>
            </w:r>
          </w:p>
        </w:tc>
      </w:tr>
      <w:tr>
        <w:trPr>
          <w:trHeight w:val="270"/>
        </w:trPr>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180" w:type="dxa"/>
            <w:vAlign w:val="bottom"/>
            <w:tcBorders>
              <w:top w:val="single" w:sz="8" w:color="0000FF"/>
            </w:tcBorders>
            <w:gridSpan w:val="2"/>
          </w:tcPr>
          <w:p>
            <w:pPr>
              <w:spacing w:after="0"/>
              <w:rPr>
                <w:sz w:val="23"/>
                <w:szCs w:val="23"/>
                <w:color w:val="auto"/>
              </w:rPr>
            </w:pPr>
          </w:p>
        </w:tc>
        <w:tc>
          <w:tcPr>
            <w:tcW w:w="2200" w:type="dxa"/>
            <w:vAlign w:val="bottom"/>
            <w:tcBorders>
              <w:top w:val="single" w:sz="8" w:color="0000FF"/>
            </w:tcBorders>
          </w:tcPr>
          <w:p>
            <w:pPr>
              <w:spacing w:after="0"/>
              <w:rPr>
                <w:sz w:val="23"/>
                <w:szCs w:val="23"/>
                <w:color w:val="auto"/>
              </w:rPr>
            </w:pPr>
          </w:p>
        </w:tc>
        <w:tc>
          <w:tcPr>
            <w:tcW w:w="17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912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0000FF"/>
              </w:rPr>
              <w:t>Notes to Financial Statements</w:t>
            </w:r>
          </w:p>
        </w:tc>
        <w:tc>
          <w:tcPr>
            <w:tcW w:w="21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w:t>
            </w:r>
          </w:p>
        </w:tc>
      </w:tr>
      <w:tr>
        <w:trPr>
          <w:trHeight w:val="270"/>
        </w:trPr>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180" w:type="dxa"/>
            <w:vAlign w:val="bottom"/>
            <w:tcBorders>
              <w:top w:val="single" w:sz="8" w:color="0000FF"/>
            </w:tcBorders>
            <w:gridSpan w:val="2"/>
          </w:tcPr>
          <w:p>
            <w:pPr>
              <w:spacing w:after="0"/>
              <w:rPr>
                <w:sz w:val="23"/>
                <w:szCs w:val="23"/>
                <w:color w:val="auto"/>
              </w:rPr>
            </w:pPr>
          </w:p>
        </w:tc>
        <w:tc>
          <w:tcPr>
            <w:tcW w:w="2200" w:type="dxa"/>
            <w:vAlign w:val="bottom"/>
            <w:tcBorders>
              <w:top w:val="single" w:sz="8" w:color="CCEEFF"/>
            </w:tcBorders>
          </w:tcPr>
          <w:p>
            <w:pPr>
              <w:spacing w:after="0"/>
              <w:rPr>
                <w:sz w:val="23"/>
                <w:szCs w:val="23"/>
                <w:color w:val="auto"/>
              </w:rPr>
            </w:pPr>
          </w:p>
        </w:tc>
        <w:tc>
          <w:tcPr>
            <w:tcW w:w="17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91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Supplemental Schedule</w:t>
            </w: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80" w:type="dxa"/>
            <w:vAlign w:val="bottom"/>
            <w:gridSpan w:val="2"/>
          </w:tcPr>
          <w:p>
            <w:pPr>
              <w:spacing w:after="0"/>
              <w:rPr>
                <w:sz w:val="23"/>
                <w:szCs w:val="23"/>
                <w:color w:val="auto"/>
              </w:rPr>
            </w:pPr>
          </w:p>
        </w:tc>
        <w:tc>
          <w:tcPr>
            <w:tcW w:w="22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90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0000FF"/>
              </w:rPr>
              <w:t>Schedule H, Line 4i – Schedule of Assets (Held at End of Year) – December 31, 2025</w:t>
            </w:r>
          </w:p>
        </w:tc>
        <w:tc>
          <w:tcPr>
            <w:tcW w:w="21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2200" w:type="dxa"/>
            <w:vAlign w:val="bottom"/>
            <w:tcBorders>
              <w:top w:val="single" w:sz="8" w:color="0000FF"/>
            </w:tcBorders>
            <w:shd w:val="clear" w:color="auto" w:fill="CCEEFF"/>
          </w:tcPr>
          <w:p>
            <w:pPr>
              <w:spacing w:after="0" w:line="20" w:lineRule="exact"/>
              <w:rPr>
                <w:sz w:val="1"/>
                <w:szCs w:val="1"/>
                <w:color w:val="auto"/>
              </w:rPr>
            </w:pPr>
          </w:p>
        </w:tc>
        <w:tc>
          <w:tcPr>
            <w:tcW w:w="17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51" w:lineRule="exact"/>
        <w:rPr>
          <w:sz w:val="20"/>
          <w:szCs w:val="20"/>
          <w:color w:val="auto"/>
        </w:rPr>
      </w:pPr>
    </w:p>
    <w:p>
      <w:pPr>
        <w:jc w:val="both"/>
        <w:ind w:left="660" w:hanging="659"/>
        <w:spacing w:after="0" w:line="268" w:lineRule="auto"/>
        <w:tabs>
          <w:tab w:leader="none" w:pos="640" w:val="left"/>
        </w:tabs>
        <w:rPr>
          <w:sz w:val="20"/>
          <w:szCs w:val="20"/>
          <w:color w:val="auto"/>
        </w:rPr>
      </w:pPr>
      <w:r>
        <w:rPr>
          <w:rFonts w:ascii="Arial" w:cs="Arial" w:eastAsia="Arial" w:hAnsi="Arial"/>
          <w:sz w:val="18"/>
          <w:szCs w:val="18"/>
          <w:color w:val="auto"/>
        </w:rPr>
        <w:t>Note:</w:t>
        <w:tab/>
        <w:t>All other supplemental schedules have been omitted because they are not applicable or are not required by Section 2520.103-10 of the Department of Labor’s Rules and Regulations for Reporting and Disclosure under the Employee Retirement Income Security Act of 1974, as amended.</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6934835" cy="16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835" cy="162560"/>
                    </a:xfrm>
                    <a:prstGeom prst="rect">
                      <a:avLst/>
                    </a:prstGeom>
                    <a:noFill/>
                  </pic:spPr>
                </pic:pic>
              </a:graphicData>
            </a:graphic>
          </wp:anchor>
        </w:drawing>
      </w:r>
    </w:p>
    <w:p>
      <w:pPr>
        <w:spacing w:after="0" w:line="300" w:lineRule="exact"/>
        <w:rPr>
          <w:sz w:val="20"/>
          <w:szCs w:val="20"/>
          <w:color w:val="auto"/>
        </w:rPr>
      </w:pPr>
    </w:p>
    <w:p>
      <w:pPr>
        <w:ind w:left="20"/>
        <w:spacing w:after="0"/>
        <w:tabs>
          <w:tab w:leader="none" w:pos="2100" w:val="left"/>
        </w:tabs>
        <w:rPr>
          <w:sz w:val="20"/>
          <w:szCs w:val="20"/>
          <w:color w:val="auto"/>
        </w:rPr>
      </w:pPr>
      <w:r>
        <w:rPr>
          <w:rFonts w:ascii="Arial" w:cs="Arial" w:eastAsia="Arial" w:hAnsi="Arial"/>
          <w:sz w:val="18"/>
          <w:szCs w:val="18"/>
          <w:u w:val="single" w:color="auto"/>
          <w:color w:val="0000FF"/>
        </w:rPr>
        <w:t>Exhibit 23.1</w:t>
      </w:r>
      <w:r>
        <w:rPr>
          <w:sz w:val="20"/>
          <w:szCs w:val="20"/>
          <w:color w:val="auto"/>
        </w:rPr>
        <w:tab/>
      </w:r>
      <w:r>
        <w:rPr>
          <w:rFonts w:ascii="Arial" w:cs="Arial" w:eastAsia="Arial" w:hAnsi="Arial"/>
          <w:sz w:val="17"/>
          <w:szCs w:val="17"/>
          <w:u w:val="single" w:color="auto"/>
          <w:color w:val="0000FF"/>
        </w:rPr>
        <w:t>Consent of Forvis Mazars,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Administration and Plan Participants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LiveRamp Holdings, Inc. Retirement Savings Plan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audited the accompanying statements of net assets available for benefits of LiveRamp Holdings, Inc. Retirement Savings Plan (the “Plan”) as of December 31, 2025 and 2024, the related statements of changes in net assets available for benefits for the year ended December 31, 2025, and the related notes (collectively referred to as the “financial statements”). In our opinion, the financial statements referred to above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Opinion</w:t>
      </w:r>
    </w:p>
    <w:p>
      <w:pPr>
        <w:spacing w:after="0" w:line="2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these financial statements based on our audits.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0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on Supplemental Information</w:t>
      </w:r>
    </w:p>
    <w:p>
      <w:pPr>
        <w:spacing w:after="0" w:line="23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 supplemental information in the accompanying Schedule H, Line 4i – Schedule of Assets (Held at End of Year) as of December 31, 2025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conformity with the Department of Labor’s Rules and Regulations for Reporting and Disclosure under the </w:t>
      </w:r>
      <w:r>
        <w:rPr>
          <w:rFonts w:ascii="Arial" w:cs="Arial" w:eastAsia="Arial" w:hAnsi="Arial"/>
          <w:sz w:val="18"/>
          <w:szCs w:val="18"/>
          <w:i w:val="1"/>
          <w:iCs w:val="1"/>
          <w:color w:val="auto"/>
        </w:rPr>
        <w:t>Employee Retirement Income Security Act of 1974</w:t>
      </w:r>
      <w:r>
        <w:rPr>
          <w:rFonts w:ascii="Arial" w:cs="Arial" w:eastAsia="Arial" w:hAnsi="Arial"/>
          <w:sz w:val="18"/>
          <w:szCs w:val="18"/>
          <w:color w:val="auto"/>
        </w:rPr>
        <w:t>. In our opinion, the Schedule H, Line 4i – Schedule of Assets (Held at End of Year) as of December 31, 2025 is fairly stated, in all material respects, in relation to the basic financial statements taken as a whole.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FORVIS MAZARS,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Rogers, Arkansas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LIVERAMP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RETIREMENT SAVINGS PLAN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Statements of Net Assets Available for Benefits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December 31,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r>
      <w:tr>
        <w:trPr>
          <w:trHeight w:val="21"/>
        </w:trPr>
        <w:tc>
          <w:tcPr>
            <w:tcW w:w="7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5"/>
        </w:trPr>
        <w:tc>
          <w:tcPr>
            <w:tcW w:w="7500" w:type="dxa"/>
            <w:vAlign w:val="bottom"/>
          </w:tcPr>
          <w:p>
            <w:pPr>
              <w:ind w:left="140"/>
              <w:spacing w:after="0"/>
              <w:rPr>
                <w:sz w:val="20"/>
                <w:szCs w:val="20"/>
                <w:color w:val="auto"/>
              </w:rPr>
            </w:pPr>
            <w:r>
              <w:rPr>
                <w:rFonts w:ascii="Arial" w:cs="Arial" w:eastAsia="Arial" w:hAnsi="Arial"/>
                <w:sz w:val="16"/>
                <w:szCs w:val="16"/>
                <w:color w:val="auto"/>
              </w:rPr>
              <w:t>Investments, at fair value:</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LiveRamp Holdings, Inc. common stock</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17,231,876</w:t>
            </w: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19,929,295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7500" w:type="dxa"/>
            <w:vAlign w:val="bottom"/>
          </w:tcPr>
          <w:p>
            <w:pPr>
              <w:ind w:left="300"/>
              <w:spacing w:after="0"/>
              <w:rPr>
                <w:sz w:val="20"/>
                <w:szCs w:val="20"/>
                <w:color w:val="auto"/>
              </w:rPr>
            </w:pPr>
            <w:r>
              <w:rPr>
                <w:rFonts w:ascii="Arial" w:cs="Arial" w:eastAsia="Arial" w:hAnsi="Arial"/>
                <w:sz w:val="16"/>
                <w:szCs w:val="16"/>
                <w:color w:val="auto"/>
              </w:rPr>
              <w:t>Participant brokerage accounts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6,128,245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4,917,298</w:t>
            </w:r>
          </w:p>
        </w:tc>
        <w:tc>
          <w:tcPr>
            <w:tcW w:w="100" w:type="dxa"/>
            <w:vAlign w:val="bottom"/>
          </w:tcPr>
          <w:p>
            <w:pPr>
              <w:spacing w:after="0"/>
              <w:rPr>
                <w:sz w:val="18"/>
                <w:szCs w:val="18"/>
                <w:color w:val="auto"/>
              </w:rPr>
            </w:pPr>
          </w:p>
        </w:tc>
      </w:tr>
      <w:tr>
        <w:trPr>
          <w:trHeight w:val="28"/>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Mutual funds</w:t>
            </w:r>
          </w:p>
        </w:tc>
        <w:tc>
          <w:tcPr>
            <w:tcW w:w="4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258,771,289</w:t>
            </w: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238,908,653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7500" w:type="dxa"/>
            <w:vAlign w:val="bottom"/>
          </w:tcPr>
          <w:p>
            <w:pPr>
              <w:ind w:left="300"/>
              <w:spacing w:after="0"/>
              <w:rPr>
                <w:sz w:val="20"/>
                <w:szCs w:val="20"/>
                <w:color w:val="auto"/>
              </w:rPr>
            </w:pPr>
            <w:r>
              <w:rPr>
                <w:rFonts w:ascii="Arial" w:cs="Arial" w:eastAsia="Arial" w:hAnsi="Arial"/>
                <w:sz w:val="16"/>
                <w:szCs w:val="16"/>
                <w:color w:val="auto"/>
              </w:rPr>
              <w:t>Common collective trust funds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324,904,926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292,051,333</w:t>
            </w:r>
          </w:p>
        </w:tc>
        <w:tc>
          <w:tcPr>
            <w:tcW w:w="100" w:type="dxa"/>
            <w:vAlign w:val="bottom"/>
          </w:tcPr>
          <w:p>
            <w:pPr>
              <w:spacing w:after="0"/>
              <w:rPr>
                <w:sz w:val="18"/>
                <w:szCs w:val="18"/>
                <w:color w:val="auto"/>
              </w:rPr>
            </w:pPr>
          </w:p>
        </w:tc>
      </w:tr>
      <w:tr>
        <w:trPr>
          <w:trHeight w:val="28"/>
        </w:trPr>
        <w:tc>
          <w:tcPr>
            <w:tcW w:w="7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17"/>
        </w:trPr>
        <w:tc>
          <w:tcPr>
            <w:tcW w:w="7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investments at fair value</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607,036,336</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555,806,579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5"/>
        </w:trPr>
        <w:tc>
          <w:tcPr>
            <w:tcW w:w="7500" w:type="dxa"/>
            <w:vAlign w:val="bottom"/>
          </w:tcPr>
          <w:p>
            <w:pPr>
              <w:ind w:left="140"/>
              <w:spacing w:after="0"/>
              <w:rPr>
                <w:sz w:val="20"/>
                <w:szCs w:val="20"/>
                <w:color w:val="auto"/>
              </w:rPr>
            </w:pPr>
            <w:r>
              <w:rPr>
                <w:rFonts w:ascii="Arial" w:cs="Arial" w:eastAsia="Arial" w:hAnsi="Arial"/>
                <w:sz w:val="16"/>
                <w:szCs w:val="16"/>
                <w:color w:val="auto"/>
              </w:rPr>
              <w:t>Notes receivable from participants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1,659,616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1,768,795</w:t>
            </w:r>
          </w:p>
        </w:tc>
        <w:tc>
          <w:tcPr>
            <w:tcW w:w="100" w:type="dxa"/>
            <w:vAlign w:val="bottom"/>
          </w:tcPr>
          <w:p>
            <w:pPr>
              <w:spacing w:after="0"/>
              <w:rPr>
                <w:sz w:val="18"/>
                <w:szCs w:val="18"/>
                <w:color w:val="auto"/>
              </w:rPr>
            </w:pPr>
          </w:p>
        </w:tc>
      </w:tr>
      <w:tr>
        <w:trPr>
          <w:trHeight w:val="28"/>
        </w:trPr>
        <w:tc>
          <w:tcPr>
            <w:tcW w:w="7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0"/>
        </w:trPr>
        <w:tc>
          <w:tcPr>
            <w:tcW w:w="7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assets available for benefits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608,695,952</w:t>
            </w: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557,575,374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LIVERAMP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RETIREMENT SAVINGS PLAN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Statement of Changes in Net Assets Available for Benefits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Year ended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40" w:type="dxa"/>
            <w:vAlign w:val="bottom"/>
          </w:tcPr>
          <w:p>
            <w:pPr>
              <w:ind w:left="20"/>
              <w:spacing w:after="0"/>
              <w:rPr>
                <w:sz w:val="20"/>
                <w:szCs w:val="20"/>
                <w:color w:val="auto"/>
              </w:rPr>
            </w:pPr>
            <w:r>
              <w:rPr>
                <w:rFonts w:ascii="Arial" w:cs="Arial" w:eastAsia="Arial" w:hAnsi="Arial"/>
                <w:sz w:val="16"/>
                <w:szCs w:val="16"/>
                <w:color w:val="auto"/>
              </w:rPr>
              <w:t>Investment income:</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
        </w:trPr>
        <w:tc>
          <w:tcPr>
            <w:tcW w:w="9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Dividends</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12,397,885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9440" w:type="dxa"/>
            <w:vAlign w:val="bottom"/>
          </w:tcPr>
          <w:p>
            <w:pPr>
              <w:ind w:left="140"/>
              <w:spacing w:after="0"/>
              <w:rPr>
                <w:sz w:val="20"/>
                <w:szCs w:val="20"/>
                <w:color w:val="auto"/>
              </w:rPr>
            </w:pPr>
            <w:r>
              <w:rPr>
                <w:rFonts w:ascii="Arial" w:cs="Arial" w:eastAsia="Arial" w:hAnsi="Arial"/>
                <w:sz w:val="16"/>
                <w:szCs w:val="16"/>
                <w:color w:val="auto"/>
              </w:rPr>
              <w:t>Net appreciation in fair value of investments</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64,027,801</w:t>
            </w:r>
          </w:p>
        </w:tc>
        <w:tc>
          <w:tcPr>
            <w:tcW w:w="100" w:type="dxa"/>
            <w:vAlign w:val="bottom"/>
          </w:tcPr>
          <w:p>
            <w:pPr>
              <w:spacing w:after="0"/>
              <w:rPr>
                <w:sz w:val="18"/>
                <w:szCs w:val="18"/>
                <w:color w:val="auto"/>
              </w:rPr>
            </w:pPr>
          </w:p>
        </w:tc>
      </w:tr>
      <w:tr>
        <w:trPr>
          <w:trHeight w:val="28"/>
        </w:trPr>
        <w:tc>
          <w:tcPr>
            <w:tcW w:w="9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36"/>
        </w:trPr>
        <w:tc>
          <w:tcPr>
            <w:tcW w:w="9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Net investment income</w:t>
            </w: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76,425,686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50"/>
        </w:trPr>
        <w:tc>
          <w:tcPr>
            <w:tcW w:w="944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 on notes receivable from participants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136,657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50"/>
        </w:trPr>
        <w:tc>
          <w:tcPr>
            <w:tcW w:w="944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Contributions:</w:t>
            </w:r>
          </w:p>
        </w:tc>
        <w:tc>
          <w:tcPr>
            <w:tcW w:w="4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9440" w:type="dxa"/>
            <w:vAlign w:val="bottom"/>
          </w:tcPr>
          <w:p>
            <w:pPr>
              <w:ind w:left="140"/>
              <w:spacing w:after="0"/>
              <w:rPr>
                <w:sz w:val="20"/>
                <w:szCs w:val="20"/>
                <w:color w:val="auto"/>
              </w:rPr>
            </w:pPr>
            <w:r>
              <w:rPr>
                <w:rFonts w:ascii="Arial" w:cs="Arial" w:eastAsia="Arial" w:hAnsi="Arial"/>
                <w:sz w:val="16"/>
                <w:szCs w:val="16"/>
                <w:color w:val="auto"/>
              </w:rPr>
              <w:t>Participants</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18,473,987</w:t>
            </w:r>
          </w:p>
        </w:tc>
        <w:tc>
          <w:tcPr>
            <w:tcW w:w="100" w:type="dxa"/>
            <w:vAlign w:val="bottom"/>
          </w:tcPr>
          <w:p>
            <w:pPr>
              <w:spacing w:after="0"/>
              <w:rPr>
                <w:sz w:val="18"/>
                <w:szCs w:val="18"/>
                <w:color w:val="auto"/>
              </w:rPr>
            </w:pPr>
          </w:p>
        </w:tc>
      </w:tr>
      <w:tr>
        <w:trPr>
          <w:trHeight w:val="28"/>
        </w:trPr>
        <w:tc>
          <w:tcPr>
            <w:tcW w:w="9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Employer</w:t>
            </w:r>
          </w:p>
        </w:tc>
        <w:tc>
          <w:tcPr>
            <w:tcW w:w="4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12,188,015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9440" w:type="dxa"/>
            <w:vAlign w:val="bottom"/>
          </w:tcPr>
          <w:p>
            <w:pPr>
              <w:ind w:left="140"/>
              <w:spacing w:after="0"/>
              <w:rPr>
                <w:sz w:val="20"/>
                <w:szCs w:val="20"/>
                <w:color w:val="auto"/>
              </w:rPr>
            </w:pPr>
            <w:r>
              <w:rPr>
                <w:rFonts w:ascii="Arial" w:cs="Arial" w:eastAsia="Arial" w:hAnsi="Arial"/>
                <w:sz w:val="16"/>
                <w:szCs w:val="16"/>
                <w:color w:val="auto"/>
              </w:rPr>
              <w:t>Rollovers</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1,926,400</w:t>
            </w:r>
          </w:p>
        </w:tc>
        <w:tc>
          <w:tcPr>
            <w:tcW w:w="100" w:type="dxa"/>
            <w:vAlign w:val="bottom"/>
          </w:tcPr>
          <w:p>
            <w:pPr>
              <w:spacing w:after="0"/>
              <w:rPr>
                <w:sz w:val="18"/>
                <w:szCs w:val="18"/>
                <w:color w:val="auto"/>
              </w:rPr>
            </w:pPr>
          </w:p>
        </w:tc>
      </w:tr>
      <w:tr>
        <w:trPr>
          <w:trHeight w:val="28"/>
        </w:trPr>
        <w:tc>
          <w:tcPr>
            <w:tcW w:w="9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37"/>
        </w:trPr>
        <w:tc>
          <w:tcPr>
            <w:tcW w:w="9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contributions</w:t>
            </w: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32,588,402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5"/>
        </w:trPr>
        <w:tc>
          <w:tcPr>
            <w:tcW w:w="9440" w:type="dxa"/>
            <w:vAlign w:val="bottom"/>
          </w:tcPr>
          <w:p>
            <w:pPr>
              <w:ind w:left="20"/>
              <w:spacing w:after="0"/>
              <w:rPr>
                <w:sz w:val="20"/>
                <w:szCs w:val="20"/>
                <w:color w:val="auto"/>
              </w:rPr>
            </w:pPr>
            <w:r>
              <w:rPr>
                <w:rFonts w:ascii="Arial" w:cs="Arial" w:eastAsia="Arial" w:hAnsi="Arial"/>
                <w:sz w:val="16"/>
                <w:szCs w:val="16"/>
                <w:color w:val="auto"/>
              </w:rPr>
              <w:t>Deductions from net assets attributed to:</w:t>
            </w:r>
          </w:p>
        </w:tc>
        <w:tc>
          <w:tcPr>
            <w:tcW w:w="4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8"/>
        </w:trPr>
        <w:tc>
          <w:tcPr>
            <w:tcW w:w="9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Benefits paid to participants and beneficiaries</w:t>
            </w:r>
          </w:p>
        </w:tc>
        <w:tc>
          <w:tcPr>
            <w:tcW w:w="4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57,417,927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9440" w:type="dxa"/>
            <w:vAlign w:val="bottom"/>
          </w:tcPr>
          <w:p>
            <w:pPr>
              <w:ind w:left="140"/>
              <w:spacing w:after="0"/>
              <w:rPr>
                <w:sz w:val="20"/>
                <w:szCs w:val="20"/>
                <w:color w:val="auto"/>
              </w:rPr>
            </w:pPr>
            <w:r>
              <w:rPr>
                <w:rFonts w:ascii="Arial" w:cs="Arial" w:eastAsia="Arial" w:hAnsi="Arial"/>
                <w:sz w:val="16"/>
                <w:szCs w:val="16"/>
                <w:color w:val="auto"/>
              </w:rPr>
              <w:t>Plan expenses</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612,240</w:t>
            </w:r>
          </w:p>
        </w:tc>
        <w:tc>
          <w:tcPr>
            <w:tcW w:w="100" w:type="dxa"/>
            <w:vAlign w:val="bottom"/>
          </w:tcPr>
          <w:p>
            <w:pPr>
              <w:spacing w:after="0"/>
              <w:rPr>
                <w:sz w:val="18"/>
                <w:szCs w:val="18"/>
                <w:color w:val="auto"/>
              </w:rPr>
            </w:pPr>
          </w:p>
        </w:tc>
      </w:tr>
      <w:tr>
        <w:trPr>
          <w:trHeight w:val="28"/>
        </w:trPr>
        <w:tc>
          <w:tcPr>
            <w:tcW w:w="9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37"/>
        </w:trPr>
        <w:tc>
          <w:tcPr>
            <w:tcW w:w="9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deductions</w:t>
            </w: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58,030,167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8"/>
        </w:trPr>
        <w:tc>
          <w:tcPr>
            <w:tcW w:w="9440" w:type="dxa"/>
            <w:vAlign w:val="bottom"/>
          </w:tcPr>
          <w:p>
            <w:pPr>
              <w:ind w:left="460"/>
              <w:spacing w:after="0"/>
              <w:rPr>
                <w:sz w:val="20"/>
                <w:szCs w:val="20"/>
                <w:color w:val="auto"/>
              </w:rPr>
            </w:pPr>
            <w:r>
              <w:rPr>
                <w:rFonts w:ascii="Arial" w:cs="Arial" w:eastAsia="Arial" w:hAnsi="Arial"/>
                <w:sz w:val="16"/>
                <w:szCs w:val="16"/>
                <w:color w:val="auto"/>
              </w:rPr>
              <w:t>Net increase in net assets available for benefits</w:t>
            </w:r>
          </w:p>
        </w:tc>
        <w:tc>
          <w:tcPr>
            <w:tcW w:w="4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51,120,578</w:t>
            </w:r>
          </w:p>
        </w:tc>
        <w:tc>
          <w:tcPr>
            <w:tcW w:w="100" w:type="dxa"/>
            <w:vAlign w:val="bottom"/>
          </w:tcPr>
          <w:p>
            <w:pPr>
              <w:spacing w:after="0"/>
              <w:rPr>
                <w:sz w:val="18"/>
                <w:szCs w:val="18"/>
                <w:color w:val="auto"/>
              </w:rPr>
            </w:pPr>
          </w:p>
        </w:tc>
      </w:tr>
      <w:tr>
        <w:trPr>
          <w:trHeight w:val="28"/>
        </w:trPr>
        <w:tc>
          <w:tcPr>
            <w:tcW w:w="9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94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15"/>
        </w:trPr>
        <w:tc>
          <w:tcPr>
            <w:tcW w:w="9440" w:type="dxa"/>
            <w:vAlign w:val="bottom"/>
          </w:tcPr>
          <w:p>
            <w:pPr>
              <w:ind w:left="20"/>
              <w:spacing w:after="0"/>
              <w:rPr>
                <w:sz w:val="20"/>
                <w:szCs w:val="20"/>
                <w:color w:val="auto"/>
              </w:rPr>
            </w:pPr>
            <w:r>
              <w:rPr>
                <w:rFonts w:ascii="Arial" w:cs="Arial" w:eastAsia="Arial" w:hAnsi="Arial"/>
                <w:sz w:val="16"/>
                <w:szCs w:val="16"/>
                <w:color w:val="auto"/>
              </w:rPr>
              <w:t>Net assets available for benefits, beginning of year</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557,575,374</w:t>
            </w:r>
          </w:p>
        </w:tc>
        <w:tc>
          <w:tcPr>
            <w:tcW w:w="100" w:type="dxa"/>
            <w:vAlign w:val="bottom"/>
          </w:tcPr>
          <w:p>
            <w:pPr>
              <w:spacing w:after="0"/>
              <w:rPr>
                <w:sz w:val="18"/>
                <w:szCs w:val="18"/>
                <w:color w:val="auto"/>
              </w:rPr>
            </w:pPr>
          </w:p>
        </w:tc>
      </w:tr>
      <w:tr>
        <w:trPr>
          <w:trHeight w:val="28"/>
        </w:trPr>
        <w:tc>
          <w:tcPr>
            <w:tcW w:w="9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assets available for benefits, end of year</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608,695,952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Plan Description</w:t>
      </w:r>
    </w:p>
    <w:p>
      <w:pPr>
        <w:spacing w:after="0" w:line="198" w:lineRule="exact"/>
        <w:rPr>
          <w:rFonts w:ascii="Arial" w:cs="Arial" w:eastAsia="Arial" w:hAnsi="Arial"/>
          <w:sz w:val="18"/>
          <w:szCs w:val="18"/>
          <w:b w:val="1"/>
          <w:bCs w:val="1"/>
          <w:color w:val="auto"/>
        </w:rPr>
      </w:pPr>
    </w:p>
    <w:p>
      <w:pPr>
        <w:ind w:left="660" w:right="68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following description of the LiveRamp Holdings, Inc. Retirement Savings Plan (“Plan”) provides only general information. Participants should refer to the Plan document for a more complete description of the Plan’s provisions.</w:t>
      </w:r>
    </w:p>
    <w:p>
      <w:pPr>
        <w:spacing w:after="0" w:line="114" w:lineRule="exact"/>
        <w:rPr>
          <w:rFonts w:ascii="Arial" w:cs="Arial" w:eastAsia="Arial" w:hAnsi="Arial"/>
          <w:sz w:val="18"/>
          <w:szCs w:val="18"/>
          <w:b w:val="1"/>
          <w:bCs w:val="1"/>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p>
    <w:p>
      <w:pPr>
        <w:spacing w:after="0" w:line="182" w:lineRule="exact"/>
        <w:rPr>
          <w:rFonts w:ascii="Arial" w:cs="Arial" w:eastAsia="Arial" w:hAnsi="Arial"/>
          <w:sz w:val="18"/>
          <w:szCs w:val="18"/>
          <w:color w:val="auto"/>
        </w:rPr>
      </w:pPr>
    </w:p>
    <w:p>
      <w:pPr>
        <w:ind w:left="980" w:right="140"/>
        <w:spacing w:after="0" w:line="262" w:lineRule="auto"/>
        <w:rPr>
          <w:rFonts w:ascii="Arial" w:cs="Arial" w:eastAsia="Arial" w:hAnsi="Arial"/>
          <w:sz w:val="18"/>
          <w:szCs w:val="18"/>
          <w:color w:val="auto"/>
        </w:rPr>
      </w:pPr>
      <w:r>
        <w:rPr>
          <w:rFonts w:ascii="Arial" w:cs="Arial" w:eastAsia="Arial" w:hAnsi="Arial"/>
          <w:sz w:val="18"/>
          <w:szCs w:val="18"/>
          <w:color w:val="auto"/>
        </w:rPr>
        <w:t>The Plan is a defined contribution plan covering substantially all employees of LiveRamp Holdings, Inc. and its domestic subsidiaries (“LiveRamp” or “Company”). The Plan is subject to the provisions of the Employee Retirement Income Security Act of 1974, as amended (“ERISA”). The Administrative Committee, as appointed by the Chairman of the Internal Compensation Committee, is the administrator for the Plan.</w:t>
      </w:r>
    </w:p>
    <w:p>
      <w:pPr>
        <w:spacing w:after="0" w:line="151"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Participation</w:t>
      </w:r>
    </w:p>
    <w:p>
      <w:pPr>
        <w:spacing w:after="0" w:line="182" w:lineRule="exact"/>
        <w:rPr>
          <w:rFonts w:ascii="Arial" w:cs="Arial" w:eastAsia="Arial" w:hAnsi="Arial"/>
          <w:sz w:val="18"/>
          <w:szCs w:val="18"/>
          <w:color w:val="auto"/>
        </w:rPr>
      </w:pPr>
    </w:p>
    <w:p>
      <w:pPr>
        <w:ind w:left="980"/>
        <w:spacing w:after="0" w:line="268" w:lineRule="auto"/>
        <w:rPr>
          <w:rFonts w:ascii="Arial" w:cs="Arial" w:eastAsia="Arial" w:hAnsi="Arial"/>
          <w:sz w:val="18"/>
          <w:szCs w:val="18"/>
          <w:color w:val="auto"/>
        </w:rPr>
      </w:pPr>
      <w:r>
        <w:rPr>
          <w:rFonts w:ascii="Arial" w:cs="Arial" w:eastAsia="Arial" w:hAnsi="Arial"/>
          <w:sz w:val="18"/>
          <w:szCs w:val="18"/>
          <w:color w:val="auto"/>
        </w:rPr>
        <w:t>Employees of the Company may participate in the Plan upon commencement of employment, except for those employees, if any, who already receive retirement benefits in connection with a collective bargaining agreement, certain nonresident employees, and leased employees.</w:t>
      </w:r>
    </w:p>
    <w:p>
      <w:pPr>
        <w:spacing w:after="0" w:line="132"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Contributions</w:t>
      </w:r>
    </w:p>
    <w:p>
      <w:pPr>
        <w:spacing w:after="0" w:line="196" w:lineRule="exact"/>
        <w:rPr>
          <w:rFonts w:ascii="Arial" w:cs="Arial" w:eastAsia="Arial" w:hAnsi="Arial"/>
          <w:sz w:val="18"/>
          <w:szCs w:val="18"/>
          <w:color w:val="auto"/>
        </w:rPr>
      </w:pPr>
    </w:p>
    <w:p>
      <w:pPr>
        <w:ind w:left="980" w:right="440"/>
        <w:spacing w:after="0" w:line="287" w:lineRule="auto"/>
        <w:rPr>
          <w:rFonts w:ascii="Arial" w:cs="Arial" w:eastAsia="Arial" w:hAnsi="Arial"/>
          <w:sz w:val="18"/>
          <w:szCs w:val="18"/>
          <w:color w:val="auto"/>
        </w:rPr>
      </w:pPr>
      <w:r>
        <w:rPr>
          <w:rFonts w:ascii="Arial" w:cs="Arial" w:eastAsia="Arial" w:hAnsi="Arial"/>
          <w:sz w:val="18"/>
          <w:szCs w:val="18"/>
          <w:color w:val="auto"/>
        </w:rPr>
        <w:t>The Plan includes a 401(k) provision whereby each participant may defer up to 50% of annual compensation, not to exceed limits determined under Section 415(c) of the Internal Revenue Code (“IRC”).</w:t>
      </w:r>
    </w:p>
    <w:p>
      <w:pPr>
        <w:spacing w:after="0" w:line="11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Plan allows discretionary matching contributions up to 100% of deferrals not in excess of 6% of participants’ compensation.</w:t>
      </w:r>
    </w:p>
    <w:p>
      <w:pPr>
        <w:spacing w:after="0" w:line="184" w:lineRule="exact"/>
        <w:rPr>
          <w:rFonts w:ascii="Arial" w:cs="Arial" w:eastAsia="Arial" w:hAnsi="Arial"/>
          <w:sz w:val="18"/>
          <w:szCs w:val="18"/>
          <w:color w:val="auto"/>
        </w:rPr>
      </w:pPr>
    </w:p>
    <w:p>
      <w:pPr>
        <w:ind w:left="980" w:right="380"/>
        <w:spacing w:after="0" w:line="287" w:lineRule="auto"/>
        <w:rPr>
          <w:rFonts w:ascii="Arial" w:cs="Arial" w:eastAsia="Arial" w:hAnsi="Arial"/>
          <w:sz w:val="18"/>
          <w:szCs w:val="18"/>
          <w:color w:val="auto"/>
        </w:rPr>
      </w:pPr>
      <w:r>
        <w:rPr>
          <w:rFonts w:ascii="Arial" w:cs="Arial" w:eastAsia="Arial" w:hAnsi="Arial"/>
          <w:sz w:val="18"/>
          <w:szCs w:val="18"/>
          <w:color w:val="auto"/>
        </w:rPr>
        <w:t>Participant contributions to the Plan are invested as directed by participants into various investment options. The Company’s matching contributions are made with cash.</w:t>
      </w:r>
    </w:p>
    <w:p>
      <w:pPr>
        <w:spacing w:after="0" w:line="127"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Participant Accounts</w:t>
      </w:r>
    </w:p>
    <w:p>
      <w:pPr>
        <w:spacing w:after="0" w:line="182" w:lineRule="exact"/>
        <w:rPr>
          <w:rFonts w:ascii="Arial" w:cs="Arial" w:eastAsia="Arial" w:hAnsi="Arial"/>
          <w:sz w:val="18"/>
          <w:szCs w:val="18"/>
          <w:color w:val="auto"/>
        </w:rPr>
      </w:pPr>
    </w:p>
    <w:p>
      <w:pPr>
        <w:ind w:left="980" w:right="100"/>
        <w:spacing w:after="0" w:line="282" w:lineRule="auto"/>
        <w:rPr>
          <w:rFonts w:ascii="Arial" w:cs="Arial" w:eastAsia="Arial" w:hAnsi="Arial"/>
          <w:sz w:val="18"/>
          <w:szCs w:val="18"/>
          <w:color w:val="auto"/>
        </w:rPr>
      </w:pPr>
      <w:r>
        <w:rPr>
          <w:rFonts w:ascii="Arial" w:cs="Arial" w:eastAsia="Arial" w:hAnsi="Arial"/>
          <w:sz w:val="17"/>
          <w:szCs w:val="17"/>
          <w:color w:val="auto"/>
        </w:rPr>
        <w:t>Each participant’s account is credited with the participant’s contribution, rollovers, if any, the Company’s matching contribution, and discretionary contributions, if any, and is adjusted for investment income/losses and expenses. Allocations of income/losses and expenses are made according to formulas specified in the Plan based on participant compensation or account balances. The benefit to which a participant is entitled is the benefit that can be provided from the participant’s vested account.</w:t>
      </w:r>
    </w:p>
    <w:p>
      <w:pPr>
        <w:spacing w:after="0" w:line="122"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Notes Receivable from Participants</w:t>
      </w:r>
    </w:p>
    <w:p>
      <w:pPr>
        <w:spacing w:after="0" w:line="196" w:lineRule="exact"/>
        <w:rPr>
          <w:rFonts w:ascii="Arial" w:cs="Arial" w:eastAsia="Arial" w:hAnsi="Arial"/>
          <w:sz w:val="18"/>
          <w:szCs w:val="18"/>
          <w:color w:val="auto"/>
        </w:rPr>
      </w:pPr>
    </w:p>
    <w:p>
      <w:pPr>
        <w:ind w:left="980" w:right="40"/>
        <w:spacing w:after="0" w:line="257" w:lineRule="auto"/>
        <w:rPr>
          <w:rFonts w:ascii="Arial" w:cs="Arial" w:eastAsia="Arial" w:hAnsi="Arial"/>
          <w:sz w:val="18"/>
          <w:szCs w:val="18"/>
          <w:color w:val="auto"/>
        </w:rPr>
      </w:pPr>
      <w:r>
        <w:rPr>
          <w:rFonts w:ascii="Arial" w:cs="Arial" w:eastAsia="Arial" w:hAnsi="Arial"/>
          <w:sz w:val="18"/>
          <w:szCs w:val="18"/>
          <w:color w:val="auto"/>
        </w:rPr>
        <w:t>Participants may borrow from their Plan accounts a minimum of $1,000 up to a maximum equal to the lesser of $50,000, less the highest outstanding balance in the previous 12 months or 50% of their vested account balance. Loans are repayable through payroll deductions ranging up to five years unless the loan is for the purchase of a primary residence, in which case the loan can be repaid over ten years. The loans are secured by the balance in the participant’s account and bear interest at the prime rate in effect at the date of the loan plus 1.0%. The interest rates on outstanding participant loans at December 31, 2025 range from 4.25% to 9.50%, with maturity dates ranging from February 2026 to August 2035.</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Vesting</w:t>
      </w:r>
    </w:p>
    <w:p>
      <w:pPr>
        <w:spacing w:after="0" w:line="182" w:lineRule="exact"/>
        <w:rPr>
          <w:rFonts w:ascii="Arial" w:cs="Arial" w:eastAsia="Arial" w:hAnsi="Arial"/>
          <w:sz w:val="18"/>
          <w:szCs w:val="18"/>
          <w:color w:val="auto"/>
        </w:rPr>
      </w:pPr>
    </w:p>
    <w:p>
      <w:pPr>
        <w:ind w:left="980" w:right="340"/>
        <w:spacing w:after="0" w:line="262" w:lineRule="auto"/>
        <w:rPr>
          <w:rFonts w:ascii="Arial" w:cs="Arial" w:eastAsia="Arial" w:hAnsi="Arial"/>
          <w:sz w:val="18"/>
          <w:szCs w:val="18"/>
          <w:color w:val="auto"/>
        </w:rPr>
      </w:pPr>
      <w:r>
        <w:rPr>
          <w:rFonts w:ascii="Arial" w:cs="Arial" w:eastAsia="Arial" w:hAnsi="Arial"/>
          <w:sz w:val="18"/>
          <w:szCs w:val="18"/>
          <w:color w:val="auto"/>
        </w:rPr>
        <w:t>Participants are immediately vested in their voluntary contributions, rollovers, if any, and the earnings thereon. Prior to September 30, 2016, participants are vested in the remainder of their accounts based on years of service, whereby partial vesting occurs in 20% increments beginning after two years of service until participants become fully vested after six years of service. Effective September 30, 2016, participants that complete an hour of service on or after September 30, 2016,</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80" w:right="60"/>
        <w:spacing w:after="0" w:line="268" w:lineRule="auto"/>
        <w:rPr>
          <w:sz w:val="20"/>
          <w:szCs w:val="20"/>
          <w:color w:val="auto"/>
        </w:rPr>
      </w:pPr>
      <w:r>
        <w:rPr>
          <w:rFonts w:ascii="Arial" w:cs="Arial" w:eastAsia="Arial" w:hAnsi="Arial"/>
          <w:sz w:val="18"/>
          <w:szCs w:val="18"/>
          <w:color w:val="auto"/>
        </w:rPr>
        <w:t>are partially vested in 33% increments beginning after one year of service until participants become fully vested after three years of service. Effective January 1, 2019, Participants completing an hour of service on or after January 1, 2019 shall be 100% vested in their account.</w:t>
      </w:r>
    </w:p>
    <w:p>
      <w:pPr>
        <w:spacing w:after="0" w:line="130" w:lineRule="exact"/>
        <w:rPr>
          <w:sz w:val="20"/>
          <w:szCs w:val="20"/>
          <w:color w:val="auto"/>
        </w:rPr>
      </w:pPr>
    </w:p>
    <w:p>
      <w:pPr>
        <w:ind w:left="980"/>
        <w:spacing w:after="0" w:line="262" w:lineRule="auto"/>
        <w:rPr>
          <w:sz w:val="20"/>
          <w:szCs w:val="20"/>
          <w:color w:val="auto"/>
        </w:rPr>
      </w:pPr>
      <w:r>
        <w:rPr>
          <w:rFonts w:ascii="Arial" w:cs="Arial" w:eastAsia="Arial" w:hAnsi="Arial"/>
          <w:sz w:val="18"/>
          <w:szCs w:val="18"/>
          <w:color w:val="auto"/>
        </w:rPr>
        <w:t>Forfeitures may be used to pay other miscellaneous Plan expenses or to reduce discretionary matching contributions to the Plan. The forfeiture account totaled $72 and $95,102 at December 31, 2025 and 2024, respectively. During 2025, total forfeitures used to pay Plan expenses and matching contributions were $214,545, $116,467 of participants’ accounts were forfeited, and the forfeiture account balance was increased by $3,048 on the fair market value of the investments held in the account.</w:t>
      </w:r>
    </w:p>
    <w:p>
      <w:pPr>
        <w:spacing w:after="0" w:line="205" w:lineRule="exact"/>
        <w:rPr>
          <w:sz w:val="20"/>
          <w:szCs w:val="20"/>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Investment Options</w:t>
      </w:r>
    </w:p>
    <w:p>
      <w:pPr>
        <w:spacing w:after="0" w:line="196" w:lineRule="exact"/>
        <w:rPr>
          <w:rFonts w:ascii="Arial" w:cs="Arial" w:eastAsia="Arial" w:hAnsi="Arial"/>
          <w:sz w:val="18"/>
          <w:szCs w:val="18"/>
          <w:color w:val="auto"/>
        </w:rPr>
      </w:pPr>
    </w:p>
    <w:p>
      <w:pPr>
        <w:ind w:left="980" w:right="120"/>
        <w:spacing w:after="0" w:line="268" w:lineRule="auto"/>
        <w:rPr>
          <w:rFonts w:ascii="Arial" w:cs="Arial" w:eastAsia="Arial" w:hAnsi="Arial"/>
          <w:sz w:val="18"/>
          <w:szCs w:val="18"/>
          <w:color w:val="auto"/>
        </w:rPr>
      </w:pPr>
      <w:r>
        <w:rPr>
          <w:rFonts w:ascii="Arial" w:cs="Arial" w:eastAsia="Arial" w:hAnsi="Arial"/>
          <w:sz w:val="18"/>
          <w:szCs w:val="18"/>
          <w:color w:val="auto"/>
        </w:rPr>
        <w:t>Upon enrollment in the Plan, a participant may direct employee contributions in any of 12 mutual funds, 18 common collective trust funds, or LiveRamp common stock. In addition, participants have the option to open a self-directed brokerage account with T. Rowe Price Company (“T. Rowe Price”) in order to invest in numerous other stocks, bonds, and mutual funds.</w:t>
      </w:r>
    </w:p>
    <w:p>
      <w:pPr>
        <w:spacing w:after="0" w:line="132"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Benefits Paid to Participants and Beneficiaries</w:t>
      </w:r>
    </w:p>
    <w:p>
      <w:pPr>
        <w:spacing w:after="0" w:line="182" w:lineRule="exact"/>
        <w:rPr>
          <w:rFonts w:ascii="Arial" w:cs="Arial" w:eastAsia="Arial" w:hAnsi="Arial"/>
          <w:sz w:val="18"/>
          <w:szCs w:val="18"/>
          <w:color w:val="auto"/>
        </w:rPr>
      </w:pPr>
    </w:p>
    <w:p>
      <w:pPr>
        <w:ind w:left="980" w:right="160"/>
        <w:spacing w:after="0" w:line="268" w:lineRule="auto"/>
        <w:rPr>
          <w:rFonts w:ascii="Arial" w:cs="Arial" w:eastAsia="Arial" w:hAnsi="Arial"/>
          <w:sz w:val="18"/>
          <w:szCs w:val="18"/>
          <w:color w:val="auto"/>
        </w:rPr>
      </w:pPr>
      <w:r>
        <w:rPr>
          <w:rFonts w:ascii="Arial" w:cs="Arial" w:eastAsia="Arial" w:hAnsi="Arial"/>
          <w:sz w:val="18"/>
          <w:szCs w:val="18"/>
          <w:color w:val="auto"/>
        </w:rPr>
        <w:t>Benefits paid upon retirement, death, or disability are made in the form of a lump-sum payment of cash or common stock of the Company. If a participant receives benefits prior to retirement, death, or disability, the benefits paid from the participant’s Employer contribution account shall not exceed the participant’s vested balance therein.</w:t>
      </w:r>
    </w:p>
    <w:p>
      <w:pPr>
        <w:spacing w:after="0" w:line="386" w:lineRule="exact"/>
        <w:rPr>
          <w:rFonts w:ascii="Arial" w:cs="Arial" w:eastAsia="Arial" w:hAnsi="Arial"/>
          <w:sz w:val="18"/>
          <w:szCs w:val="18"/>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86" w:lineRule="exact"/>
        <w:rPr>
          <w:rFonts w:ascii="Arial" w:cs="Arial" w:eastAsia="Arial" w:hAnsi="Arial"/>
          <w:sz w:val="18"/>
          <w:szCs w:val="18"/>
          <w:b w:val="1"/>
          <w:bCs w:val="1"/>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Basis of Accounting</w:t>
      </w:r>
    </w:p>
    <w:p>
      <w:pPr>
        <w:spacing w:after="0" w:line="18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financial statements of the Plan are prepared under the accrual method of accounting.</w:t>
      </w:r>
    </w:p>
    <w:p>
      <w:pPr>
        <w:spacing w:after="0" w:line="200"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Investment Valuation and Income Recognition</w:t>
      </w:r>
    </w:p>
    <w:p>
      <w:pPr>
        <w:spacing w:after="0" w:line="182" w:lineRule="exact"/>
        <w:rPr>
          <w:rFonts w:ascii="Arial" w:cs="Arial" w:eastAsia="Arial" w:hAnsi="Arial"/>
          <w:sz w:val="18"/>
          <w:szCs w:val="18"/>
          <w:color w:val="auto"/>
        </w:rPr>
      </w:pPr>
    </w:p>
    <w:p>
      <w:pPr>
        <w:ind w:left="980" w:right="20"/>
        <w:spacing w:after="0" w:line="287" w:lineRule="auto"/>
        <w:rPr>
          <w:rFonts w:ascii="Arial" w:cs="Arial" w:eastAsia="Arial" w:hAnsi="Arial"/>
          <w:sz w:val="18"/>
          <w:szCs w:val="18"/>
          <w:color w:val="auto"/>
        </w:rPr>
      </w:pPr>
      <w:r>
        <w:rPr>
          <w:rFonts w:ascii="Arial" w:cs="Arial" w:eastAsia="Arial" w:hAnsi="Arial"/>
          <w:sz w:val="18"/>
          <w:szCs w:val="18"/>
          <w:color w:val="auto"/>
        </w:rPr>
        <w:t>The Plan’s investments are reported at fair value. Fair value is the price that would be received to sell an asset or paid to transfer a liability in an orderly transaction between market participants at the measurement date.</w:t>
      </w:r>
    </w:p>
    <w:p>
      <w:pPr>
        <w:spacing w:after="0" w:line="112" w:lineRule="exact"/>
        <w:rPr>
          <w:rFonts w:ascii="Arial" w:cs="Arial" w:eastAsia="Arial" w:hAnsi="Arial"/>
          <w:sz w:val="18"/>
          <w:szCs w:val="18"/>
          <w:color w:val="auto"/>
        </w:rPr>
      </w:pPr>
    </w:p>
    <w:p>
      <w:pPr>
        <w:ind w:left="980"/>
        <w:spacing w:after="0" w:line="268" w:lineRule="auto"/>
        <w:rPr>
          <w:rFonts w:ascii="Arial" w:cs="Arial" w:eastAsia="Arial" w:hAnsi="Arial"/>
          <w:sz w:val="18"/>
          <w:szCs w:val="18"/>
          <w:color w:val="auto"/>
        </w:rPr>
      </w:pPr>
      <w:r>
        <w:rPr>
          <w:rFonts w:ascii="Arial" w:cs="Arial" w:eastAsia="Arial" w:hAnsi="Arial"/>
          <w:sz w:val="18"/>
          <w:szCs w:val="18"/>
          <w:color w:val="auto"/>
        </w:rPr>
        <w:t>Purchases and sales of securities are recorded on a trade-date basis. Dividends are recorded on the ex-dividend date. Interest is recorded as earned. Net appreciation/depreciation in fair value of investments represents realized gains (losses) on investments sold and unrealized appreciation (depreciation) on investments held at year-end.</w:t>
      </w:r>
    </w:p>
    <w:p>
      <w:pPr>
        <w:spacing w:after="0" w:line="145"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Notes Receivable from Participants</w:t>
      </w:r>
    </w:p>
    <w:p>
      <w:pPr>
        <w:spacing w:after="0" w:line="182" w:lineRule="exact"/>
        <w:rPr>
          <w:rFonts w:ascii="Arial" w:cs="Arial" w:eastAsia="Arial" w:hAnsi="Arial"/>
          <w:sz w:val="18"/>
          <w:szCs w:val="18"/>
          <w:color w:val="auto"/>
        </w:rPr>
      </w:pPr>
    </w:p>
    <w:p>
      <w:pPr>
        <w:ind w:left="980" w:right="440"/>
        <w:spacing w:after="0" w:line="287" w:lineRule="auto"/>
        <w:rPr>
          <w:rFonts w:ascii="Arial" w:cs="Arial" w:eastAsia="Arial" w:hAnsi="Arial"/>
          <w:sz w:val="18"/>
          <w:szCs w:val="18"/>
          <w:color w:val="auto"/>
        </w:rPr>
      </w:pPr>
      <w:r>
        <w:rPr>
          <w:rFonts w:ascii="Arial" w:cs="Arial" w:eastAsia="Arial" w:hAnsi="Arial"/>
          <w:sz w:val="18"/>
          <w:szCs w:val="18"/>
          <w:color w:val="auto"/>
        </w:rPr>
        <w:t>Notes receivable from participants are stated at amortized cost, which represents the unpaid principal balance plus accrued interest.</w:t>
      </w:r>
    </w:p>
    <w:p>
      <w:pPr>
        <w:spacing w:after="0" w:line="114"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Use of Estimates</w:t>
      </w:r>
    </w:p>
    <w:p>
      <w:pPr>
        <w:spacing w:after="0" w:line="196" w:lineRule="exact"/>
        <w:rPr>
          <w:rFonts w:ascii="Arial" w:cs="Arial" w:eastAsia="Arial" w:hAnsi="Arial"/>
          <w:sz w:val="18"/>
          <w:szCs w:val="18"/>
          <w:color w:val="auto"/>
        </w:rPr>
      </w:pPr>
    </w:p>
    <w:p>
      <w:pPr>
        <w:jc w:val="both"/>
        <w:ind w:left="980"/>
        <w:spacing w:after="0" w:line="268" w:lineRule="auto"/>
        <w:rPr>
          <w:rFonts w:ascii="Arial" w:cs="Arial" w:eastAsia="Arial" w:hAnsi="Arial"/>
          <w:sz w:val="18"/>
          <w:szCs w:val="18"/>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of assets and liabilities and changes therein, and disclosure of contingent assets and liabilities. Actual results could differ from those estimates.</w:t>
      </w:r>
    </w:p>
    <w:p>
      <w:pPr>
        <w:spacing w:after="0" w:line="132"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Payment of Benefits</w:t>
      </w:r>
    </w:p>
    <w:p>
      <w:pPr>
        <w:spacing w:after="0" w:line="18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Benefits are recorded when paid.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Expenses</w:t>
      </w:r>
    </w:p>
    <w:p>
      <w:pPr>
        <w:spacing w:after="0" w:line="182" w:lineRule="exact"/>
        <w:rPr>
          <w:rFonts w:ascii="Arial" w:cs="Arial" w:eastAsia="Arial" w:hAnsi="Arial"/>
          <w:sz w:val="18"/>
          <w:szCs w:val="18"/>
          <w:color w:val="auto"/>
        </w:rPr>
      </w:pPr>
    </w:p>
    <w:p>
      <w:pPr>
        <w:ind w:left="980" w:right="220"/>
        <w:spacing w:after="0" w:line="262" w:lineRule="auto"/>
        <w:rPr>
          <w:rFonts w:ascii="Arial" w:cs="Arial" w:eastAsia="Arial" w:hAnsi="Arial"/>
          <w:sz w:val="18"/>
          <w:szCs w:val="18"/>
          <w:color w:val="auto"/>
        </w:rPr>
      </w:pPr>
      <w:r>
        <w:rPr>
          <w:rFonts w:ascii="Arial" w:cs="Arial" w:eastAsia="Arial" w:hAnsi="Arial"/>
          <w:sz w:val="18"/>
          <w:szCs w:val="18"/>
          <w:color w:val="auto"/>
        </w:rPr>
        <w:t>Certain expenses of maintaining the Plan are paid by the Plan, unless otherwise paid by the Company. Expenses that are paid by the Company are excluded from these financial statements. Fees related to the administration of notes receivable from participants are charged directly to the participant's account and are included in administrative expenses. Investment related expenses are included in net appreciation (depreciation) of fair value of investments.</w:t>
      </w:r>
    </w:p>
    <w:p>
      <w:pPr>
        <w:spacing w:after="0" w:line="392" w:lineRule="exact"/>
        <w:rPr>
          <w:rFonts w:ascii="Arial" w:cs="Arial" w:eastAsia="Arial" w:hAnsi="Arial"/>
          <w:sz w:val="18"/>
          <w:szCs w:val="18"/>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84" w:lineRule="exact"/>
        <w:rPr>
          <w:rFonts w:ascii="Arial" w:cs="Arial" w:eastAsia="Arial" w:hAnsi="Arial"/>
          <w:sz w:val="18"/>
          <w:szCs w:val="18"/>
          <w:b w:val="1"/>
          <w:bCs w:val="1"/>
          <w:color w:val="auto"/>
        </w:rPr>
      </w:pPr>
    </w:p>
    <w:p>
      <w:pPr>
        <w:jc w:val="both"/>
        <w:ind w:left="660"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The Plan applies the provisions of Accounting Standards Codification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ASC 820 defines fair value, establishes a framework for measuring fair value, and requires disclosure about assets and liabilities measured at fair value. Specifically, ASC 820:</w:t>
      </w:r>
    </w:p>
    <w:p>
      <w:pPr>
        <w:spacing w:after="0" w:line="130" w:lineRule="exact"/>
        <w:rPr>
          <w:rFonts w:ascii="Arial" w:cs="Arial" w:eastAsia="Arial" w:hAnsi="Arial"/>
          <w:sz w:val="18"/>
          <w:szCs w:val="18"/>
          <w:b w:val="1"/>
          <w:bCs w:val="1"/>
          <w:color w:val="auto"/>
        </w:rPr>
      </w:pPr>
    </w:p>
    <w:p>
      <w:pPr>
        <w:ind w:left="980" w:right="620" w:hanging="324"/>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 Defines fair value as the price that would be received to sell an asset or paid to transfer a liability in an orderly transaction between market participants at the measurement date, and establishes a framework for measuring fair value;</w:t>
      </w:r>
    </w:p>
    <w:p>
      <w:pPr>
        <w:spacing w:after="0" w:line="125" w:lineRule="exact"/>
        <w:rPr>
          <w:rFonts w:ascii="Arial" w:cs="Arial" w:eastAsia="Arial" w:hAnsi="Arial"/>
          <w:sz w:val="18"/>
          <w:szCs w:val="18"/>
          <w:b w:val="1"/>
          <w:bCs w:val="1"/>
          <w:color w:val="auto"/>
        </w:rPr>
      </w:pPr>
    </w:p>
    <w:p>
      <w:pPr>
        <w:ind w:left="980" w:right="160" w:hanging="324"/>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Establishes a three-level hierarchy based upon the transparency of inputs to the valuation of an asset or liability as of the measurement date. The hierarchy gives the highest priority to unadjusted quoted prices in active markets for identical assets or liabilities (Level 1) and lowest priority to unobservable inputs (Level 3); and</w:t>
      </w:r>
    </w:p>
    <w:p>
      <w:pPr>
        <w:spacing w:after="0" w:line="13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   Expands disclosures about instruments measured at fair value.</w:t>
      </w:r>
    </w:p>
    <w:p>
      <w:pPr>
        <w:spacing w:after="0" w:line="18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three levels of the fair value hierarchy under ASC 820 are described below:</w:t>
      </w:r>
    </w:p>
    <w:p>
      <w:pPr>
        <w:spacing w:after="0" w:line="198" w:lineRule="exact"/>
        <w:rPr>
          <w:rFonts w:ascii="Arial" w:cs="Arial" w:eastAsia="Arial" w:hAnsi="Arial"/>
          <w:sz w:val="18"/>
          <w:szCs w:val="18"/>
          <w:b w:val="1"/>
          <w:bCs w:val="1"/>
          <w:color w:val="auto"/>
        </w:rPr>
      </w:pPr>
    </w:p>
    <w:p>
      <w:pPr>
        <w:ind w:left="660" w:right="18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Level 1 – Unadjusted quoted prices in active markets that are accessible at the measurement date for identical, unrestricted assets or liabilities.</w:t>
      </w:r>
    </w:p>
    <w:p>
      <w:pPr>
        <w:spacing w:after="0" w:line="112" w:lineRule="exact"/>
        <w:rPr>
          <w:rFonts w:ascii="Arial" w:cs="Arial" w:eastAsia="Arial" w:hAnsi="Arial"/>
          <w:sz w:val="18"/>
          <w:szCs w:val="18"/>
          <w:b w:val="1"/>
          <w:bCs w:val="1"/>
          <w:color w:val="auto"/>
        </w:rPr>
      </w:pPr>
    </w:p>
    <w:p>
      <w:pPr>
        <w:ind w:left="6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Level 2 – Inputs to the valuation methodology include quoted prices for similar assets and liabilities in active markets, and inputs that are observable for the asset or liability, either directly or indirectly, for substantially the full term of the financial instrument. These are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8" w:lineRule="exact"/>
        <w:rPr>
          <w:rFonts w:ascii="Arial" w:cs="Arial" w:eastAsia="Arial" w:hAnsi="Arial"/>
          <w:sz w:val="18"/>
          <w:szCs w:val="18"/>
          <w:b w:val="1"/>
          <w:bCs w:val="1"/>
          <w:color w:val="auto"/>
        </w:rPr>
      </w:pPr>
    </w:p>
    <w:p>
      <w:pPr>
        <w:ind w:left="660" w:right="18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a summary of the Plan’s investments measured at fair value as of December 31, 2025 and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gridSpan w:val="9"/>
          </w:tcPr>
          <w:p>
            <w:pPr>
              <w:jc w:val="right"/>
              <w:spacing w:after="0"/>
              <w:rPr>
                <w:sz w:val="20"/>
                <w:szCs w:val="20"/>
                <w:color w:val="auto"/>
              </w:rPr>
            </w:pPr>
            <w:r>
              <w:rPr>
                <w:rFonts w:ascii="Arial" w:cs="Arial" w:eastAsia="Arial" w:hAnsi="Arial"/>
                <w:sz w:val="16"/>
                <w:szCs w:val="16"/>
                <w:b w:val="1"/>
                <w:bCs w:val="1"/>
                <w:color w:val="auto"/>
              </w:rPr>
              <w:t>Investments at fair value as of December 31, 2025</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
        </w:trPr>
        <w:tc>
          <w:tcPr>
            <w:tcW w:w="4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82"/>
        </w:trPr>
        <w:tc>
          <w:tcPr>
            <w:tcW w:w="44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center"/>
              <w:ind w:right="159"/>
              <w:spacing w:after="0" w:line="182" w:lineRule="exact"/>
              <w:rPr>
                <w:sz w:val="20"/>
                <w:szCs w:val="20"/>
                <w:color w:val="auto"/>
              </w:rPr>
            </w:pPr>
            <w:r>
              <w:rPr>
                <w:rFonts w:ascii="Arial" w:cs="Arial" w:eastAsia="Arial" w:hAnsi="Arial"/>
                <w:sz w:val="16"/>
                <w:szCs w:val="16"/>
                <w:color w:val="auto"/>
                <w:w w:val="95"/>
              </w:rPr>
              <w:t>Total</w:t>
            </w:r>
          </w:p>
        </w:tc>
        <w:tc>
          <w:tcPr>
            <w:tcW w:w="100" w:type="dxa"/>
            <w:vAlign w:val="bottom"/>
          </w:tcPr>
          <w:p>
            <w:pPr>
              <w:spacing w:after="0"/>
              <w:rPr>
                <w:sz w:val="15"/>
                <w:szCs w:val="15"/>
                <w:color w:val="auto"/>
              </w:rPr>
            </w:pPr>
          </w:p>
        </w:tc>
      </w:tr>
      <w:tr>
        <w:trPr>
          <w:trHeight w:val="175"/>
        </w:trPr>
        <w:tc>
          <w:tcPr>
            <w:tcW w:w="4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center"/>
              <w:ind w:right="340"/>
              <w:spacing w:after="0" w:line="175" w:lineRule="exact"/>
              <w:rPr>
                <w:sz w:val="20"/>
                <w:szCs w:val="20"/>
                <w:color w:val="auto"/>
              </w:rPr>
            </w:pPr>
            <w:r>
              <w:rPr>
                <w:rFonts w:ascii="Arial" w:cs="Arial" w:eastAsia="Arial" w:hAnsi="Arial"/>
                <w:sz w:val="16"/>
                <w:szCs w:val="16"/>
                <w:color w:val="auto"/>
              </w:rPr>
              <w:t>carrying</w:t>
            </w:r>
          </w:p>
        </w:tc>
      </w:tr>
      <w:tr>
        <w:trPr>
          <w:trHeight w:val="189"/>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6"/>
                <w:szCs w:val="16"/>
                <w:color w:val="auto"/>
              </w:rPr>
              <w:t>Quoted</w:t>
            </w:r>
          </w:p>
        </w:tc>
        <w:tc>
          <w:tcPr>
            <w:tcW w:w="26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color w:val="auto"/>
              </w:rPr>
              <w:t>Significant</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color w:val="auto"/>
              </w:rPr>
              <w:t>value in</w:t>
            </w:r>
          </w:p>
        </w:tc>
      </w:tr>
      <w:tr>
        <w:trPr>
          <w:trHeight w:val="189"/>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6"/>
                <w:szCs w:val="16"/>
                <w:color w:val="auto"/>
                <w:w w:val="98"/>
              </w:rPr>
              <w:t>prices</w:t>
            </w:r>
          </w:p>
        </w:tc>
        <w:tc>
          <w:tcPr>
            <w:tcW w:w="26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color w:val="auto"/>
                <w:w w:val="99"/>
              </w:rPr>
              <w:t>statement</w:t>
            </w:r>
          </w:p>
        </w:tc>
      </w:tr>
      <w:tr>
        <w:trPr>
          <w:trHeight w:val="175"/>
        </w:trPr>
        <w:tc>
          <w:tcPr>
            <w:tcW w:w="4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00"/>
              <w:spacing w:after="0" w:line="175" w:lineRule="exact"/>
              <w:rPr>
                <w:sz w:val="20"/>
                <w:szCs w:val="20"/>
                <w:color w:val="auto"/>
              </w:rPr>
            </w:pPr>
            <w:r>
              <w:rPr>
                <w:rFonts w:ascii="Arial" w:cs="Arial" w:eastAsia="Arial" w:hAnsi="Arial"/>
                <w:sz w:val="16"/>
                <w:szCs w:val="16"/>
                <w:color w:val="auto"/>
              </w:rPr>
              <w:t>in active</w:t>
            </w:r>
          </w:p>
        </w:tc>
        <w:tc>
          <w:tcPr>
            <w:tcW w:w="260" w:type="dxa"/>
            <w:vAlign w:val="bottom"/>
          </w:tcPr>
          <w:p>
            <w:pPr>
              <w:spacing w:after="0"/>
              <w:rPr>
                <w:sz w:val="15"/>
                <w:szCs w:val="15"/>
                <w:color w:val="auto"/>
              </w:rPr>
            </w:pPr>
          </w:p>
        </w:tc>
        <w:tc>
          <w:tcPr>
            <w:tcW w:w="1420" w:type="dxa"/>
            <w:vAlign w:val="bottom"/>
            <w:gridSpan w:val="2"/>
          </w:tcPr>
          <w:p>
            <w:pPr>
              <w:jc w:val="center"/>
              <w:ind w:right="340"/>
              <w:spacing w:after="0" w:line="175" w:lineRule="exact"/>
              <w:rPr>
                <w:sz w:val="20"/>
                <w:szCs w:val="20"/>
                <w:color w:val="auto"/>
              </w:rPr>
            </w:pPr>
            <w:r>
              <w:rPr>
                <w:rFonts w:ascii="Arial" w:cs="Arial" w:eastAsia="Arial" w:hAnsi="Arial"/>
                <w:sz w:val="16"/>
                <w:szCs w:val="16"/>
                <w:color w:val="auto"/>
              </w:rPr>
              <w:t>observable</w:t>
            </w:r>
          </w:p>
        </w:tc>
        <w:tc>
          <w:tcPr>
            <w:tcW w:w="200" w:type="dxa"/>
            <w:vAlign w:val="bottom"/>
          </w:tcPr>
          <w:p>
            <w:pPr>
              <w:spacing w:after="0"/>
              <w:rPr>
                <w:sz w:val="15"/>
                <w:szCs w:val="15"/>
                <w:color w:val="auto"/>
              </w:rPr>
            </w:pPr>
          </w:p>
        </w:tc>
        <w:tc>
          <w:tcPr>
            <w:tcW w:w="1500" w:type="dxa"/>
            <w:vAlign w:val="bottom"/>
            <w:gridSpan w:val="2"/>
          </w:tcPr>
          <w:p>
            <w:pPr>
              <w:jc w:val="center"/>
              <w:ind w:right="300"/>
              <w:spacing w:after="0" w:line="175" w:lineRule="exact"/>
              <w:rPr>
                <w:sz w:val="20"/>
                <w:szCs w:val="20"/>
                <w:color w:val="auto"/>
              </w:rPr>
            </w:pPr>
            <w:r>
              <w:rPr>
                <w:rFonts w:ascii="Arial" w:cs="Arial" w:eastAsia="Arial" w:hAnsi="Arial"/>
                <w:sz w:val="16"/>
                <w:szCs w:val="16"/>
                <w:color w:val="auto"/>
              </w:rPr>
              <w:t>Unobservable</w:t>
            </w:r>
          </w:p>
        </w:tc>
        <w:tc>
          <w:tcPr>
            <w:tcW w:w="240" w:type="dxa"/>
            <w:vAlign w:val="bottom"/>
          </w:tcPr>
          <w:p>
            <w:pPr>
              <w:spacing w:after="0"/>
              <w:rPr>
                <w:sz w:val="15"/>
                <w:szCs w:val="15"/>
                <w:color w:val="auto"/>
              </w:rPr>
            </w:pPr>
          </w:p>
        </w:tc>
        <w:tc>
          <w:tcPr>
            <w:tcW w:w="1440" w:type="dxa"/>
            <w:vAlign w:val="bottom"/>
            <w:gridSpan w:val="2"/>
          </w:tcPr>
          <w:p>
            <w:pPr>
              <w:jc w:val="center"/>
              <w:ind w:right="360"/>
              <w:spacing w:after="0" w:line="175" w:lineRule="exact"/>
              <w:rPr>
                <w:sz w:val="20"/>
                <w:szCs w:val="20"/>
                <w:color w:val="auto"/>
              </w:rPr>
            </w:pPr>
            <w:r>
              <w:rPr>
                <w:rFonts w:ascii="Arial" w:cs="Arial" w:eastAsia="Arial" w:hAnsi="Arial"/>
                <w:sz w:val="16"/>
                <w:szCs w:val="16"/>
                <w:color w:val="auto"/>
              </w:rPr>
              <w:t>of net assets</w:t>
            </w:r>
          </w:p>
        </w:tc>
      </w:tr>
      <w:tr>
        <w:trPr>
          <w:trHeight w:val="189"/>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6"/>
                <w:szCs w:val="16"/>
                <w:color w:val="auto"/>
              </w:rPr>
              <w:t>market</w:t>
            </w:r>
          </w:p>
        </w:tc>
        <w:tc>
          <w:tcPr>
            <w:tcW w:w="26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color w:val="auto"/>
              </w:rPr>
              <w:t>inputs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color w:val="auto"/>
              </w:rPr>
              <w:t>inputs</w:t>
            </w:r>
          </w:p>
        </w:tc>
        <w:tc>
          <w:tcPr>
            <w:tcW w:w="24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color w:val="auto"/>
              </w:rPr>
              <w:t>available</w:t>
            </w:r>
          </w:p>
        </w:tc>
      </w:tr>
      <w:tr>
        <w:trPr>
          <w:trHeight w:val="237"/>
        </w:trPr>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6"/>
                <w:szCs w:val="16"/>
                <w:color w:val="auto"/>
                <w:w w:val="99"/>
              </w:rPr>
              <w:t>(Level 1)</w:t>
            </w:r>
          </w:p>
        </w:tc>
        <w:tc>
          <w:tcPr>
            <w:tcW w:w="26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color w:val="auto"/>
                <w:w w:val="99"/>
              </w:rPr>
              <w:t>(Level 2)</w:t>
            </w:r>
          </w:p>
        </w:tc>
        <w:tc>
          <w:tcPr>
            <w:tcW w:w="2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color w:val="auto"/>
              </w:rPr>
              <w:t>(Level 3)</w:t>
            </w:r>
          </w:p>
        </w:tc>
        <w:tc>
          <w:tcPr>
            <w:tcW w:w="24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color w:val="auto"/>
                <w:w w:val="98"/>
              </w:rPr>
              <w:t>or benefits</w:t>
            </w:r>
          </w:p>
        </w:tc>
      </w:tr>
      <w:tr>
        <w:trPr>
          <w:trHeight w:val="21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LiveRamp Holdings, Inc. common stock (i)</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17,231,876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17,231,876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Common collective trusts (ii)</w:t>
            </w:r>
          </w:p>
        </w:tc>
        <w:tc>
          <w:tcPr>
            <w:tcW w:w="3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324,904,926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324,904,926</w:t>
            </w:r>
          </w:p>
        </w:tc>
        <w:tc>
          <w:tcPr>
            <w:tcW w:w="100" w:type="dxa"/>
            <w:vAlign w:val="bottom"/>
          </w:tcPr>
          <w:p>
            <w:pPr>
              <w:spacing w:after="0"/>
              <w:rPr>
                <w:sz w:val="18"/>
                <w:szCs w:val="18"/>
                <w:color w:val="auto"/>
              </w:rPr>
            </w:pPr>
          </w:p>
        </w:tc>
      </w:tr>
      <w:tr>
        <w:trPr>
          <w:trHeight w:val="28"/>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Mutual funds (iii)</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258,771,289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258,771,289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Participant-directed brokerage accounts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5,918,424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209,821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6,128,245</w:t>
            </w:r>
          </w:p>
        </w:tc>
        <w:tc>
          <w:tcPr>
            <w:tcW w:w="100" w:type="dxa"/>
            <w:vAlign w:val="bottom"/>
          </w:tcPr>
          <w:p>
            <w:pPr>
              <w:spacing w:after="0"/>
              <w:rPr>
                <w:sz w:val="18"/>
                <w:szCs w:val="18"/>
                <w:color w:val="auto"/>
              </w:rPr>
            </w:pPr>
          </w:p>
        </w:tc>
      </w:tr>
      <w:tr>
        <w:trPr>
          <w:trHeight w:val="28"/>
        </w:trPr>
        <w:tc>
          <w:tcPr>
            <w:tcW w:w="4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1"/>
        </w:trPr>
        <w:tc>
          <w:tcPr>
            <w:tcW w:w="4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investment assets at fair value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281,921,589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325,114,747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607,036,336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gridSpan w:val="9"/>
          </w:tcPr>
          <w:p>
            <w:pPr>
              <w:jc w:val="right"/>
              <w:spacing w:after="0"/>
              <w:rPr>
                <w:sz w:val="20"/>
                <w:szCs w:val="20"/>
                <w:color w:val="auto"/>
              </w:rPr>
            </w:pPr>
            <w:r>
              <w:rPr>
                <w:rFonts w:ascii="Arial" w:cs="Arial" w:eastAsia="Arial" w:hAnsi="Arial"/>
                <w:sz w:val="16"/>
                <w:szCs w:val="16"/>
                <w:b w:val="1"/>
                <w:bCs w:val="1"/>
                <w:color w:val="auto"/>
              </w:rPr>
              <w:t>Investments at fair value as of December 31, 2024</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
        </w:trPr>
        <w:tc>
          <w:tcPr>
            <w:tcW w:w="4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82"/>
        </w:trPr>
        <w:tc>
          <w:tcPr>
            <w:tcW w:w="44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center"/>
              <w:ind w:right="159"/>
              <w:spacing w:after="0" w:line="182" w:lineRule="exact"/>
              <w:rPr>
                <w:sz w:val="20"/>
                <w:szCs w:val="20"/>
                <w:color w:val="auto"/>
              </w:rPr>
            </w:pPr>
            <w:r>
              <w:rPr>
                <w:rFonts w:ascii="Arial" w:cs="Arial" w:eastAsia="Arial" w:hAnsi="Arial"/>
                <w:sz w:val="16"/>
                <w:szCs w:val="16"/>
                <w:color w:val="auto"/>
                <w:w w:val="95"/>
              </w:rPr>
              <w:t>Total</w:t>
            </w:r>
          </w:p>
        </w:tc>
        <w:tc>
          <w:tcPr>
            <w:tcW w:w="100" w:type="dxa"/>
            <w:vAlign w:val="bottom"/>
          </w:tcPr>
          <w:p>
            <w:pPr>
              <w:spacing w:after="0"/>
              <w:rPr>
                <w:sz w:val="15"/>
                <w:szCs w:val="15"/>
                <w:color w:val="auto"/>
              </w:rPr>
            </w:pPr>
          </w:p>
        </w:tc>
      </w:tr>
      <w:tr>
        <w:trPr>
          <w:trHeight w:val="176"/>
        </w:trPr>
        <w:tc>
          <w:tcPr>
            <w:tcW w:w="4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center"/>
              <w:ind w:right="340"/>
              <w:spacing w:after="0" w:line="175" w:lineRule="exact"/>
              <w:rPr>
                <w:sz w:val="20"/>
                <w:szCs w:val="20"/>
                <w:color w:val="auto"/>
              </w:rPr>
            </w:pPr>
            <w:r>
              <w:rPr>
                <w:rFonts w:ascii="Arial" w:cs="Arial" w:eastAsia="Arial" w:hAnsi="Arial"/>
                <w:sz w:val="16"/>
                <w:szCs w:val="16"/>
                <w:color w:val="auto"/>
              </w:rPr>
              <w:t>carrying</w:t>
            </w:r>
          </w:p>
        </w:tc>
      </w:tr>
      <w:tr>
        <w:trPr>
          <w:trHeight w:val="189"/>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6"/>
                <w:szCs w:val="16"/>
                <w:color w:val="auto"/>
              </w:rPr>
              <w:t>Quoted</w:t>
            </w:r>
          </w:p>
        </w:tc>
        <w:tc>
          <w:tcPr>
            <w:tcW w:w="26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color w:val="auto"/>
              </w:rPr>
              <w:t>Significant</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color w:val="auto"/>
              </w:rPr>
              <w:t>value in</w:t>
            </w:r>
          </w:p>
        </w:tc>
      </w:tr>
      <w:tr>
        <w:trPr>
          <w:trHeight w:val="189"/>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6"/>
                <w:szCs w:val="16"/>
                <w:color w:val="auto"/>
                <w:w w:val="98"/>
              </w:rPr>
              <w:t>prices</w:t>
            </w:r>
          </w:p>
        </w:tc>
        <w:tc>
          <w:tcPr>
            <w:tcW w:w="26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color w:val="auto"/>
                <w:w w:val="99"/>
              </w:rPr>
              <w:t>statement</w:t>
            </w:r>
          </w:p>
        </w:tc>
      </w:tr>
      <w:tr>
        <w:trPr>
          <w:trHeight w:val="176"/>
        </w:trPr>
        <w:tc>
          <w:tcPr>
            <w:tcW w:w="4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00"/>
              <w:spacing w:after="0" w:line="175" w:lineRule="exact"/>
              <w:rPr>
                <w:sz w:val="20"/>
                <w:szCs w:val="20"/>
                <w:color w:val="auto"/>
              </w:rPr>
            </w:pPr>
            <w:r>
              <w:rPr>
                <w:rFonts w:ascii="Arial" w:cs="Arial" w:eastAsia="Arial" w:hAnsi="Arial"/>
                <w:sz w:val="16"/>
                <w:szCs w:val="16"/>
                <w:color w:val="auto"/>
              </w:rPr>
              <w:t>in active</w:t>
            </w:r>
          </w:p>
        </w:tc>
        <w:tc>
          <w:tcPr>
            <w:tcW w:w="260" w:type="dxa"/>
            <w:vAlign w:val="bottom"/>
          </w:tcPr>
          <w:p>
            <w:pPr>
              <w:spacing w:after="0"/>
              <w:rPr>
                <w:sz w:val="15"/>
                <w:szCs w:val="15"/>
                <w:color w:val="auto"/>
              </w:rPr>
            </w:pPr>
          </w:p>
        </w:tc>
        <w:tc>
          <w:tcPr>
            <w:tcW w:w="1420" w:type="dxa"/>
            <w:vAlign w:val="bottom"/>
            <w:gridSpan w:val="2"/>
          </w:tcPr>
          <w:p>
            <w:pPr>
              <w:jc w:val="center"/>
              <w:ind w:right="340"/>
              <w:spacing w:after="0" w:line="175" w:lineRule="exact"/>
              <w:rPr>
                <w:sz w:val="20"/>
                <w:szCs w:val="20"/>
                <w:color w:val="auto"/>
              </w:rPr>
            </w:pPr>
            <w:r>
              <w:rPr>
                <w:rFonts w:ascii="Arial" w:cs="Arial" w:eastAsia="Arial" w:hAnsi="Arial"/>
                <w:sz w:val="16"/>
                <w:szCs w:val="16"/>
                <w:color w:val="auto"/>
              </w:rPr>
              <w:t>observable</w:t>
            </w:r>
          </w:p>
        </w:tc>
        <w:tc>
          <w:tcPr>
            <w:tcW w:w="200" w:type="dxa"/>
            <w:vAlign w:val="bottom"/>
          </w:tcPr>
          <w:p>
            <w:pPr>
              <w:spacing w:after="0"/>
              <w:rPr>
                <w:sz w:val="15"/>
                <w:szCs w:val="15"/>
                <w:color w:val="auto"/>
              </w:rPr>
            </w:pPr>
          </w:p>
        </w:tc>
        <w:tc>
          <w:tcPr>
            <w:tcW w:w="1500" w:type="dxa"/>
            <w:vAlign w:val="bottom"/>
            <w:gridSpan w:val="2"/>
          </w:tcPr>
          <w:p>
            <w:pPr>
              <w:jc w:val="center"/>
              <w:ind w:right="300"/>
              <w:spacing w:after="0" w:line="175" w:lineRule="exact"/>
              <w:rPr>
                <w:sz w:val="20"/>
                <w:szCs w:val="20"/>
                <w:color w:val="auto"/>
              </w:rPr>
            </w:pPr>
            <w:r>
              <w:rPr>
                <w:rFonts w:ascii="Arial" w:cs="Arial" w:eastAsia="Arial" w:hAnsi="Arial"/>
                <w:sz w:val="16"/>
                <w:szCs w:val="16"/>
                <w:color w:val="auto"/>
              </w:rPr>
              <w:t>Unobservable</w:t>
            </w:r>
          </w:p>
        </w:tc>
        <w:tc>
          <w:tcPr>
            <w:tcW w:w="240" w:type="dxa"/>
            <w:vAlign w:val="bottom"/>
          </w:tcPr>
          <w:p>
            <w:pPr>
              <w:spacing w:after="0"/>
              <w:rPr>
                <w:sz w:val="15"/>
                <w:szCs w:val="15"/>
                <w:color w:val="auto"/>
              </w:rPr>
            </w:pPr>
          </w:p>
        </w:tc>
        <w:tc>
          <w:tcPr>
            <w:tcW w:w="1440" w:type="dxa"/>
            <w:vAlign w:val="bottom"/>
            <w:gridSpan w:val="2"/>
          </w:tcPr>
          <w:p>
            <w:pPr>
              <w:jc w:val="center"/>
              <w:ind w:right="360"/>
              <w:spacing w:after="0" w:line="175" w:lineRule="exact"/>
              <w:rPr>
                <w:sz w:val="20"/>
                <w:szCs w:val="20"/>
                <w:color w:val="auto"/>
              </w:rPr>
            </w:pPr>
            <w:r>
              <w:rPr>
                <w:rFonts w:ascii="Arial" w:cs="Arial" w:eastAsia="Arial" w:hAnsi="Arial"/>
                <w:sz w:val="16"/>
                <w:szCs w:val="16"/>
                <w:color w:val="auto"/>
              </w:rPr>
              <w:t>of net assets</w:t>
            </w:r>
          </w:p>
        </w:tc>
      </w:tr>
      <w:tr>
        <w:trPr>
          <w:trHeight w:val="189"/>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6"/>
                <w:szCs w:val="16"/>
                <w:color w:val="auto"/>
              </w:rPr>
              <w:t>market</w:t>
            </w:r>
          </w:p>
        </w:tc>
        <w:tc>
          <w:tcPr>
            <w:tcW w:w="26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color w:val="auto"/>
              </w:rPr>
              <w:t>inputs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color w:val="auto"/>
              </w:rPr>
              <w:t>inputs</w:t>
            </w:r>
          </w:p>
        </w:tc>
        <w:tc>
          <w:tcPr>
            <w:tcW w:w="24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color w:val="auto"/>
              </w:rPr>
              <w:t>available</w:t>
            </w:r>
          </w:p>
        </w:tc>
      </w:tr>
      <w:tr>
        <w:trPr>
          <w:trHeight w:val="237"/>
        </w:trPr>
        <w:tc>
          <w:tcPr>
            <w:tcW w:w="44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w w:val="99"/>
              </w:rPr>
              <w:t>(Level 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w w:val="99"/>
              </w:rPr>
              <w:t>(Level 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(Level 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rPr>
              <w:t>for benefits</w:t>
            </w:r>
          </w:p>
        </w:tc>
        <w:tc>
          <w:tcPr>
            <w:tcW w:w="100" w:type="dxa"/>
            <w:vAlign w:val="bottom"/>
            <w:tcBorders>
              <w:bottom w:val="single" w:sz="8" w:color="CCEEFF"/>
            </w:tcBorders>
          </w:tcPr>
          <w:p>
            <w:pPr>
              <w:spacing w:after="0"/>
              <w:rPr>
                <w:sz w:val="20"/>
                <w:szCs w:val="20"/>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LiveRamp Holdings, Inc. common stock (i)</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19,929,295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19,929,295</w:t>
            </w:r>
          </w:p>
        </w:tc>
        <w:tc>
          <w:tcPr>
            <w:tcW w:w="100" w:type="dxa"/>
            <w:vAlign w:val="bottom"/>
            <w:shd w:val="clear" w:color="auto" w:fill="CCEEFF"/>
          </w:tcPr>
          <w:p>
            <w:pPr>
              <w:spacing w:after="0"/>
              <w:rPr>
                <w:sz w:val="19"/>
                <w:szCs w:val="19"/>
                <w:color w:val="auto"/>
              </w:rPr>
            </w:pPr>
          </w:p>
        </w:tc>
      </w:tr>
      <w:tr>
        <w:trPr>
          <w:trHeight w:val="242"/>
        </w:trPr>
        <w:tc>
          <w:tcPr>
            <w:tcW w:w="4480" w:type="dxa"/>
            <w:vAlign w:val="bottom"/>
          </w:tcPr>
          <w:p>
            <w:pPr>
              <w:ind w:left="20"/>
              <w:spacing w:after="0"/>
              <w:rPr>
                <w:sz w:val="20"/>
                <w:szCs w:val="20"/>
                <w:color w:val="auto"/>
              </w:rPr>
            </w:pPr>
            <w:r>
              <w:rPr>
                <w:rFonts w:ascii="Arial" w:cs="Arial" w:eastAsia="Arial" w:hAnsi="Arial"/>
                <w:sz w:val="16"/>
                <w:szCs w:val="16"/>
                <w:color w:val="auto"/>
              </w:rPr>
              <w:t>Common collective trusts (ii)</w:t>
            </w:r>
          </w:p>
        </w:tc>
        <w:tc>
          <w:tcPr>
            <w:tcW w:w="3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292,051,333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292,051,333</w:t>
            </w:r>
          </w:p>
        </w:tc>
        <w:tc>
          <w:tcPr>
            <w:tcW w:w="100" w:type="dxa"/>
            <w:vAlign w:val="bottom"/>
          </w:tcPr>
          <w:p>
            <w:pPr>
              <w:spacing w:after="0"/>
              <w:rPr>
                <w:sz w:val="21"/>
                <w:szCs w:val="21"/>
                <w:color w:val="auto"/>
              </w:rPr>
            </w:pPr>
          </w:p>
        </w:tc>
      </w:tr>
      <w:tr>
        <w:trPr>
          <w:trHeight w:val="244"/>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Mutual funds (iii)</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238,908,653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238,908,653</w:t>
            </w:r>
          </w:p>
        </w:tc>
        <w:tc>
          <w:tcPr>
            <w:tcW w:w="100" w:type="dxa"/>
            <w:vAlign w:val="bottom"/>
            <w:shd w:val="clear" w:color="auto" w:fill="CCEEFF"/>
          </w:tcPr>
          <w:p>
            <w:pPr>
              <w:spacing w:after="0"/>
              <w:rPr>
                <w:sz w:val="21"/>
                <w:szCs w:val="21"/>
                <w:color w:val="auto"/>
              </w:rPr>
            </w:pPr>
          </w:p>
        </w:tc>
      </w:tr>
      <w:tr>
        <w:trPr>
          <w:trHeight w:val="242"/>
        </w:trPr>
        <w:tc>
          <w:tcPr>
            <w:tcW w:w="4480" w:type="dxa"/>
            <w:vAlign w:val="bottom"/>
          </w:tcPr>
          <w:p>
            <w:pPr>
              <w:ind w:left="20"/>
              <w:spacing w:after="0"/>
              <w:rPr>
                <w:sz w:val="20"/>
                <w:szCs w:val="20"/>
                <w:color w:val="auto"/>
              </w:rPr>
            </w:pPr>
            <w:r>
              <w:rPr>
                <w:rFonts w:ascii="Arial" w:cs="Arial" w:eastAsia="Arial" w:hAnsi="Arial"/>
                <w:sz w:val="16"/>
                <w:szCs w:val="16"/>
                <w:color w:val="auto"/>
              </w:rPr>
              <w:t>Participant-directed brokerage accounts (iv)</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4,917,298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4,917,298</w:t>
            </w:r>
          </w:p>
        </w:tc>
        <w:tc>
          <w:tcPr>
            <w:tcW w:w="100" w:type="dxa"/>
            <w:vAlign w:val="bottom"/>
          </w:tcPr>
          <w:p>
            <w:pPr>
              <w:spacing w:after="0"/>
              <w:rPr>
                <w:sz w:val="21"/>
                <w:szCs w:val="21"/>
                <w:color w:val="auto"/>
              </w:rPr>
            </w:pPr>
          </w:p>
        </w:tc>
      </w:tr>
      <w:tr>
        <w:trPr>
          <w:trHeight w:val="235"/>
        </w:trPr>
        <w:tc>
          <w:tcPr>
            <w:tcW w:w="4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investment assets at fair value</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263,755,246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292,051,333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555,806,579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51" w:lineRule="exact"/>
        <w:rPr>
          <w:sz w:val="20"/>
          <w:szCs w:val="20"/>
          <w:color w:val="auto"/>
        </w:rPr>
      </w:pPr>
    </w:p>
    <w:p>
      <w:pPr>
        <w:ind w:left="1620" w:hanging="64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Valued at the closing price reported in the active market in which the individual securities are traded.</w:t>
      </w:r>
    </w:p>
    <w:p>
      <w:pPr>
        <w:spacing w:after="0" w:line="184" w:lineRule="exact"/>
        <w:rPr>
          <w:rFonts w:ascii="Arial" w:cs="Arial" w:eastAsia="Arial" w:hAnsi="Arial"/>
          <w:sz w:val="18"/>
          <w:szCs w:val="18"/>
          <w:color w:val="auto"/>
        </w:rPr>
      </w:pPr>
    </w:p>
    <w:p>
      <w:pPr>
        <w:ind w:left="1620" w:right="100" w:hanging="640"/>
        <w:spacing w:after="0" w:line="259" w:lineRule="auto"/>
        <w:tabs>
          <w:tab w:leader="none" w:pos="1617"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Common collective trusts (“CCT”): </w:t>
      </w:r>
      <w:r>
        <w:rPr>
          <w:rFonts w:ascii="Arial" w:cs="Arial" w:eastAsia="Arial" w:hAnsi="Arial"/>
          <w:sz w:val="18"/>
          <w:szCs w:val="18"/>
          <w:color w:val="auto"/>
        </w:rPr>
        <w:t>Valued daily at the net asset value (“NAV”) of the underlying CCT. The NAV is</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fair value of the underlying investments held by the fund less its liabilities. Participant transactions (purchases and sales) may occur daily. Were the Plan to initiate a full redemption of the collective trust, the investment advisor reserves the right to temporarily delay withdrawal from the trust in order to ensure that securities liquidations will be carried out in an orderly business manner.</w:t>
      </w:r>
    </w:p>
    <w:p>
      <w:pPr>
        <w:spacing w:after="0" w:line="152" w:lineRule="exact"/>
        <w:rPr>
          <w:rFonts w:ascii="Arial" w:cs="Arial" w:eastAsia="Arial" w:hAnsi="Arial"/>
          <w:sz w:val="18"/>
          <w:szCs w:val="18"/>
          <w:color w:val="auto"/>
        </w:rPr>
      </w:pPr>
    </w:p>
    <w:p>
      <w:pPr>
        <w:ind w:left="1620" w:right="40" w:hanging="640"/>
        <w:spacing w:after="0" w:line="268" w:lineRule="auto"/>
        <w:tabs>
          <w:tab w:leader="none" w:pos="1617"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Mutual funds: </w:t>
      </w:r>
      <w:r>
        <w:rPr>
          <w:rFonts w:ascii="Arial" w:cs="Arial" w:eastAsia="Arial" w:hAnsi="Arial"/>
          <w:sz w:val="18"/>
          <w:szCs w:val="18"/>
          <w:color w:val="auto"/>
        </w:rPr>
        <w:t>Valued at the daily closing price as reported by the fund. Mutual funds held by the Plan are open-end</w:t>
      </w:r>
      <w:r>
        <w:rPr>
          <w:rFonts w:ascii="Arial" w:cs="Arial" w:eastAsia="Arial" w:hAnsi="Arial"/>
          <w:sz w:val="18"/>
          <w:szCs w:val="18"/>
          <w:b w:val="1"/>
          <w:bCs w:val="1"/>
          <w:color w:val="auto"/>
        </w:rPr>
        <w:t xml:space="preserve"> </w:t>
      </w:r>
      <w:r>
        <w:rPr>
          <w:rFonts w:ascii="Arial" w:cs="Arial" w:eastAsia="Arial" w:hAnsi="Arial"/>
          <w:sz w:val="18"/>
          <w:szCs w:val="18"/>
          <w:color w:val="auto"/>
        </w:rPr>
        <w:t>mutual funds that are registered with the SEC. These funds are required to publish their daily NAV and to transact at that price. The mutual funds held by the Plan are deemed to be actively traded.</w:t>
      </w:r>
    </w:p>
    <w:p>
      <w:pPr>
        <w:spacing w:after="0" w:line="130" w:lineRule="exact"/>
        <w:rPr>
          <w:rFonts w:ascii="Arial" w:cs="Arial" w:eastAsia="Arial" w:hAnsi="Arial"/>
          <w:sz w:val="18"/>
          <w:szCs w:val="18"/>
          <w:color w:val="auto"/>
        </w:rPr>
      </w:pPr>
    </w:p>
    <w:p>
      <w:pPr>
        <w:jc w:val="both"/>
        <w:ind w:left="1620" w:right="240" w:hanging="640"/>
        <w:spacing w:after="0" w:line="268" w:lineRule="auto"/>
        <w:tabs>
          <w:tab w:leader="none" w:pos="1613"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Participant-directed brokerage accounts: </w:t>
      </w:r>
      <w:r>
        <w:rPr>
          <w:rFonts w:ascii="Arial" w:cs="Arial" w:eastAsia="Arial" w:hAnsi="Arial"/>
          <w:sz w:val="18"/>
          <w:szCs w:val="18"/>
          <w:color w:val="auto"/>
        </w:rPr>
        <w:t>Contains common stock, mutual funds, real estate investment trusts,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of deposit. Real estate investment trusts are valued the same as common stock. Certificates of deposit are valued at the present value of expected future cash flows.</w:t>
      </w:r>
    </w:p>
    <w:p>
      <w:pPr>
        <w:spacing w:after="0" w:line="130" w:lineRule="exact"/>
        <w:rPr>
          <w:sz w:val="20"/>
          <w:szCs w:val="20"/>
          <w:color w:val="auto"/>
        </w:rPr>
      </w:pPr>
    </w:p>
    <w:p>
      <w:pPr>
        <w:ind w:left="660" w:right="80"/>
        <w:spacing w:after="0" w:line="262" w:lineRule="auto"/>
        <w:rPr>
          <w:sz w:val="20"/>
          <w:szCs w:val="20"/>
          <w:color w:val="auto"/>
        </w:rPr>
      </w:pPr>
      <w:r>
        <w:rPr>
          <w:rFonts w:ascii="Arial" w:cs="Arial" w:eastAsia="Arial" w:hAnsi="Arial"/>
          <w:sz w:val="18"/>
          <w:szCs w:val="18"/>
          <w:color w:val="auto"/>
        </w:rPr>
        <w:t>The methods described above may produce a fair value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as of the reporting date.</w:t>
      </w:r>
    </w:p>
    <w:p>
      <w:pPr>
        <w:spacing w:after="0" w:line="392"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Plan Administration</w:t>
      </w:r>
    </w:p>
    <w:p>
      <w:pPr>
        <w:spacing w:after="0" w:line="18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Plan is administered by the Administrative Committee. T. Rowe Price is the recordkeeper and trustee of the Plan.</w:t>
      </w:r>
    </w:p>
    <w:p>
      <w:pPr>
        <w:spacing w:after="0" w:line="200" w:lineRule="exact"/>
        <w:rPr>
          <w:rFonts w:ascii="Arial" w:cs="Arial" w:eastAsia="Arial" w:hAnsi="Arial"/>
          <w:sz w:val="18"/>
          <w:szCs w:val="18"/>
          <w:b w:val="1"/>
          <w:bCs w:val="1"/>
          <w:color w:val="auto"/>
        </w:rPr>
      </w:pPr>
    </w:p>
    <w:p>
      <w:pPr>
        <w:spacing w:after="0" w:line="227" w:lineRule="exact"/>
        <w:rPr>
          <w:rFonts w:ascii="Arial" w:cs="Arial" w:eastAsia="Arial" w:hAnsi="Arial"/>
          <w:sz w:val="18"/>
          <w:szCs w:val="18"/>
          <w:b w:val="1"/>
          <w:bCs w:val="1"/>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Tax Status</w:t>
      </w:r>
    </w:p>
    <w:p>
      <w:pPr>
        <w:spacing w:after="0" w:line="198" w:lineRule="exact"/>
        <w:rPr>
          <w:rFonts w:ascii="Arial" w:cs="Arial" w:eastAsia="Arial" w:hAnsi="Arial"/>
          <w:sz w:val="18"/>
          <w:szCs w:val="18"/>
          <w:b w:val="1"/>
          <w:bCs w:val="1"/>
          <w:color w:val="auto"/>
        </w:rPr>
      </w:pPr>
    </w:p>
    <w:p>
      <w:pPr>
        <w:ind w:left="660" w:right="3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Internal Revenue Service (“IRS”) has determined and informed the Company in a letter dated May 30, 2014, that the Plan is designed in accordance with applicable sections of the IRC. The Plan has been amended since receiving the determination letter. The plan administrator believes that the Plan is currently designed and being operated in compliance with the applicable requirements of the IRC.</w:t>
      </w:r>
    </w:p>
    <w:p>
      <w:pPr>
        <w:spacing w:after="0" w:line="135" w:lineRule="exact"/>
        <w:rPr>
          <w:rFonts w:ascii="Arial" w:cs="Arial" w:eastAsia="Arial" w:hAnsi="Arial"/>
          <w:sz w:val="18"/>
          <w:szCs w:val="18"/>
          <w:b w:val="1"/>
          <w:bCs w:val="1"/>
          <w:color w:val="auto"/>
        </w:rPr>
      </w:pPr>
    </w:p>
    <w:p>
      <w:pPr>
        <w:ind w:left="660" w:right="2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Management is required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concluded that as of December 31, 2025 and 2024, there are no uncertain positions taken or expected to be taken. The Plan has recognized no interest or penalties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120"/>
        <w:spacing w:after="0" w:line="287" w:lineRule="auto"/>
        <w:rPr>
          <w:sz w:val="20"/>
          <w:szCs w:val="20"/>
          <w:color w:val="auto"/>
        </w:rPr>
      </w:pPr>
      <w:r>
        <w:rPr>
          <w:rFonts w:ascii="Arial" w:cs="Arial" w:eastAsia="Arial" w:hAnsi="Arial"/>
          <w:sz w:val="18"/>
          <w:szCs w:val="18"/>
          <w:color w:val="auto"/>
        </w:rPr>
        <w:t>related to uncertain tax positions. The Plan is subject to routine audits by taxing jurisdictions; however, there are currently no audits for any tax periods in progress.</w:t>
      </w:r>
    </w:p>
    <w:p>
      <w:pPr>
        <w:spacing w:after="0" w:line="355"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98" w:lineRule="exact"/>
        <w:rPr>
          <w:rFonts w:ascii="Arial" w:cs="Arial" w:eastAsia="Arial" w:hAnsi="Arial"/>
          <w:sz w:val="18"/>
          <w:szCs w:val="18"/>
          <w:b w:val="1"/>
          <w:bCs w:val="1"/>
          <w:color w:val="auto"/>
        </w:rPr>
      </w:pPr>
    </w:p>
    <w:p>
      <w:pPr>
        <w:ind w:left="66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Certain investments represent mutual funds and common and collective trusts managed by T. Rowe Price, the trustee. Other related party transactions involve the purchases, sales and holdings of common stock of the Company and notes receivable from participants. During 2025 total fees paid to related parties were $350,478.</w:t>
      </w:r>
    </w:p>
    <w:p>
      <w:pPr>
        <w:spacing w:after="0" w:line="13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provides certain administrative services at no cost to the Plan.</w:t>
      </w:r>
    </w:p>
    <w:p>
      <w:pPr>
        <w:spacing w:after="0" w:line="200" w:lineRule="exact"/>
        <w:rPr>
          <w:rFonts w:ascii="Arial" w:cs="Arial" w:eastAsia="Arial" w:hAnsi="Arial"/>
          <w:sz w:val="18"/>
          <w:szCs w:val="18"/>
          <w:b w:val="1"/>
          <w:bCs w:val="1"/>
          <w:color w:val="auto"/>
        </w:rPr>
      </w:pPr>
    </w:p>
    <w:p>
      <w:pPr>
        <w:spacing w:after="0" w:line="227" w:lineRule="exact"/>
        <w:rPr>
          <w:rFonts w:ascii="Arial" w:cs="Arial" w:eastAsia="Arial" w:hAnsi="Arial"/>
          <w:sz w:val="18"/>
          <w:szCs w:val="18"/>
          <w:b w:val="1"/>
          <w:bCs w:val="1"/>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198" w:lineRule="exact"/>
        <w:rPr>
          <w:rFonts w:ascii="Arial" w:cs="Arial" w:eastAsia="Arial" w:hAnsi="Arial"/>
          <w:sz w:val="18"/>
          <w:szCs w:val="18"/>
          <w:b w:val="1"/>
          <w:bCs w:val="1"/>
          <w:color w:val="auto"/>
        </w:rPr>
      </w:pPr>
    </w:p>
    <w:p>
      <w:pPr>
        <w:ind w:left="660" w:right="2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Although it has not expressed any intent to do so, the Company has the right under the Plan to discontinue its contributions at any time and to terminate the Plan subject to the provisions of ERISA. Upon complete discontinuance of contributions, termination, or partial termination of the Plan, participants will become 100% vested in their employer contributions. Upon full termination of the Plan, the value of such accounts shall be distributed as provided in the Plan.</w:t>
      </w:r>
    </w:p>
    <w:p>
      <w:pPr>
        <w:spacing w:after="0" w:line="378" w:lineRule="exact"/>
        <w:rPr>
          <w:rFonts w:ascii="Arial" w:cs="Arial" w:eastAsia="Arial" w:hAnsi="Arial"/>
          <w:sz w:val="18"/>
          <w:szCs w:val="18"/>
          <w:b w:val="1"/>
          <w:bCs w:val="1"/>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84" w:lineRule="exact"/>
        <w:rPr>
          <w:rFonts w:ascii="Arial" w:cs="Arial" w:eastAsia="Arial" w:hAnsi="Arial"/>
          <w:sz w:val="18"/>
          <w:szCs w:val="18"/>
          <w:b w:val="1"/>
          <w:bCs w:val="1"/>
          <w:color w:val="auto"/>
        </w:rPr>
      </w:pPr>
    </w:p>
    <w:p>
      <w:pPr>
        <w:ind w:left="660" w:right="1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those changes could materially affect the amounts reported in the statements of net assets available for benefits.</w:t>
      </w:r>
    </w:p>
    <w:p>
      <w:pPr>
        <w:spacing w:after="0" w:line="149" w:lineRule="exact"/>
        <w:rPr>
          <w:rFonts w:ascii="Arial" w:cs="Arial" w:eastAsia="Arial" w:hAnsi="Arial"/>
          <w:sz w:val="18"/>
          <w:szCs w:val="18"/>
          <w:b w:val="1"/>
          <w:bCs w:val="1"/>
          <w:color w:val="auto"/>
        </w:rPr>
      </w:pPr>
    </w:p>
    <w:p>
      <w:pPr>
        <w:ind w:left="660" w:right="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Market conditions may result in a high degree of volatility and increase the risks and short-term liquidity associated with certain investments held by the Plan, which could impact the value of investments after the date of these financial statements. Due to uncertainties inherent in the estimations and assumptions process, it is at least reasonably possible that changes in these estimates and assumptions in the near term would be material to the financial statements.</w:t>
      </w:r>
    </w:p>
    <w:p>
      <w:pPr>
        <w:spacing w:after="0" w:line="135" w:lineRule="exact"/>
        <w:rPr>
          <w:rFonts w:ascii="Arial" w:cs="Arial" w:eastAsia="Arial" w:hAnsi="Arial"/>
          <w:sz w:val="18"/>
          <w:szCs w:val="18"/>
          <w:b w:val="1"/>
          <w:bCs w:val="1"/>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Pending Merger</w:t>
      </w:r>
    </w:p>
    <w:p>
      <w:pPr>
        <w:spacing w:after="0" w:line="184" w:lineRule="exact"/>
        <w:rPr>
          <w:rFonts w:ascii="Arial" w:cs="Arial" w:eastAsia="Arial" w:hAnsi="Arial"/>
          <w:sz w:val="18"/>
          <w:szCs w:val="18"/>
          <w:b w:val="1"/>
          <w:bCs w:val="1"/>
          <w:color w:val="auto"/>
        </w:rPr>
      </w:pPr>
    </w:p>
    <w:p>
      <w:pPr>
        <w:ind w:left="6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May 16, 2026, the Company entered into an Agreement and Plan of Merger (the “Merger Agreement”) with MMS USA Holdings, Inc., a Delaware corporation (“Parent”) and a wholly owned subsidiary of Publicis (defined below), Covey Merger Sub, Inc., a Delaware corporation and a wholly owned subsidiary of Parent ("Merger Sub"), and, solely for the purpose of Section 10.14 thereto, Publicis Groupe S.A., a French société anonyme ("Publicis"), pursuant to which, among other things, at the effective time of the Merger (the "Effective Time"), Merger Sub will merge with and into the Company (the “Merger”), with the Company continuing as the surviving corporation and a direct wholly owned subsidiary of Parent.</w:t>
      </w:r>
    </w:p>
    <w:p>
      <w:pPr>
        <w:spacing w:after="0" w:line="209" w:lineRule="exact"/>
        <w:rPr>
          <w:rFonts w:ascii="Arial" w:cs="Arial" w:eastAsia="Arial" w:hAnsi="Arial"/>
          <w:sz w:val="18"/>
          <w:szCs w:val="18"/>
          <w:b w:val="1"/>
          <w:bCs w:val="1"/>
          <w:color w:val="auto"/>
        </w:rPr>
      </w:pPr>
    </w:p>
    <w:p>
      <w:pPr>
        <w:ind w:left="6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consummation of the Merger is subject to various conditions, including, among others, customary conditions relating to: (i) approval of the Merger and the adoption of the Merger Agreement by the Company’s stockholders; (ii) the absence of any law or order making unlawful or restraining, enjoining or otherwise prohibiting consummation of the Merger; (iii) (a) expiration or termination of any applicable waiting periods (and any extension thereof) under the Hart-Scott-Rodino Antitrust Improvements Act of 1976, as amended, (b) the receipt of certain non-U.S. antitrust and foreign direct investment approvals and (c) the receipt of the CFIUS Approval (as defined in the Merger Agreement); (iv) the absence of any material adverse effect with respect to the Company; and (v) other customary conditions relating to the accuracy of representations and warranties and performance of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660" w:right="280"/>
        <w:spacing w:after="0" w:line="268" w:lineRule="auto"/>
        <w:rPr>
          <w:sz w:val="20"/>
          <w:szCs w:val="20"/>
          <w:color w:val="auto"/>
        </w:rPr>
      </w:pPr>
      <w:r>
        <w:rPr>
          <w:rFonts w:ascii="Arial" w:cs="Arial" w:eastAsia="Arial" w:hAnsi="Arial"/>
          <w:sz w:val="18"/>
          <w:szCs w:val="18"/>
          <w:color w:val="auto"/>
        </w:rPr>
        <w:t>The Merger Agreement also contains customary representations, warranties and covenants of the Company, Parent and Merger Sub, including, among others, covenants regarding the operation of the business of the Company and its subsidiaries prior to the Effective Time.</w:t>
      </w:r>
    </w:p>
    <w:p>
      <w:pPr>
        <w:spacing w:after="0" w:line="198"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If the Merger is consummated, each outstanding share of the Company's common stock will be cancelled and automatically converted into the right to receive the agreed merger consideration. Concurrently, the Company Common Stock will be delisted from the New York Stock Exchange and deregistered under the Securities Exchange Act of 1934, as amended, provided that such delisting and termination will not be effective until at or after the Effective Time.</w:t>
      </w: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LIVERAMP HOLDINGS, INC.</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RETIREMENT SAVINGS PLAN</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540" w:type="dxa"/>
            <w:vAlign w:val="bottom"/>
            <w:gridSpan w:val="4"/>
          </w:tcPr>
          <w:p>
            <w:pPr>
              <w:jc w:val="center"/>
              <w:spacing w:after="0"/>
              <w:rPr>
                <w:sz w:val="20"/>
                <w:szCs w:val="20"/>
                <w:color w:val="auto"/>
              </w:rPr>
            </w:pPr>
            <w:r>
              <w:rPr>
                <w:rFonts w:ascii="Arial" w:cs="Arial" w:eastAsia="Arial" w:hAnsi="Arial"/>
                <w:sz w:val="16"/>
                <w:szCs w:val="16"/>
                <w:color w:val="auto"/>
              </w:rPr>
              <w:t>Schedule H, Line 4i – Schedule of Assets (Held at End of Year)</w:t>
            </w: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gridSpan w:val="2"/>
          </w:tcPr>
          <w:p>
            <w:pPr>
              <w:jc w:val="center"/>
              <w:ind w:right="320"/>
              <w:spacing w:after="0"/>
              <w:rPr>
                <w:sz w:val="20"/>
                <w:szCs w:val="20"/>
                <w:color w:val="auto"/>
              </w:rPr>
            </w:pPr>
            <w:r>
              <w:rPr>
                <w:rFonts w:ascii="Arial" w:cs="Arial" w:eastAsia="Arial" w:hAnsi="Arial"/>
                <w:sz w:val="16"/>
                <w:szCs w:val="16"/>
                <w:color w:val="auto"/>
              </w:rPr>
              <w:t>December 31, 2025</w:t>
            </w:r>
          </w:p>
        </w:tc>
        <w:tc>
          <w:tcPr>
            <w:tcW w:w="0" w:type="dxa"/>
            <w:vAlign w:val="bottom"/>
          </w:tcPr>
          <w:p>
            <w:pPr>
              <w:spacing w:after="0"/>
              <w:rPr>
                <w:sz w:val="1"/>
                <w:szCs w:val="1"/>
                <w:color w:val="auto"/>
              </w:rPr>
            </w:pPr>
          </w:p>
        </w:tc>
      </w:tr>
      <w:tr>
        <w:trPr>
          <w:trHeight w:val="393"/>
        </w:trPr>
        <w:tc>
          <w:tcPr>
            <w:tcW w:w="240" w:type="dxa"/>
            <w:vAlign w:val="bottom"/>
          </w:tcPr>
          <w:p>
            <w:pPr>
              <w:spacing w:after="0"/>
              <w:rPr>
                <w:sz w:val="24"/>
                <w:szCs w:val="24"/>
                <w:color w:val="auto"/>
              </w:rPr>
            </w:pPr>
          </w:p>
        </w:tc>
        <w:tc>
          <w:tcPr>
            <w:tcW w:w="3100" w:type="dxa"/>
            <w:vAlign w:val="bottom"/>
          </w:tcPr>
          <w:p>
            <w:pPr>
              <w:ind w:left="500"/>
              <w:spacing w:after="0"/>
              <w:rPr>
                <w:sz w:val="20"/>
                <w:szCs w:val="20"/>
                <w:color w:val="auto"/>
              </w:rPr>
            </w:pPr>
            <w:r>
              <w:rPr>
                <w:rFonts w:ascii="Arial" w:cs="Arial" w:eastAsia="Arial" w:hAnsi="Arial"/>
                <w:sz w:val="16"/>
                <w:szCs w:val="16"/>
                <w:b w:val="1"/>
                <w:bCs w:val="1"/>
                <w:color w:val="auto"/>
              </w:rPr>
              <w:t>Identity of issuer, borrower,</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gridSpan w:val="2"/>
            <w:vMerge w:val="restart"/>
          </w:tcPr>
          <w:p>
            <w:pPr>
              <w:ind w:left="16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3100" w:type="dxa"/>
            <w:vAlign w:val="bottom"/>
          </w:tcPr>
          <w:p>
            <w:pPr>
              <w:ind w:left="700"/>
              <w:spacing w:after="0"/>
              <w:rPr>
                <w:sz w:val="20"/>
                <w:szCs w:val="20"/>
                <w:color w:val="auto"/>
              </w:rPr>
            </w:pPr>
            <w:r>
              <w:rPr>
                <w:rFonts w:ascii="Arial" w:cs="Arial" w:eastAsia="Arial" w:hAnsi="Arial"/>
                <w:sz w:val="16"/>
                <w:szCs w:val="16"/>
                <w:b w:val="1"/>
                <w:bCs w:val="1"/>
                <w:color w:val="auto"/>
              </w:rPr>
              <w:t>lessor, or similar party</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95"/>
              </w:rPr>
              <w:t>*</w:t>
            </w:r>
          </w:p>
        </w:tc>
        <w:tc>
          <w:tcPr>
            <w:tcW w:w="310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LiveRamp Holdings, Inc.</w:t>
            </w:r>
          </w:p>
        </w:tc>
        <w:tc>
          <w:tcPr>
            <w:tcW w:w="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Common stock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40" w:type="dxa"/>
            <w:vAlign w:val="bottom"/>
          </w:tcPr>
          <w:p>
            <w:pPr>
              <w:spacing w:after="0"/>
              <w:rPr>
                <w:sz w:val="21"/>
                <w:szCs w:val="21"/>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Participant Directed Brokerage Accounts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20"/>
              <w:spacing w:after="0"/>
              <w:rPr>
                <w:sz w:val="20"/>
                <w:szCs w:val="20"/>
                <w:color w:val="auto"/>
              </w:rPr>
            </w:pPr>
            <w:r>
              <w:rPr>
                <w:rFonts w:ascii="Arial" w:cs="Arial" w:eastAsia="Arial" w:hAnsi="Arial"/>
                <w:sz w:val="16"/>
                <w:szCs w:val="16"/>
                <w:color w:val="auto"/>
              </w:rPr>
              <w:t>Tradelink Investments</w:t>
            </w:r>
          </w:p>
        </w:tc>
        <w:tc>
          <w:tcPr>
            <w:tcW w:w="0" w:type="dxa"/>
            <w:vAlign w:val="bottom"/>
          </w:tcPr>
          <w:p>
            <w:pPr>
              <w:spacing w:after="0"/>
              <w:rPr>
                <w:sz w:val="1"/>
                <w:szCs w:val="1"/>
                <w:color w:val="auto"/>
              </w:rPr>
            </w:pPr>
          </w:p>
        </w:tc>
      </w:tr>
      <w:tr>
        <w:trPr>
          <w:trHeight w:val="499"/>
        </w:trPr>
        <w:tc>
          <w:tcPr>
            <w:tcW w:w="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gridSpan w:val="2"/>
          </w:tcPr>
          <w:p>
            <w:pPr>
              <w:ind w:left="20"/>
              <w:spacing w:after="0"/>
              <w:rPr>
                <w:sz w:val="20"/>
                <w:szCs w:val="20"/>
                <w:color w:val="auto"/>
              </w:rPr>
            </w:pPr>
            <w:r>
              <w:rPr>
                <w:rFonts w:ascii="Arial" w:cs="Arial" w:eastAsia="Arial" w:hAnsi="Arial"/>
                <w:sz w:val="16"/>
                <w:szCs w:val="16"/>
                <w:color w:val="auto"/>
              </w:rPr>
              <w:t>Mutual funds:</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PIMCO Total Return Instl.</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MetWest Total Return Bond Fund Class I</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Arial" w:cs="Arial" w:eastAsia="Arial" w:hAnsi="Arial"/>
                <w:sz w:val="16"/>
                <w:szCs w:val="16"/>
                <w:color w:val="auto"/>
                <w:w w:val="95"/>
              </w:rPr>
              <w:t>*</w:t>
            </w:r>
          </w:p>
        </w:tc>
        <w:tc>
          <w:tcPr>
            <w:tcW w:w="3100" w:type="dxa"/>
            <w:vAlign w:val="bottom"/>
          </w:tcPr>
          <w:p>
            <w:pPr>
              <w:ind w:left="160"/>
              <w:spacing w:after="0"/>
              <w:rPr>
                <w:sz w:val="20"/>
                <w:szCs w:val="20"/>
                <w:color w:val="auto"/>
              </w:rPr>
            </w:pPr>
            <w:r>
              <w:rPr>
                <w:rFonts w:ascii="Arial" w:cs="Arial" w:eastAsia="Arial" w:hAnsi="Arial"/>
                <w:sz w:val="16"/>
                <w:szCs w:val="16"/>
                <w:color w:val="auto"/>
              </w:rPr>
              <w:t>T. Rowe Price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Government Money</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Harbor International Fund</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Arial" w:cs="Arial" w:eastAsia="Arial" w:hAnsi="Arial"/>
                <w:sz w:val="16"/>
                <w:szCs w:val="16"/>
                <w:color w:val="auto"/>
                <w:w w:val="95"/>
              </w:rPr>
              <w:t>*</w:t>
            </w:r>
          </w:p>
        </w:tc>
        <w:tc>
          <w:tcPr>
            <w:tcW w:w="3100" w:type="dxa"/>
            <w:vAlign w:val="bottom"/>
          </w:tcPr>
          <w:p>
            <w:pPr>
              <w:ind w:left="160"/>
              <w:spacing w:after="0"/>
              <w:rPr>
                <w:sz w:val="20"/>
                <w:szCs w:val="20"/>
                <w:color w:val="auto"/>
              </w:rPr>
            </w:pPr>
            <w:r>
              <w:rPr>
                <w:rFonts w:ascii="Arial" w:cs="Arial" w:eastAsia="Arial" w:hAnsi="Arial"/>
                <w:sz w:val="16"/>
                <w:szCs w:val="16"/>
                <w:color w:val="auto"/>
              </w:rPr>
              <w:t>T. Rowe Price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Balanced Fund</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JP Morgan Large Cap Growth Fund, R6</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Fidelity Large Cap Growth Index</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Diamond Hill Large Cap Y</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JP Morgan Mid Cap Value Instl.</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Arial" w:cs="Arial" w:eastAsia="Arial" w:hAnsi="Arial"/>
                <w:sz w:val="16"/>
                <w:szCs w:val="16"/>
                <w:color w:val="auto"/>
                <w:w w:val="95"/>
              </w:rPr>
              <w:t>*</w:t>
            </w:r>
          </w:p>
        </w:tc>
        <w:tc>
          <w:tcPr>
            <w:tcW w:w="3100" w:type="dxa"/>
            <w:vAlign w:val="bottom"/>
          </w:tcPr>
          <w:p>
            <w:pPr>
              <w:ind w:left="160"/>
              <w:spacing w:after="0"/>
              <w:rPr>
                <w:sz w:val="20"/>
                <w:szCs w:val="20"/>
                <w:color w:val="auto"/>
              </w:rPr>
            </w:pPr>
            <w:r>
              <w:rPr>
                <w:rFonts w:ascii="Arial" w:cs="Arial" w:eastAsia="Arial" w:hAnsi="Arial"/>
                <w:sz w:val="16"/>
                <w:szCs w:val="16"/>
                <w:color w:val="auto"/>
              </w:rPr>
              <w:t>T. Rowe Price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Integrated US Small Cap Growth EQ</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American Funds Europacific Growth – R6</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Schwab S&amp;P 500 Index Select</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280"/>
              <w:spacing w:after="0"/>
              <w:rPr>
                <w:sz w:val="20"/>
                <w:szCs w:val="20"/>
                <w:color w:val="auto"/>
              </w:rPr>
            </w:pPr>
            <w:r>
              <w:rPr>
                <w:rFonts w:ascii="Arial" w:cs="Arial" w:eastAsia="Arial" w:hAnsi="Arial"/>
                <w:sz w:val="16"/>
                <w:szCs w:val="16"/>
                <w:color w:val="auto"/>
              </w:rPr>
              <w:t>Total mutual funds</w:t>
            </w:r>
          </w:p>
        </w:tc>
        <w:tc>
          <w:tcPr>
            <w:tcW w:w="0" w:type="dxa"/>
            <w:vAlign w:val="bottom"/>
          </w:tcPr>
          <w:p>
            <w:pPr>
              <w:spacing w:after="0"/>
              <w:rPr>
                <w:sz w:val="1"/>
                <w:szCs w:val="1"/>
                <w:color w:val="auto"/>
              </w:rPr>
            </w:pPr>
          </w:p>
        </w:tc>
      </w:tr>
      <w:tr>
        <w:trPr>
          <w:trHeight w:val="499"/>
        </w:trPr>
        <w:tc>
          <w:tcPr>
            <w:tcW w:w="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gridSpan w:val="2"/>
          </w:tcPr>
          <w:p>
            <w:pPr>
              <w:ind w:left="20"/>
              <w:spacing w:after="0"/>
              <w:rPr>
                <w:sz w:val="20"/>
                <w:szCs w:val="20"/>
                <w:color w:val="auto"/>
              </w:rPr>
            </w:pPr>
            <w:r>
              <w:rPr>
                <w:rFonts w:ascii="Arial" w:cs="Arial" w:eastAsia="Arial" w:hAnsi="Arial"/>
                <w:sz w:val="16"/>
                <w:szCs w:val="16"/>
                <w:color w:val="auto"/>
              </w:rPr>
              <w:t>Common collective trust funds:</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Arial" w:cs="Arial" w:eastAsia="Arial" w:hAnsi="Arial"/>
                <w:sz w:val="16"/>
                <w:szCs w:val="16"/>
                <w:color w:val="auto"/>
                <w:w w:val="95"/>
              </w:rPr>
              <w:t>*</w:t>
            </w:r>
          </w:p>
        </w:tc>
        <w:tc>
          <w:tcPr>
            <w:tcW w:w="3100" w:type="dxa"/>
            <w:vAlign w:val="bottom"/>
          </w:tcPr>
          <w:p>
            <w:pPr>
              <w:ind w:left="160"/>
              <w:spacing w:after="0"/>
              <w:rPr>
                <w:sz w:val="20"/>
                <w:szCs w:val="20"/>
                <w:color w:val="auto"/>
              </w:rPr>
            </w:pPr>
            <w:r>
              <w:rPr>
                <w:rFonts w:ascii="Arial" w:cs="Arial" w:eastAsia="Arial" w:hAnsi="Arial"/>
                <w:sz w:val="16"/>
                <w:szCs w:val="16"/>
                <w:color w:val="auto"/>
              </w:rPr>
              <w:t>T. Rowe Price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New Horizons Trust D</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Arial" w:cs="Arial" w:eastAsia="Arial" w:hAnsi="Arial"/>
                <w:sz w:val="16"/>
                <w:szCs w:val="16"/>
                <w:color w:val="auto"/>
                <w:w w:val="95"/>
              </w:rPr>
              <w:t>*</w:t>
            </w:r>
          </w:p>
        </w:tc>
        <w:tc>
          <w:tcPr>
            <w:tcW w:w="3100" w:type="dxa"/>
            <w:vAlign w:val="bottom"/>
          </w:tcPr>
          <w:p>
            <w:pPr>
              <w:ind w:left="160"/>
              <w:spacing w:after="0"/>
              <w:rPr>
                <w:sz w:val="20"/>
                <w:szCs w:val="20"/>
                <w:color w:val="auto"/>
              </w:rPr>
            </w:pPr>
            <w:r>
              <w:rPr>
                <w:rFonts w:ascii="Arial" w:cs="Arial" w:eastAsia="Arial" w:hAnsi="Arial"/>
                <w:sz w:val="16"/>
                <w:szCs w:val="16"/>
                <w:color w:val="auto"/>
              </w:rPr>
              <w:t>T. Rowe Price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U.S. Mid-Cap Growth EQ Trust D</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Arial" w:cs="Arial" w:eastAsia="Arial" w:hAnsi="Arial"/>
                <w:sz w:val="16"/>
                <w:szCs w:val="16"/>
                <w:color w:val="auto"/>
                <w:w w:val="95"/>
              </w:rPr>
              <w:t>*</w:t>
            </w:r>
          </w:p>
        </w:tc>
        <w:tc>
          <w:tcPr>
            <w:tcW w:w="3100" w:type="dxa"/>
            <w:vAlign w:val="bottom"/>
          </w:tcPr>
          <w:p>
            <w:pPr>
              <w:ind w:left="160"/>
              <w:spacing w:after="0"/>
              <w:rPr>
                <w:sz w:val="20"/>
                <w:szCs w:val="20"/>
                <w:color w:val="auto"/>
              </w:rPr>
            </w:pPr>
            <w:r>
              <w:rPr>
                <w:rFonts w:ascii="Arial" w:cs="Arial" w:eastAsia="Arial" w:hAnsi="Arial"/>
                <w:sz w:val="16"/>
                <w:szCs w:val="16"/>
                <w:color w:val="auto"/>
              </w:rPr>
              <w:t>T. Rowe Price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U.S. Small-Cap Value EQ Trust D</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Arial" w:cs="Arial" w:eastAsia="Arial" w:hAnsi="Arial"/>
                <w:sz w:val="16"/>
                <w:szCs w:val="16"/>
                <w:color w:val="auto"/>
                <w:w w:val="95"/>
              </w:rPr>
              <w:t>*</w:t>
            </w:r>
          </w:p>
        </w:tc>
        <w:tc>
          <w:tcPr>
            <w:tcW w:w="3100" w:type="dxa"/>
            <w:vAlign w:val="bottom"/>
          </w:tcPr>
          <w:p>
            <w:pPr>
              <w:ind w:left="160"/>
              <w:spacing w:after="0"/>
              <w:rPr>
                <w:sz w:val="20"/>
                <w:szCs w:val="20"/>
                <w:color w:val="auto"/>
              </w:rPr>
            </w:pPr>
            <w:r>
              <w:rPr>
                <w:rFonts w:ascii="Arial" w:cs="Arial" w:eastAsia="Arial" w:hAnsi="Arial"/>
                <w:sz w:val="16"/>
                <w:szCs w:val="16"/>
                <w:color w:val="auto"/>
              </w:rPr>
              <w:t>T. Rowe Price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2020 Trust Income Fund</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Arial" w:cs="Arial" w:eastAsia="Arial" w:hAnsi="Arial"/>
                <w:sz w:val="16"/>
                <w:szCs w:val="16"/>
                <w:color w:val="auto"/>
                <w:w w:val="95"/>
              </w:rPr>
              <w:t>*</w:t>
            </w:r>
          </w:p>
        </w:tc>
        <w:tc>
          <w:tcPr>
            <w:tcW w:w="3100" w:type="dxa"/>
            <w:vAlign w:val="bottom"/>
          </w:tcPr>
          <w:p>
            <w:pPr>
              <w:ind w:left="160"/>
              <w:spacing w:after="0"/>
              <w:rPr>
                <w:sz w:val="20"/>
                <w:szCs w:val="20"/>
                <w:color w:val="auto"/>
              </w:rPr>
            </w:pPr>
            <w:r>
              <w:rPr>
                <w:rFonts w:ascii="Arial" w:cs="Arial" w:eastAsia="Arial" w:hAnsi="Arial"/>
                <w:sz w:val="16"/>
                <w:szCs w:val="16"/>
                <w:color w:val="auto"/>
              </w:rPr>
              <w:t>T. Rowe Price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Retirement 2005 Trust F</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Arial" w:cs="Arial" w:eastAsia="Arial" w:hAnsi="Arial"/>
                <w:sz w:val="16"/>
                <w:szCs w:val="16"/>
                <w:color w:val="auto"/>
                <w:w w:val="95"/>
              </w:rPr>
              <w:t>*</w:t>
            </w:r>
          </w:p>
        </w:tc>
        <w:tc>
          <w:tcPr>
            <w:tcW w:w="3100" w:type="dxa"/>
            <w:vAlign w:val="bottom"/>
          </w:tcPr>
          <w:p>
            <w:pPr>
              <w:ind w:left="160"/>
              <w:spacing w:after="0"/>
              <w:rPr>
                <w:sz w:val="20"/>
                <w:szCs w:val="20"/>
                <w:color w:val="auto"/>
              </w:rPr>
            </w:pPr>
            <w:r>
              <w:rPr>
                <w:rFonts w:ascii="Arial" w:cs="Arial" w:eastAsia="Arial" w:hAnsi="Arial"/>
                <w:sz w:val="16"/>
                <w:szCs w:val="16"/>
                <w:color w:val="auto"/>
              </w:rPr>
              <w:t>T. Rowe Price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Retirement 2010 Trust F</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Arial" w:cs="Arial" w:eastAsia="Arial" w:hAnsi="Arial"/>
                <w:sz w:val="16"/>
                <w:szCs w:val="16"/>
                <w:color w:val="auto"/>
                <w:w w:val="95"/>
              </w:rPr>
              <w:t>*</w:t>
            </w:r>
          </w:p>
        </w:tc>
        <w:tc>
          <w:tcPr>
            <w:tcW w:w="3100" w:type="dxa"/>
            <w:vAlign w:val="bottom"/>
          </w:tcPr>
          <w:p>
            <w:pPr>
              <w:ind w:left="160"/>
              <w:spacing w:after="0"/>
              <w:rPr>
                <w:sz w:val="20"/>
                <w:szCs w:val="20"/>
                <w:color w:val="auto"/>
              </w:rPr>
            </w:pPr>
            <w:r>
              <w:rPr>
                <w:rFonts w:ascii="Arial" w:cs="Arial" w:eastAsia="Arial" w:hAnsi="Arial"/>
                <w:sz w:val="16"/>
                <w:szCs w:val="16"/>
                <w:color w:val="auto"/>
              </w:rPr>
              <w:t>T. Rowe Price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Retirement 2015 Trust F</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Arial" w:cs="Arial" w:eastAsia="Arial" w:hAnsi="Arial"/>
                <w:sz w:val="16"/>
                <w:szCs w:val="16"/>
                <w:color w:val="auto"/>
                <w:w w:val="95"/>
              </w:rPr>
              <w:t>*</w:t>
            </w:r>
          </w:p>
        </w:tc>
        <w:tc>
          <w:tcPr>
            <w:tcW w:w="3100" w:type="dxa"/>
            <w:vAlign w:val="bottom"/>
          </w:tcPr>
          <w:p>
            <w:pPr>
              <w:ind w:left="160"/>
              <w:spacing w:after="0"/>
              <w:rPr>
                <w:sz w:val="20"/>
                <w:szCs w:val="20"/>
                <w:color w:val="auto"/>
              </w:rPr>
            </w:pPr>
            <w:r>
              <w:rPr>
                <w:rFonts w:ascii="Arial" w:cs="Arial" w:eastAsia="Arial" w:hAnsi="Arial"/>
                <w:sz w:val="16"/>
                <w:szCs w:val="16"/>
                <w:color w:val="auto"/>
              </w:rPr>
              <w:t>T. Rowe Price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Retirement 2020 Trust F</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Arial" w:cs="Arial" w:eastAsia="Arial" w:hAnsi="Arial"/>
                <w:sz w:val="16"/>
                <w:szCs w:val="16"/>
                <w:color w:val="auto"/>
                <w:w w:val="95"/>
              </w:rPr>
              <w:t>*</w:t>
            </w:r>
          </w:p>
        </w:tc>
        <w:tc>
          <w:tcPr>
            <w:tcW w:w="3100" w:type="dxa"/>
            <w:vAlign w:val="bottom"/>
          </w:tcPr>
          <w:p>
            <w:pPr>
              <w:ind w:left="160"/>
              <w:spacing w:after="0"/>
              <w:rPr>
                <w:sz w:val="20"/>
                <w:szCs w:val="20"/>
                <w:color w:val="auto"/>
              </w:rPr>
            </w:pPr>
            <w:r>
              <w:rPr>
                <w:rFonts w:ascii="Arial" w:cs="Arial" w:eastAsia="Arial" w:hAnsi="Arial"/>
                <w:sz w:val="16"/>
                <w:szCs w:val="16"/>
                <w:color w:val="auto"/>
              </w:rPr>
              <w:t>T. Rowe Price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Retirement 2025 Trust F</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Arial" w:cs="Arial" w:eastAsia="Arial" w:hAnsi="Arial"/>
                <w:sz w:val="16"/>
                <w:szCs w:val="16"/>
                <w:color w:val="auto"/>
                <w:w w:val="95"/>
              </w:rPr>
              <w:t>*</w:t>
            </w:r>
          </w:p>
        </w:tc>
        <w:tc>
          <w:tcPr>
            <w:tcW w:w="3100" w:type="dxa"/>
            <w:vAlign w:val="bottom"/>
          </w:tcPr>
          <w:p>
            <w:pPr>
              <w:ind w:left="160"/>
              <w:spacing w:after="0"/>
              <w:rPr>
                <w:sz w:val="20"/>
                <w:szCs w:val="20"/>
                <w:color w:val="auto"/>
              </w:rPr>
            </w:pPr>
            <w:r>
              <w:rPr>
                <w:rFonts w:ascii="Arial" w:cs="Arial" w:eastAsia="Arial" w:hAnsi="Arial"/>
                <w:sz w:val="16"/>
                <w:szCs w:val="16"/>
                <w:color w:val="auto"/>
              </w:rPr>
              <w:t>T. Rowe Price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Retirement 2030 Trust F</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Arial" w:cs="Arial" w:eastAsia="Arial" w:hAnsi="Arial"/>
                <w:sz w:val="16"/>
                <w:szCs w:val="16"/>
                <w:color w:val="auto"/>
                <w:w w:val="95"/>
              </w:rPr>
              <w:t>*</w:t>
            </w:r>
          </w:p>
        </w:tc>
        <w:tc>
          <w:tcPr>
            <w:tcW w:w="3100" w:type="dxa"/>
            <w:vAlign w:val="bottom"/>
          </w:tcPr>
          <w:p>
            <w:pPr>
              <w:ind w:left="160"/>
              <w:spacing w:after="0"/>
              <w:rPr>
                <w:sz w:val="20"/>
                <w:szCs w:val="20"/>
                <w:color w:val="auto"/>
              </w:rPr>
            </w:pPr>
            <w:r>
              <w:rPr>
                <w:rFonts w:ascii="Arial" w:cs="Arial" w:eastAsia="Arial" w:hAnsi="Arial"/>
                <w:sz w:val="16"/>
                <w:szCs w:val="16"/>
                <w:color w:val="auto"/>
              </w:rPr>
              <w:t>T. Rowe Price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Retirement 2035 Trust F</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Arial" w:cs="Arial" w:eastAsia="Arial" w:hAnsi="Arial"/>
                <w:sz w:val="16"/>
                <w:szCs w:val="16"/>
                <w:color w:val="auto"/>
                <w:w w:val="95"/>
              </w:rPr>
              <w:t>*</w:t>
            </w:r>
          </w:p>
        </w:tc>
        <w:tc>
          <w:tcPr>
            <w:tcW w:w="3100" w:type="dxa"/>
            <w:vAlign w:val="bottom"/>
          </w:tcPr>
          <w:p>
            <w:pPr>
              <w:ind w:left="160"/>
              <w:spacing w:after="0"/>
              <w:rPr>
                <w:sz w:val="20"/>
                <w:szCs w:val="20"/>
                <w:color w:val="auto"/>
              </w:rPr>
            </w:pPr>
            <w:r>
              <w:rPr>
                <w:rFonts w:ascii="Arial" w:cs="Arial" w:eastAsia="Arial" w:hAnsi="Arial"/>
                <w:sz w:val="16"/>
                <w:szCs w:val="16"/>
                <w:color w:val="auto"/>
              </w:rPr>
              <w:t>T. Rowe Price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Retirement 2040 Trust F</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Arial" w:cs="Arial" w:eastAsia="Arial" w:hAnsi="Arial"/>
                <w:sz w:val="16"/>
                <w:szCs w:val="16"/>
                <w:color w:val="auto"/>
                <w:w w:val="95"/>
              </w:rPr>
              <w:t>*</w:t>
            </w:r>
          </w:p>
        </w:tc>
        <w:tc>
          <w:tcPr>
            <w:tcW w:w="3100" w:type="dxa"/>
            <w:vAlign w:val="bottom"/>
          </w:tcPr>
          <w:p>
            <w:pPr>
              <w:ind w:left="160"/>
              <w:spacing w:after="0"/>
              <w:rPr>
                <w:sz w:val="20"/>
                <w:szCs w:val="20"/>
                <w:color w:val="auto"/>
              </w:rPr>
            </w:pPr>
            <w:r>
              <w:rPr>
                <w:rFonts w:ascii="Arial" w:cs="Arial" w:eastAsia="Arial" w:hAnsi="Arial"/>
                <w:sz w:val="16"/>
                <w:szCs w:val="16"/>
                <w:color w:val="auto"/>
              </w:rPr>
              <w:t>T. Rowe Price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Retirement 2045 Trust F</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Arial" w:cs="Arial" w:eastAsia="Arial" w:hAnsi="Arial"/>
                <w:sz w:val="16"/>
                <w:szCs w:val="16"/>
                <w:color w:val="auto"/>
                <w:w w:val="95"/>
              </w:rPr>
              <w:t>*</w:t>
            </w:r>
          </w:p>
        </w:tc>
        <w:tc>
          <w:tcPr>
            <w:tcW w:w="3100" w:type="dxa"/>
            <w:vAlign w:val="bottom"/>
          </w:tcPr>
          <w:p>
            <w:pPr>
              <w:ind w:left="160"/>
              <w:spacing w:after="0"/>
              <w:rPr>
                <w:sz w:val="20"/>
                <w:szCs w:val="20"/>
                <w:color w:val="auto"/>
              </w:rPr>
            </w:pPr>
            <w:r>
              <w:rPr>
                <w:rFonts w:ascii="Arial" w:cs="Arial" w:eastAsia="Arial" w:hAnsi="Arial"/>
                <w:sz w:val="16"/>
                <w:szCs w:val="16"/>
                <w:color w:val="auto"/>
              </w:rPr>
              <w:t>T. Rowe Price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Retirement 2050 Trust F</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Arial" w:cs="Arial" w:eastAsia="Arial" w:hAnsi="Arial"/>
                <w:sz w:val="16"/>
                <w:szCs w:val="16"/>
                <w:color w:val="auto"/>
                <w:w w:val="95"/>
              </w:rPr>
              <w:t>*</w:t>
            </w:r>
          </w:p>
        </w:tc>
        <w:tc>
          <w:tcPr>
            <w:tcW w:w="3100" w:type="dxa"/>
            <w:vAlign w:val="bottom"/>
          </w:tcPr>
          <w:p>
            <w:pPr>
              <w:ind w:left="160"/>
              <w:spacing w:after="0"/>
              <w:rPr>
                <w:sz w:val="20"/>
                <w:szCs w:val="20"/>
                <w:color w:val="auto"/>
              </w:rPr>
            </w:pPr>
            <w:r>
              <w:rPr>
                <w:rFonts w:ascii="Arial" w:cs="Arial" w:eastAsia="Arial" w:hAnsi="Arial"/>
                <w:sz w:val="16"/>
                <w:szCs w:val="16"/>
                <w:color w:val="auto"/>
              </w:rPr>
              <w:t>T. Rowe Price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Retirement 2055 Trust F</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Arial" w:cs="Arial" w:eastAsia="Arial" w:hAnsi="Arial"/>
                <w:sz w:val="16"/>
                <w:szCs w:val="16"/>
                <w:color w:val="auto"/>
                <w:w w:val="95"/>
              </w:rPr>
              <w:t>*</w:t>
            </w:r>
          </w:p>
        </w:tc>
        <w:tc>
          <w:tcPr>
            <w:tcW w:w="3100" w:type="dxa"/>
            <w:vAlign w:val="bottom"/>
          </w:tcPr>
          <w:p>
            <w:pPr>
              <w:ind w:left="160"/>
              <w:spacing w:after="0"/>
              <w:rPr>
                <w:sz w:val="20"/>
                <w:szCs w:val="20"/>
                <w:color w:val="auto"/>
              </w:rPr>
            </w:pPr>
            <w:r>
              <w:rPr>
                <w:rFonts w:ascii="Arial" w:cs="Arial" w:eastAsia="Arial" w:hAnsi="Arial"/>
                <w:sz w:val="16"/>
                <w:szCs w:val="16"/>
                <w:color w:val="auto"/>
              </w:rPr>
              <w:t>T. Rowe Price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Retirement 2060 Trust F</w:t>
            </w:r>
          </w:p>
        </w:tc>
        <w:tc>
          <w:tcPr>
            <w:tcW w:w="0" w:type="dxa"/>
            <w:vAlign w:val="bottom"/>
          </w:tcPr>
          <w:p>
            <w:pPr>
              <w:spacing w:after="0"/>
              <w:rPr>
                <w:sz w:val="1"/>
                <w:szCs w:val="1"/>
                <w:color w:val="auto"/>
              </w:rPr>
            </w:pPr>
          </w:p>
        </w:tc>
      </w:tr>
      <w:tr>
        <w:trPr>
          <w:trHeight w:val="243"/>
        </w:trPr>
        <w:tc>
          <w:tcPr>
            <w:tcW w:w="240" w:type="dxa"/>
            <w:vAlign w:val="bottom"/>
          </w:tcPr>
          <w:p>
            <w:pPr>
              <w:jc w:val="right"/>
              <w:ind w:right="79"/>
              <w:spacing w:after="0"/>
              <w:rPr>
                <w:sz w:val="20"/>
                <w:szCs w:val="20"/>
                <w:color w:val="auto"/>
              </w:rPr>
            </w:pPr>
            <w:r>
              <w:rPr>
                <w:rFonts w:ascii="Arial" w:cs="Arial" w:eastAsia="Arial" w:hAnsi="Arial"/>
                <w:sz w:val="16"/>
                <w:szCs w:val="16"/>
                <w:color w:val="auto"/>
                <w:w w:val="95"/>
              </w:rPr>
              <w:t>*</w:t>
            </w:r>
          </w:p>
        </w:tc>
        <w:tc>
          <w:tcPr>
            <w:tcW w:w="3100" w:type="dxa"/>
            <w:vAlign w:val="bottom"/>
          </w:tcPr>
          <w:p>
            <w:pPr>
              <w:ind w:left="160"/>
              <w:spacing w:after="0"/>
              <w:rPr>
                <w:sz w:val="20"/>
                <w:szCs w:val="20"/>
                <w:color w:val="auto"/>
              </w:rPr>
            </w:pPr>
            <w:r>
              <w:rPr>
                <w:rFonts w:ascii="Arial" w:cs="Arial" w:eastAsia="Arial" w:hAnsi="Arial"/>
                <w:sz w:val="16"/>
                <w:szCs w:val="16"/>
                <w:color w:val="auto"/>
              </w:rPr>
              <w:t>T. Rowe Price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Retirement 2065 Trust 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-5561330</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-5244465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-4926965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-4618355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-4309745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-4001135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-3692525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-3383915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-3075305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-2758440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-2449830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-2141220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-1832610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-1215390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-598170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580" w:type="dxa"/>
            <w:vAlign w:val="bottom"/>
            <w:gridSpan w:val="2"/>
            <w:vMerge w:val="restart"/>
          </w:tcPr>
          <w:p>
            <w:pPr>
              <w:ind w:left="480"/>
              <w:spacing w:after="0"/>
              <w:rPr>
                <w:sz w:val="20"/>
                <w:szCs w:val="20"/>
                <w:color w:val="auto"/>
              </w:rPr>
            </w:pPr>
            <w:r>
              <w:rPr>
                <w:rFonts w:ascii="Arial" w:cs="Arial" w:eastAsia="Arial" w:hAnsi="Arial"/>
                <w:sz w:val="16"/>
                <w:szCs w:val="16"/>
                <w:b w:val="1"/>
                <w:bCs w:val="1"/>
                <w:color w:val="auto"/>
              </w:rPr>
              <w:t>Shares</w:t>
            </w:r>
          </w:p>
        </w:tc>
        <w:tc>
          <w:tcPr>
            <w:tcW w:w="380" w:type="dxa"/>
            <w:vAlign w:val="bottom"/>
          </w:tcPr>
          <w:p>
            <w:pPr>
              <w:spacing w:after="0"/>
              <w:rPr>
                <w:sz w:val="16"/>
                <w:szCs w:val="16"/>
                <w:color w:val="auto"/>
              </w:rPr>
            </w:pPr>
          </w:p>
        </w:tc>
        <w:tc>
          <w:tcPr>
            <w:tcW w:w="1340" w:type="dxa"/>
            <w:vAlign w:val="bottom"/>
          </w:tcPr>
          <w:p>
            <w:pPr>
              <w:jc w:val="right"/>
              <w:ind w:right="639"/>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26"/>
        </w:trPr>
        <w:tc>
          <w:tcPr>
            <w:tcW w:w="158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57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38"/>
        </w:trPr>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586,715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17,231,876</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6,128,245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6,128,245</w:t>
            </w:r>
          </w:p>
        </w:tc>
        <w:tc>
          <w:tcPr>
            <w:tcW w:w="0" w:type="dxa"/>
            <w:vAlign w:val="bottom"/>
          </w:tcPr>
          <w:p>
            <w:pPr>
              <w:spacing w:after="0"/>
              <w:rPr>
                <w:sz w:val="1"/>
                <w:szCs w:val="1"/>
                <w:color w:val="auto"/>
              </w:rPr>
            </w:pPr>
          </w:p>
        </w:tc>
      </w:tr>
      <w:tr>
        <w:trPr>
          <w:trHeight w:val="743"/>
        </w:trPr>
        <w:tc>
          <w:tcPr>
            <w:tcW w:w="1480" w:type="dxa"/>
            <w:vAlign w:val="bottom"/>
          </w:tcPr>
          <w:p>
            <w:pPr>
              <w:jc w:val="right"/>
              <w:spacing w:after="0"/>
              <w:rPr>
                <w:sz w:val="20"/>
                <w:szCs w:val="20"/>
                <w:color w:val="auto"/>
              </w:rPr>
            </w:pPr>
            <w:r>
              <w:rPr>
                <w:rFonts w:ascii="Arial" w:cs="Arial" w:eastAsia="Arial" w:hAnsi="Arial"/>
                <w:sz w:val="16"/>
                <w:szCs w:val="16"/>
                <w:color w:val="auto"/>
              </w:rPr>
              <w:t>914,884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8,105,876</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500,593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4,590,434</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114,754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114,754</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74,536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4,089,031</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629,289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17,859,222</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549,649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47,511,679</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1,372,351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63,498,689</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436,272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14,008,696</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208,972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6,668,301</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128,476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5,736,437</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200,157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12,125,525</w:t>
            </w:r>
          </w:p>
        </w:tc>
        <w:tc>
          <w:tcPr>
            <w:tcW w:w="0" w:type="dxa"/>
            <w:vAlign w:val="bottom"/>
          </w:tcPr>
          <w:p>
            <w:pPr>
              <w:spacing w:after="0"/>
              <w:rPr>
                <w:sz w:val="1"/>
                <w:szCs w:val="1"/>
                <w:color w:val="auto"/>
              </w:rPr>
            </w:pPr>
          </w:p>
        </w:tc>
      </w:tr>
      <w:tr>
        <w:trPr>
          <w:trHeight w:val="244"/>
        </w:trPr>
        <w:tc>
          <w:tcPr>
            <w:tcW w:w="1480" w:type="dxa"/>
            <w:vAlign w:val="bottom"/>
          </w:tcPr>
          <w:p>
            <w:pPr>
              <w:jc w:val="right"/>
              <w:spacing w:after="0"/>
              <w:rPr>
                <w:sz w:val="20"/>
                <w:szCs w:val="20"/>
                <w:color w:val="auto"/>
              </w:rPr>
            </w:pPr>
            <w:r>
              <w:rPr>
                <w:rFonts w:ascii="Arial" w:cs="Arial" w:eastAsia="Arial" w:hAnsi="Arial"/>
                <w:sz w:val="16"/>
                <w:szCs w:val="16"/>
                <w:color w:val="auto"/>
              </w:rPr>
              <w:t>4,245,305</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74,462,645</w:t>
            </w: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258,771,289</w:t>
            </w:r>
          </w:p>
        </w:tc>
        <w:tc>
          <w:tcPr>
            <w:tcW w:w="0" w:type="dxa"/>
            <w:vAlign w:val="bottom"/>
          </w:tcPr>
          <w:p>
            <w:pPr>
              <w:spacing w:after="0"/>
              <w:rPr>
                <w:sz w:val="1"/>
                <w:szCs w:val="1"/>
                <w:color w:val="auto"/>
              </w:rPr>
            </w:pPr>
          </w:p>
        </w:tc>
      </w:tr>
      <w:tr>
        <w:trPr>
          <w:trHeight w:val="721"/>
        </w:trPr>
        <w:tc>
          <w:tcPr>
            <w:tcW w:w="1480" w:type="dxa"/>
            <w:vAlign w:val="bottom"/>
          </w:tcPr>
          <w:p>
            <w:pPr>
              <w:jc w:val="right"/>
              <w:spacing w:after="0"/>
              <w:rPr>
                <w:sz w:val="20"/>
                <w:szCs w:val="20"/>
                <w:color w:val="auto"/>
              </w:rPr>
            </w:pPr>
            <w:r>
              <w:rPr>
                <w:rFonts w:ascii="Arial" w:cs="Arial" w:eastAsia="Arial" w:hAnsi="Arial"/>
                <w:sz w:val="16"/>
                <w:szCs w:val="16"/>
                <w:color w:val="auto"/>
              </w:rPr>
              <w:t>108,874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7,914,071</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640,216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30,435,869</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403,944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14,853,032</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44,497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1,087,496</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6,612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154,186</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26,835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670,615</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14,446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396,107</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231,980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6,943,168</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336,440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11,052,038</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592,061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21,474,059</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585,593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23,300,727</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705,196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30,111,882</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694,770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30,882,537</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913,289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40,878,822</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1,008,196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45,177,280</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1,000,522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28,684,962</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Arial" w:cs="Arial" w:eastAsia="Arial" w:hAnsi="Arial"/>
                <w:sz w:val="16"/>
                <w:szCs w:val="16"/>
                <w:color w:val="auto"/>
              </w:rPr>
              <w:t>231,706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4,154,497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880" w:space="60"/>
            <w:col w:w="330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0" w:type="dxa"/>
            <w:vAlign w:val="bottom"/>
          </w:tcPr>
          <w:p>
            <w:pPr>
              <w:spacing w:after="0"/>
              <w:rPr>
                <w:sz w:val="16"/>
                <w:szCs w:val="16"/>
                <w:color w:val="auto"/>
              </w:rPr>
            </w:pPr>
          </w:p>
        </w:tc>
        <w:tc>
          <w:tcPr>
            <w:tcW w:w="3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Identity of issuer, borrower,</w:t>
            </w:r>
          </w:p>
        </w:tc>
        <w:tc>
          <w:tcPr>
            <w:tcW w:w="4160" w:type="dxa"/>
            <w:vAlign w:val="bottom"/>
            <w:vMerge w:val="restart"/>
          </w:tcPr>
          <w:p>
            <w:pPr>
              <w:ind w:left="16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3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lessor, or similar party</w:t>
            </w:r>
          </w:p>
        </w:tc>
        <w:tc>
          <w:tcPr>
            <w:tcW w:w="4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95"/>
              </w:rPr>
              <w:t>*</w:t>
            </w:r>
          </w:p>
        </w:tc>
        <w:tc>
          <w:tcPr>
            <w:tcW w:w="336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T. Rowe Price</w:t>
            </w:r>
          </w:p>
        </w:tc>
        <w:tc>
          <w:tcPr>
            <w:tcW w:w="100" w:type="dxa"/>
            <w:vAlign w:val="bottom"/>
          </w:tcPr>
          <w:p>
            <w:pPr>
              <w:spacing w:after="0"/>
              <w:rPr>
                <w:sz w:val="18"/>
                <w:szCs w:val="18"/>
                <w:color w:val="auto"/>
              </w:rPr>
            </w:pPr>
          </w:p>
        </w:tc>
        <w:tc>
          <w:tcPr>
            <w:tcW w:w="416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Stable Value Fund Class N</w:t>
            </w:r>
          </w:p>
        </w:tc>
        <w:tc>
          <w:tcPr>
            <w:tcW w:w="0" w:type="dxa"/>
            <w:vAlign w:val="bottom"/>
          </w:tcPr>
          <w:p>
            <w:pPr>
              <w:spacing w:after="0"/>
              <w:rPr>
                <w:sz w:val="1"/>
                <w:szCs w:val="1"/>
                <w:color w:val="auto"/>
              </w:rPr>
            </w:pPr>
          </w:p>
        </w:tc>
      </w:tr>
      <w:tr>
        <w:trPr>
          <w:trHeight w:val="242"/>
        </w:trPr>
        <w:tc>
          <w:tcPr>
            <w:tcW w:w="2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60" w:type="dxa"/>
            <w:vAlign w:val="bottom"/>
          </w:tcPr>
          <w:p>
            <w:pPr>
              <w:ind w:left="280"/>
              <w:spacing w:after="0"/>
              <w:rPr>
                <w:sz w:val="20"/>
                <w:szCs w:val="20"/>
                <w:color w:val="auto"/>
              </w:rPr>
            </w:pPr>
            <w:r>
              <w:rPr>
                <w:rFonts w:ascii="Arial" w:cs="Arial" w:eastAsia="Arial" w:hAnsi="Arial"/>
                <w:sz w:val="16"/>
                <w:szCs w:val="16"/>
                <w:color w:val="auto"/>
              </w:rPr>
              <w:t>Total common collective trust funds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400" w:right="60" w:hanging="374"/>
        <w:spacing w:after="0" w:line="246" w:lineRule="auto"/>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Notes receivable from Participants, interest rates range from 4.25% – 9.50% and maturities of February 2026 to August 2035.</w:t>
      </w:r>
    </w:p>
    <w:p>
      <w:pPr>
        <w:spacing w:after="0" w:line="1"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Total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Historical cost information is not presented on this schedule, as all investments are participant directed.</w:t>
      </w:r>
    </w:p>
    <w:p>
      <w:pPr>
        <w:spacing w:after="0" w:line="59" w:lineRule="exact"/>
        <w:rPr>
          <w:sz w:val="20"/>
          <w:szCs w:val="20"/>
          <w:color w:val="auto"/>
        </w:rPr>
      </w:pPr>
    </w:p>
    <w:p>
      <w:pPr>
        <w:ind w:left="400" w:hanging="374"/>
        <w:spacing w:after="0"/>
        <w:tabs>
          <w:tab w:leader="none" w:pos="4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Indicates a party in interest to the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auto"/>
        </w:rPr>
        <w:t>Fair</w:t>
      </w:r>
    </w:p>
    <w:p>
      <w:pPr>
        <w:spacing w:after="0" w:line="8" w:lineRule="exact"/>
        <w:rPr>
          <w:sz w:val="20"/>
          <w:szCs w:val="20"/>
          <w:color w:val="auto"/>
        </w:rPr>
      </w:pPr>
    </w:p>
    <w:p>
      <w:pPr>
        <w:spacing w:after="0"/>
        <w:tabs>
          <w:tab w:leader="none" w:pos="1720" w:val="left"/>
        </w:tabs>
        <w:rPr>
          <w:sz w:val="20"/>
          <w:szCs w:val="20"/>
          <w:color w:val="auto"/>
        </w:rPr>
      </w:pPr>
      <w:r>
        <w:rPr>
          <w:rFonts w:ascii="Arial" w:cs="Arial" w:eastAsia="Arial" w:hAnsi="Arial"/>
          <w:sz w:val="16"/>
          <w:szCs w:val="16"/>
          <w:b w:val="1"/>
          <w:bCs w:val="1"/>
          <w:color w:val="auto"/>
        </w:rPr>
        <w:t>Shares</w:t>
      </w:r>
      <w:r>
        <w:rPr>
          <w:sz w:val="20"/>
          <w:szCs w:val="20"/>
          <w:color w:val="auto"/>
        </w:rPr>
        <w:tab/>
      </w:r>
      <w:r>
        <w:rPr>
          <w:rFonts w:ascii="Arial" w:cs="Arial" w:eastAsia="Arial" w:hAnsi="Arial"/>
          <w:sz w:val="16"/>
          <w:szCs w:val="16"/>
          <w:b w:val="1"/>
          <w:bCs w:val="1"/>
          <w:color w:val="auto"/>
        </w:rPr>
        <w:t>value</w:t>
      </w:r>
    </w:p>
    <w:p>
      <w:pPr>
        <w:spacing w:after="0" w:line="84" w:lineRule="exact"/>
        <w:rPr>
          <w:sz w:val="20"/>
          <w:szCs w:val="20"/>
          <w:color w:val="auto"/>
        </w:rPr>
      </w:pPr>
    </w:p>
    <w:p>
      <w:pPr>
        <w:ind w:left="160"/>
        <w:spacing w:after="0"/>
        <w:tabs>
          <w:tab w:leader="none" w:pos="1920" w:val="left"/>
        </w:tabs>
        <w:rPr>
          <w:sz w:val="20"/>
          <w:szCs w:val="20"/>
          <w:color w:val="auto"/>
        </w:rPr>
      </w:pPr>
      <w:r>
        <w:rPr>
          <w:rFonts w:ascii="Arial" w:cs="Arial" w:eastAsia="Arial" w:hAnsi="Arial"/>
          <w:sz w:val="15"/>
          <w:szCs w:val="15"/>
          <w:color w:val="auto"/>
        </w:rPr>
        <w:t>26,733,578</w:t>
      </w:r>
      <w:r>
        <w:rPr>
          <w:sz w:val="20"/>
          <w:szCs w:val="20"/>
          <w:color w:val="auto"/>
        </w:rPr>
        <w:tab/>
      </w:r>
      <w:r>
        <w:rPr>
          <w:rFonts w:ascii="Arial" w:cs="Arial" w:eastAsia="Arial" w:hAnsi="Arial"/>
          <w:sz w:val="15"/>
          <w:szCs w:val="15"/>
          <w:color w:val="auto"/>
        </w:rPr>
        <w:t>26,733,578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27940</wp:posOffset>
            </wp:positionV>
            <wp:extent cx="10972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1" w:lineRule="exact"/>
        <w:rPr>
          <w:sz w:val="20"/>
          <w:szCs w:val="20"/>
          <w:color w:val="auto"/>
        </w:rPr>
      </w:pPr>
    </w:p>
    <w:p>
      <w:pPr>
        <w:ind w:left="1840" w:hanging="730"/>
        <w:spacing w:after="0"/>
        <w:tabs>
          <w:tab w:leader="none" w:pos="1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324,904,926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1,659,616</w:t>
      </w:r>
    </w:p>
    <w:p>
      <w:pPr>
        <w:spacing w:after="0" w:line="32" w:lineRule="exact"/>
        <w:rPr>
          <w:sz w:val="20"/>
          <w:szCs w:val="20"/>
          <w:color w:val="auto"/>
        </w:rPr>
      </w:pPr>
    </w:p>
    <w:p>
      <w:pPr>
        <w:ind w:left="1840" w:hanging="730"/>
        <w:spacing w:after="0"/>
        <w:tabs>
          <w:tab w:leader="none" w:pos="1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608,695,952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46355</wp:posOffset>
            </wp:positionV>
            <wp:extent cx="10972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01" w:lineRule="exact"/>
        <w:rPr>
          <w:sz w:val="20"/>
          <w:szCs w:val="20"/>
          <w:color w:val="auto"/>
        </w:rPr>
      </w:pPr>
    </w:p>
    <w:p>
      <w:pPr>
        <w:sectPr>
          <w:pgSz w:w="11900" w:h="16838" w:orient="portrait"/>
          <w:cols w:equalWidth="0" w:num="2">
            <w:col w:w="7860" w:space="560"/>
            <w:col w:w="2740"/>
          </w:cols>
          <w:pgMar w:left="32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8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LiveRamp Holdings, Inc. has duly caused this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LiveRamp Holdings, Inc.</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As Sponsor and Administrator of the</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LiveRamp Holdings, Inc. Retirement Savings Plan</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360" w:type="dxa"/>
            <w:vAlign w:val="bottom"/>
          </w:tcPr>
          <w:p>
            <w:pPr>
              <w:spacing w:after="0"/>
              <w:rPr>
                <w:sz w:val="20"/>
                <w:szCs w:val="20"/>
                <w:color w:val="auto"/>
              </w:rPr>
            </w:pPr>
            <w:r>
              <w:rPr>
                <w:rFonts w:ascii="Arial" w:cs="Arial" w:eastAsia="Arial" w:hAnsi="Arial"/>
                <w:sz w:val="18"/>
                <w:szCs w:val="18"/>
                <w:color w:val="auto"/>
              </w:rPr>
              <w:t>June 25, 2026</w:t>
            </w:r>
          </w:p>
        </w:tc>
        <w:tc>
          <w:tcPr>
            <w:tcW w:w="7860" w:type="dxa"/>
            <w:vAlign w:val="bottom"/>
            <w:gridSpan w:val="2"/>
          </w:tcPr>
          <w:p>
            <w:pPr>
              <w:ind w:left="2200"/>
              <w:spacing w:after="0"/>
              <w:rPr>
                <w:sz w:val="20"/>
                <w:szCs w:val="20"/>
                <w:color w:val="auto"/>
              </w:rPr>
            </w:pPr>
            <w:r>
              <w:rPr>
                <w:rFonts w:ascii="Arial" w:cs="Arial" w:eastAsia="Arial" w:hAnsi="Arial"/>
                <w:sz w:val="18"/>
                <w:szCs w:val="18"/>
                <w:color w:val="auto"/>
              </w:rPr>
              <w:t>By:  /s/ Jerry C. Jones</w:t>
            </w:r>
          </w:p>
        </w:tc>
      </w:tr>
      <w:tr>
        <w:trPr>
          <w:trHeight w:val="218"/>
        </w:trPr>
        <w:tc>
          <w:tcPr>
            <w:tcW w:w="3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Jerry C. Jones</w:t>
            </w:r>
          </w:p>
        </w:tc>
      </w:tr>
      <w:tr>
        <w:trPr>
          <w:trHeight w:val="239"/>
        </w:trPr>
        <w:tc>
          <w:tcPr>
            <w:tcW w:w="33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EVP, Chief Ethics and Legal Officer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1"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LiveRamp Holdings, Inc.</w:t>
      </w:r>
    </w:p>
    <w:p>
      <w:pPr>
        <w:spacing w:after="0" w:line="153"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hereby consent to the incorporation by reference in the Registration Statements (Nos. 333-57470, 333-136919, 333-158005, 333-221162, and 333-223520) on Form S-8 of LiveRamp Holdings, Inc. of our report dated June 25, 2026 with respect to the statements of net assets available for benefits of LiveRamp Holdings, Inc. Retirement Savings Plan, as of December 31, 2025 and 2024, the related statement of changes in net assets available for benefits for the year ended December 31, 2025, and the supplemental schedule H, line 4i – schedule of assets (held at end of year) as of December 31, 2025, which is included in the December 31, 2025, Annual Report on Form 11-K of the LiveRamp Holdings, Inc. Retirement Savings Plan.</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FORVIS MAZARS,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Rogers, Arkansas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25, 2026</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upperLetter"/>
      <w:start w:val="1"/>
    </w:lvl>
  </w:abstractNum>
  <w:abstractNum w:abstractNumId="3">
    <w:nsid w:val="12200854"/>
    <w:multiLevelType w:val="hybridMultilevel"/>
    <w:lvl w:ilvl="0">
      <w:lvlJc w:val="left"/>
      <w:lvlText w:val="(%1)"/>
      <w:numFmt w:val="decimal"/>
      <w:start w:val="1"/>
    </w:lvl>
    <w:lvl w:ilvl="1">
      <w:lvlJc w:val="left"/>
      <w:lvlText w:val="(%2)"/>
      <w:numFmt w:val="lowerLetter"/>
      <w:start w:val="1"/>
    </w:lvl>
  </w:abstractNum>
  <w:abstractNum w:abstractNumId="4">
    <w:nsid w:val="4DB127F8"/>
    <w:multiLevelType w:val="hybridMultilevel"/>
    <w:lvl w:ilvl="0">
      <w:lvlJc w:val="left"/>
      <w:lvlText w:val="%1"/>
      <w:numFmt w:val="decimal"/>
      <w:start w:val="1"/>
    </w:lvl>
    <w:lvl w:ilvl="1">
      <w:lvlJc w:val="left"/>
      <w:lvlText w:val="(%2)"/>
      <w:numFmt w:val="lowerLetter"/>
      <w:start w:val="7"/>
    </w:lvl>
  </w:abstractNum>
  <w:abstractNum w:abstractNumId="5">
    <w:nsid w:val="216231B"/>
    <w:multiLevelType w:val="hybridMultilevel"/>
    <w:lvl w:ilvl="0">
      <w:lvlJc w:val="left"/>
      <w:lvlText w:val="(%1)"/>
      <w:numFmt w:val="decimal"/>
      <w:start w:val="2"/>
    </w:lvl>
    <w:lvl w:ilvl="1">
      <w:lvlJc w:val="left"/>
      <w:lvlText w:val="(%2)"/>
      <w:numFmt w:val="lowerLetter"/>
      <w:start w:val="1"/>
    </w:lvl>
  </w:abstractNum>
  <w:abstractNum w:abstractNumId="6">
    <w:nsid w:val="1F16E9E8"/>
    <w:multiLevelType w:val="hybridMultilevel"/>
    <w:lvl w:ilvl="0">
      <w:lvlJc w:val="left"/>
      <w:lvlText w:val="%1"/>
      <w:numFmt w:val="decimal"/>
      <w:start w:val="1"/>
    </w:lvl>
    <w:lvl w:ilvl="1">
      <w:lvlJc w:val="left"/>
      <w:lvlText w:val="(%2)"/>
      <w:numFmt w:val="lowerLetter"/>
      <w:start w:val="6"/>
    </w:lvl>
  </w:abstractNum>
  <w:abstractNum w:abstractNumId="7">
    <w:nsid w:val="1190CDE7"/>
    <w:multiLevelType w:val="hybridMultilevel"/>
    <w:lvl w:ilvl="0">
      <w:lvlJc w:val="left"/>
      <w:lvlText w:val="(%1)"/>
      <w:numFmt w:val="decimal"/>
      <w:start w:val="3"/>
    </w:lvl>
    <w:lvl w:ilvl="1">
      <w:lvlJc w:val="left"/>
      <w:lvlText w:val="%2"/>
      <w:numFmt w:val="lowerLetter"/>
      <w:start w:val="1"/>
    </w:lvl>
  </w:abstractNum>
  <w:abstractNum w:abstractNumId="8">
    <w:nsid w:val="66EF438D"/>
    <w:multiLevelType w:val="hybridMultilevel"/>
    <w:lvl w:ilvl="0">
      <w:lvlJc w:val="left"/>
      <w:lvlText w:val="(%1)"/>
      <w:numFmt w:val="lowerRoman"/>
      <w:start w:val="1"/>
    </w:lvl>
  </w:abstractNum>
  <w:abstractNum w:abstractNumId="9">
    <w:nsid w:val="140E0F76"/>
    <w:multiLevelType w:val="hybridMultilevel"/>
    <w:lvl w:ilvl="0">
      <w:lvlJc w:val="left"/>
      <w:lvlText w:val="(%1)"/>
      <w:numFmt w:val="decimal"/>
      <w:start w:val="4"/>
    </w:lvl>
  </w:abstractNum>
  <w:abstractNum w:abstractNumId="10">
    <w:nsid w:val="3352255A"/>
    <w:multiLevelType w:val="hybridMultilevel"/>
    <w:lvl w:ilvl="0">
      <w:lvlJc w:val="left"/>
      <w:lvlText w:val="(%1)"/>
      <w:numFmt w:val="decimal"/>
      <w:start w:val="6"/>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2026-06-25T13:57:19Z</dcterms:created>
  <dcterms:modified xsi:type="dcterms:W3CDTF">2026-06-25T13:57:19Z</dcterms:modified>
</cp:coreProperties>
</file>