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Howe Scott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LIVERAMP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BUSH STREET, 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LiveRamp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RAMP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96"/>
        <w:gridCol w:w="925"/>
        <w:gridCol w:w="796"/>
        <w:gridCol w:w="614"/>
        <w:gridCol w:w="331"/>
        <w:gridCol w:w="832"/>
        <w:gridCol w:w="392"/>
        <w:gridCol w:w="736"/>
        <w:gridCol w:w="1325"/>
        <w:gridCol w:w="933"/>
        <w:gridCol w:w="14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4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1,248,806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</w:t>
            </w:r>
          </w:p>
        </w:tc>
        <w:tc>
          <w:tcPr>
            <w:tcW w:w="13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1,244,170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$.10 PAR VALUE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3,148.0113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 I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by the Issuer to satisfy the reporting person's tax obligations that arose on August 22, 2026, when restricted stock units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BY: JERRY C. JONES, ATTORNEY-IN-FACT FOR: SCOTT E. HOWE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9558" TargetMode="External"/><Relationship Id="rId5" Type="http://schemas.openxmlformats.org/officeDocument/2006/relationships/hyperlink" Target="http://www.sec.gov/cgi-bin/browse-edgar?action=getcompany&amp;CIK=00007332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3412</Characters>
  <CharactersWithSpaces>3963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