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6"/>
          <w:szCs w:val="16"/>
          <w:b w:val="1"/>
          <w:bCs w:val="1"/>
          <w:color w:val="auto"/>
        </w:rPr>
        <w:t>UNITED STATES</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(Mark One)</w:t>
      </w:r>
    </w:p>
    <w:p>
      <w:pPr>
        <w:spacing w:after="0" w:line="52" w:lineRule="exact"/>
        <w:rPr>
          <w:sz w:val="24"/>
          <w:szCs w:val="24"/>
          <w:color w:val="auto"/>
        </w:rPr>
      </w:pPr>
    </w:p>
    <w:p>
      <w:pPr>
        <w:ind w:left="940" w:hanging="446"/>
        <w:spacing w:after="0"/>
        <w:tabs>
          <w:tab w:leader="none" w:pos="9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quarterly period ended June 30, 2024</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2" w:lineRule="exact"/>
        <w:rPr>
          <w:sz w:val="24"/>
          <w:szCs w:val="24"/>
          <w:color w:val="auto"/>
        </w:rPr>
      </w:pPr>
    </w:p>
    <w:p>
      <w:pPr>
        <w:ind w:left="4480" w:right="2920" w:hanging="4438"/>
        <w:spacing w:after="0" w:line="405" w:lineRule="auto"/>
        <w:tabs>
          <w:tab w:leader="none" w:pos="39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number: 001-38669</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LiveRamp Holdings, Inc.</w:t>
      </w:r>
    </w:p>
    <w:p>
      <w:pPr>
        <w:spacing w:after="0" w:line="5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ind w:left="824"/>
              <w:spacing w:after="0"/>
              <w:rPr>
                <w:sz w:val="20"/>
                <w:szCs w:val="20"/>
                <w:color w:val="auto"/>
              </w:rPr>
            </w:pPr>
            <w:r>
              <w:rPr>
                <w:rFonts w:ascii="Arial" w:cs="Arial" w:eastAsia="Arial" w:hAnsi="Arial"/>
                <w:sz w:val="16"/>
                <w:szCs w:val="16"/>
                <w:b w:val="1"/>
                <w:bCs w:val="1"/>
                <w:color w:val="auto"/>
                <w:w w:val="99"/>
              </w:rPr>
              <w:t>Delaware</w:t>
            </w:r>
          </w:p>
        </w:tc>
        <w:tc>
          <w:tcPr>
            <w:tcW w:w="3720" w:type="dxa"/>
            <w:vAlign w:val="bottom"/>
          </w:tcPr>
          <w:p>
            <w:pPr>
              <w:spacing w:after="0"/>
              <w:rPr>
                <w:sz w:val="16"/>
                <w:szCs w:val="16"/>
                <w:color w:val="auto"/>
              </w:rPr>
            </w:pPr>
          </w:p>
        </w:tc>
        <w:tc>
          <w:tcPr>
            <w:tcW w:w="3800" w:type="dxa"/>
            <w:vAlign w:val="bottom"/>
          </w:tcPr>
          <w:p>
            <w:pPr>
              <w:jc w:val="right"/>
              <w:ind w:right="1804"/>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right="2747"/>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8"/>
              </w:rPr>
              <w:t>(I.R.S. Employer Identification No.)</w:t>
            </w:r>
          </w:p>
        </w:tc>
        <w:tc>
          <w:tcPr>
            <w:tcW w:w="0" w:type="dxa"/>
            <w:vAlign w:val="bottom"/>
          </w:tcPr>
          <w:p>
            <w:pPr>
              <w:spacing w:after="0"/>
              <w:rPr>
                <w:sz w:val="1"/>
                <w:szCs w:val="1"/>
                <w:color w:val="auto"/>
              </w:rPr>
            </w:pPr>
          </w:p>
        </w:tc>
      </w:tr>
      <w:tr>
        <w:trPr>
          <w:trHeight w:val="160"/>
        </w:trPr>
        <w:tc>
          <w:tcPr>
            <w:tcW w:w="3680" w:type="dxa"/>
            <w:vAlign w:val="bottom"/>
          </w:tcPr>
          <w:p>
            <w:pPr>
              <w:jc w:val="center"/>
              <w:ind w:left="824"/>
              <w:spacing w:after="0" w:line="160" w:lineRule="exact"/>
              <w:rPr>
                <w:sz w:val="20"/>
                <w:szCs w:val="20"/>
                <w:color w:val="auto"/>
              </w:rPr>
            </w:pPr>
            <w:r>
              <w:rPr>
                <w:rFonts w:ascii="Arial" w:cs="Arial" w:eastAsia="Arial" w:hAnsi="Arial"/>
                <w:sz w:val="16"/>
                <w:szCs w:val="16"/>
                <w:b w:val="1"/>
                <w:bCs w:val="1"/>
                <w:color w:val="auto"/>
                <w:w w:val="98"/>
              </w:rPr>
              <w:t>225 Bush Street, Seventeenth Floor</w:t>
            </w:r>
          </w:p>
        </w:tc>
        <w:tc>
          <w:tcPr>
            <w:tcW w:w="3720" w:type="dxa"/>
            <w:vAlign w:val="bottom"/>
          </w:tcPr>
          <w:p>
            <w:pPr>
              <w:spacing w:after="0"/>
              <w:rPr>
                <w:sz w:val="13"/>
                <w:szCs w:val="13"/>
                <w:color w:val="auto"/>
              </w:rPr>
            </w:pPr>
          </w:p>
        </w:tc>
        <w:tc>
          <w:tcPr>
            <w:tcW w:w="3800" w:type="dxa"/>
            <w:vAlign w:val="bottom"/>
            <w:vMerge w:val="restart"/>
          </w:tcPr>
          <w:p>
            <w:pPr>
              <w:jc w:val="right"/>
              <w:ind w:right="20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58"/>
        </w:trPr>
        <w:tc>
          <w:tcPr>
            <w:tcW w:w="3680" w:type="dxa"/>
            <w:vAlign w:val="bottom"/>
          </w:tcPr>
          <w:p>
            <w:pPr>
              <w:jc w:val="center"/>
              <w:ind w:left="824"/>
              <w:spacing w:after="0" w:line="158" w:lineRule="exact"/>
              <w:rPr>
                <w:sz w:val="20"/>
                <w:szCs w:val="20"/>
                <w:color w:val="auto"/>
              </w:rPr>
            </w:pPr>
            <w:r>
              <w:rPr>
                <w:rFonts w:ascii="Arial" w:cs="Arial" w:eastAsia="Arial" w:hAnsi="Arial"/>
                <w:sz w:val="16"/>
                <w:szCs w:val="16"/>
                <w:b w:val="1"/>
                <w:bCs w:val="1"/>
                <w:color w:val="auto"/>
                <w:w w:val="97"/>
              </w:rPr>
              <w:t>San Francisco, CA</w:t>
            </w:r>
          </w:p>
        </w:tc>
        <w:tc>
          <w:tcPr>
            <w:tcW w:w="37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jc w:val="center"/>
              <w:ind w:left="844"/>
              <w:spacing w:after="0"/>
              <w:rPr>
                <w:sz w:val="20"/>
                <w:szCs w:val="20"/>
                <w:color w:val="auto"/>
              </w:rPr>
            </w:pPr>
            <w:r>
              <w:rPr>
                <w:rFonts w:ascii="Arial" w:cs="Arial" w:eastAsia="Arial" w:hAnsi="Arial"/>
                <w:sz w:val="16"/>
                <w:szCs w:val="16"/>
                <w:color w:val="auto"/>
                <w:w w:val="98"/>
              </w:rPr>
              <w:t>(Address of Principal Executive Offices)</w:t>
            </w:r>
          </w:p>
        </w:tc>
        <w:tc>
          <w:tcPr>
            <w:tcW w:w="3720" w:type="dxa"/>
            <w:vAlign w:val="bottom"/>
          </w:tcPr>
          <w:p>
            <w:pPr>
              <w:spacing w:after="0"/>
              <w:rPr>
                <w:sz w:val="17"/>
                <w:szCs w:val="17"/>
                <w:color w:val="auto"/>
              </w:rPr>
            </w:pP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7"/>
              </w:rPr>
              <w:t>(Zip Code)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3720" w:type="dxa"/>
            <w:vAlign w:val="bottom"/>
          </w:tcPr>
          <w:p>
            <w:pPr>
              <w:jc w:val="center"/>
              <w:ind w:left="47"/>
              <w:spacing w:after="0" w:line="161" w:lineRule="exact"/>
              <w:rPr>
                <w:sz w:val="20"/>
                <w:szCs w:val="20"/>
                <w:color w:val="auto"/>
              </w:rPr>
            </w:pPr>
            <w:r>
              <w:rPr>
                <w:rFonts w:ascii="Arial" w:cs="Arial" w:eastAsia="Arial" w:hAnsi="Arial"/>
                <w:sz w:val="16"/>
                <w:szCs w:val="16"/>
                <w:b w:val="1"/>
                <w:bCs w:val="1"/>
                <w:color w:val="auto"/>
                <w:w w:val="98"/>
              </w:rPr>
              <w:t>(888) 987-6764</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604"/>
              <w:spacing w:after="0"/>
              <w:rPr>
                <w:sz w:val="20"/>
                <w:szCs w:val="20"/>
                <w:color w:val="auto"/>
              </w:rPr>
            </w:pPr>
            <w:r>
              <w:rPr>
                <w:rFonts w:ascii="Arial" w:cs="Arial" w:eastAsia="Arial" w:hAnsi="Arial"/>
                <w:sz w:val="16"/>
                <w:szCs w:val="16"/>
                <w:color w:val="auto"/>
                <w:w w:val="97"/>
              </w:rPr>
              <w:t>(Registrant's Telephone Number, Including Area Code)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720" w:type="dxa"/>
            <w:vAlign w:val="bottom"/>
          </w:tcPr>
          <w:p>
            <w:pPr>
              <w:jc w:val="center"/>
              <w:ind w:left="47"/>
              <w:spacing w:after="0"/>
              <w:rPr>
                <w:sz w:val="20"/>
                <w:szCs w:val="20"/>
                <w:color w:val="auto"/>
              </w:rPr>
            </w:pPr>
            <w:r>
              <w:rPr>
                <w:rFonts w:ascii="Arial" w:cs="Arial" w:eastAsia="Arial" w:hAnsi="Arial"/>
                <w:sz w:val="14"/>
                <w:szCs w:val="14"/>
                <w:color w:val="auto"/>
              </w:rPr>
              <w:t>Securities registered pursuant to Section 12(b) of the Act: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844"/>
              <w:spacing w:after="0"/>
              <w:rPr>
                <w:sz w:val="20"/>
                <w:szCs w:val="20"/>
                <w:color w:val="auto"/>
              </w:rPr>
            </w:pPr>
            <w:r>
              <w:rPr>
                <w:rFonts w:ascii="Arial" w:cs="Arial" w:eastAsia="Arial" w:hAnsi="Arial"/>
                <w:sz w:val="14"/>
                <w:szCs w:val="14"/>
                <w:b w:val="1"/>
                <w:bCs w:val="1"/>
                <w:color w:val="auto"/>
                <w:w w:val="99"/>
              </w:rPr>
              <w:t>Title of each class</w:t>
            </w:r>
          </w:p>
        </w:tc>
        <w:tc>
          <w:tcPr>
            <w:tcW w:w="37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w w:val="98"/>
              </w:rPr>
              <w:t>Trading Symbol</w:t>
            </w:r>
          </w:p>
        </w:tc>
        <w:tc>
          <w:tcPr>
            <w:tcW w:w="380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680" w:type="dxa"/>
            <w:vAlign w:val="bottom"/>
          </w:tcPr>
          <w:p>
            <w:pPr>
              <w:jc w:val="center"/>
              <w:ind w:left="824"/>
              <w:spacing w:after="0"/>
              <w:rPr>
                <w:sz w:val="20"/>
                <w:szCs w:val="20"/>
                <w:color w:val="auto"/>
              </w:rPr>
            </w:pPr>
            <w:r>
              <w:rPr>
                <w:rFonts w:ascii="Arial" w:cs="Arial" w:eastAsia="Arial" w:hAnsi="Arial"/>
                <w:sz w:val="14"/>
                <w:szCs w:val="14"/>
                <w:color w:val="auto"/>
                <w:w w:val="98"/>
              </w:rPr>
              <w:t>Common Stock, $.10 Par Value</w:t>
            </w:r>
          </w:p>
        </w:tc>
        <w:tc>
          <w:tcPr>
            <w:tcW w:w="3720" w:type="dxa"/>
            <w:vAlign w:val="bottom"/>
          </w:tcPr>
          <w:p>
            <w:pPr>
              <w:jc w:val="center"/>
              <w:ind w:left="47"/>
              <w:spacing w:after="0"/>
              <w:rPr>
                <w:sz w:val="20"/>
                <w:szCs w:val="20"/>
                <w:color w:val="auto"/>
              </w:rPr>
            </w:pPr>
            <w:r>
              <w:rPr>
                <w:rFonts w:ascii="Arial" w:cs="Arial" w:eastAsia="Arial" w:hAnsi="Arial"/>
                <w:sz w:val="14"/>
                <w:szCs w:val="14"/>
                <w:color w:val="auto"/>
                <w:w w:val="98"/>
              </w:rPr>
              <w:t>RAMP</w:t>
            </w:r>
          </w:p>
        </w:tc>
        <w:tc>
          <w:tcPr>
            <w:tcW w:w="3800" w:type="dxa"/>
            <w:vAlign w:val="bottom"/>
          </w:tcPr>
          <w:p>
            <w:pPr>
              <w:jc w:val="center"/>
              <w:ind w:right="724"/>
              <w:spacing w:after="0"/>
              <w:rPr>
                <w:sz w:val="20"/>
                <w:szCs w:val="20"/>
                <w:color w:val="auto"/>
              </w:rPr>
            </w:pPr>
            <w:r>
              <w:rPr>
                <w:rFonts w:ascii="Arial" w:cs="Arial" w:eastAsia="Arial" w:hAnsi="Arial"/>
                <w:sz w:val="14"/>
                <w:szCs w:val="14"/>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2" w:lineRule="exact"/>
        <w:rPr>
          <w:sz w:val="24"/>
          <w:szCs w:val="24"/>
          <w:color w:val="auto"/>
        </w:rPr>
      </w:pPr>
    </w:p>
    <w:p>
      <w:pPr>
        <w:ind w:left="500" w:right="4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79" w:lineRule="exact"/>
        <w:rPr>
          <w:sz w:val="24"/>
          <w:szCs w:val="24"/>
          <w:color w:val="auto"/>
        </w:rPr>
      </w:pPr>
    </w:p>
    <w:p>
      <w:pPr>
        <w:ind w:left="50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 of this chapter) during the preceding 12 months (or for such shorter period that the registrant was required to submit such files).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53" w:lineRule="exact"/>
        <w:rPr>
          <w:sz w:val="24"/>
          <w:szCs w:val="24"/>
          <w:color w:val="auto"/>
        </w:rPr>
      </w:pPr>
    </w:p>
    <w:p>
      <w:pPr>
        <w:ind w:left="500" w:right="40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500"/>
        <w:spacing w:after="0"/>
        <w:rPr>
          <w:sz w:val="20"/>
          <w:szCs w:val="20"/>
          <w:color w:val="auto"/>
        </w:rPr>
      </w:pPr>
      <w:r>
        <w:rPr>
          <w:rFonts w:ascii="Arial" w:cs="Arial" w:eastAsia="Arial" w:hAnsi="Arial"/>
          <w:sz w:val="14"/>
          <w:szCs w:val="14"/>
          <w:color w:val="auto"/>
        </w:rPr>
        <w:t>Act.</w:t>
      </w:r>
    </w:p>
    <w:p>
      <w:pPr>
        <w:sectPr>
          <w:pgSz w:w="11900" w:h="16838" w:orient="portrait"/>
          <w:cols w:equalWidth="0" w:num="1">
            <w:col w:w="11340"/>
          </w:cols>
          <w:pgMar w:left="320" w:top="1017" w:right="239" w:bottom="1440" w:gutter="0" w:footer="0" w:header="0"/>
        </w:sectPr>
      </w:pP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color w:val="auto"/>
        </w:rPr>
        <w:t>[ ]</w:t>
      </w:r>
    </w:p>
    <w:p>
      <w:pPr>
        <w:spacing w:after="0" w:line="69" w:lineRule="exact"/>
        <w:rPr>
          <w:sz w:val="24"/>
          <w:szCs w:val="24"/>
          <w:color w:val="auto"/>
        </w:rPr>
      </w:pPr>
    </w:p>
    <w:p>
      <w:pPr>
        <w:sectPr>
          <w:pgSz w:w="11900" w:h="16838" w:orient="portrait"/>
          <w:cols w:equalWidth="0" w:num="3">
            <w:col w:w="7020" w:space="720"/>
            <w:col w:w="1000" w:space="120"/>
            <w:col w:w="2480"/>
          </w:cols>
          <w:pgMar w:left="320" w:top="1017" w:right="239" w:bottom="1440"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sectPr>
          <w:pgSz w:w="11900" w:h="16838" w:orient="portrait"/>
          <w:cols w:equalWidth="0" w:num="2">
            <w:col w:w="6720" w:space="720"/>
            <w:col w:w="3900"/>
          </w:cols>
          <w:pgMar w:left="320" w:top="1017" w:right="239" w:bottom="1440" w:gutter="0" w:footer="0" w:header="0"/>
          <w:type w:val="continuous"/>
        </w:sectPr>
      </w:pPr>
    </w:p>
    <w:p>
      <w:pPr>
        <w:ind w:left="500" w:right="22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 w:lineRule="exact"/>
        <w:rPr>
          <w:sz w:val="24"/>
          <w:szCs w:val="24"/>
          <w:color w:val="auto"/>
        </w:rPr>
      </w:pPr>
    </w:p>
    <w:p>
      <w:pPr>
        <w:ind w:left="4540"/>
        <w:spacing w:after="0" w:line="161" w:lineRule="exact"/>
        <w:tabs>
          <w:tab w:leader="none" w:pos="596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August 2, 2024 was 66,611,646.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7"/>
          <w:szCs w:val="17"/>
          <w:color w:val="auto"/>
        </w:rPr>
        <w:t>LIVERAMP HOLDINGS,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TABLE OF CONTENTS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REPORT ON FORM 10-Q</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June 30, 2024</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ind w:left="20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10"/>
          </w:tcPr>
          <w:p>
            <w:pPr>
              <w:spacing w:after="0" w:line="187" w:lineRule="exact"/>
              <w:rPr>
                <w:sz w:val="20"/>
                <w:szCs w:val="20"/>
                <w:color w:val="auto"/>
              </w:rPr>
            </w:pPr>
            <w:r>
              <w:rPr>
                <w:rFonts w:ascii="Arial" w:cs="Arial" w:eastAsia="Arial" w:hAnsi="Arial"/>
                <w:sz w:val="17"/>
                <w:szCs w:val="17"/>
                <w:color w:val="0000FF"/>
              </w:rPr>
              <w:t>Forward-looking Statements</w:t>
            </w:r>
          </w:p>
        </w:tc>
        <w:tc>
          <w:tcPr>
            <w:tcW w:w="6440" w:type="dxa"/>
            <w:vAlign w:val="bottom"/>
            <w:gridSpan w:val="11"/>
          </w:tcPr>
          <w:p>
            <w:pPr>
              <w:spacing w:after="0"/>
              <w:rPr>
                <w:sz w:val="16"/>
                <w:szCs w:val="16"/>
                <w:color w:val="auto"/>
              </w:rPr>
            </w:pPr>
          </w:p>
        </w:tc>
        <w:tc>
          <w:tcPr>
            <w:tcW w:w="660" w:type="dxa"/>
            <w:vAlign w:val="bottom"/>
            <w:gridSpan w:val="3"/>
          </w:tcPr>
          <w:p>
            <w:pPr>
              <w:jc w:val="center"/>
              <w:ind w:left="393"/>
              <w:spacing w:after="0" w:line="187" w:lineRule="exact"/>
              <w:rPr>
                <w:sz w:val="20"/>
                <w:szCs w:val="20"/>
                <w:color w:val="auto"/>
              </w:rPr>
            </w:pPr>
            <w:r>
              <w:rPr>
                <w:rFonts w:ascii="Arial" w:cs="Arial" w:eastAsia="Arial" w:hAnsi="Arial"/>
                <w:sz w:val="17"/>
                <w:szCs w:val="17"/>
                <w:color w:val="0000FF"/>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 Financial Information</w:t>
            </w:r>
          </w:p>
        </w:tc>
        <w:tc>
          <w:tcPr>
            <w:tcW w:w="78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660" w:type="dxa"/>
            <w:vAlign w:val="bottom"/>
            <w:gridSpan w:val="3"/>
          </w:tcPr>
          <w:p>
            <w:pPr>
              <w:jc w:val="center"/>
              <w:ind w:left="39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60" w:type="dxa"/>
            <w:vAlign w:val="bottom"/>
            <w:gridSpan w:val="16"/>
          </w:tcPr>
          <w:p>
            <w:pPr>
              <w:spacing w:after="0"/>
              <w:rPr>
                <w:sz w:val="20"/>
                <w:szCs w:val="20"/>
                <w:color w:val="auto"/>
              </w:rPr>
            </w:pPr>
            <w:r>
              <w:rPr>
                <w:rFonts w:ascii="Arial" w:cs="Arial" w:eastAsia="Arial" w:hAnsi="Arial"/>
                <w:sz w:val="17"/>
                <w:szCs w:val="17"/>
                <w:color w:val="0000FF"/>
              </w:rPr>
              <w:t>Condensed Consolidated Balance Sheets as of June 30, 2024 (Unaudited) and March 31, 2024</w:t>
            </w:r>
          </w:p>
        </w:tc>
        <w:tc>
          <w:tcPr>
            <w:tcW w:w="1240" w:type="dxa"/>
            <w:vAlign w:val="bottom"/>
            <w:gridSpan w:val="5"/>
          </w:tcPr>
          <w:p>
            <w:pPr>
              <w:spacing w:after="0"/>
              <w:rPr>
                <w:sz w:val="17"/>
                <w:szCs w:val="17"/>
                <w:color w:val="auto"/>
              </w:rPr>
            </w:pPr>
          </w:p>
        </w:tc>
        <w:tc>
          <w:tcPr>
            <w:tcW w:w="660" w:type="dxa"/>
            <w:vAlign w:val="bottom"/>
            <w:gridSpan w:val="3"/>
          </w:tcPr>
          <w:p>
            <w:pPr>
              <w:jc w:val="center"/>
              <w:ind w:left="39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 for the three months ended June 30, 2024 and 2023</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40" w:type="dxa"/>
            <w:vAlign w:val="bottom"/>
            <w:tcBorders>
              <w:top w:val="single" w:sz="8" w:color="0000FF"/>
            </w:tcBorders>
            <w:gridSpan w:val="18"/>
          </w:tcPr>
          <w:p>
            <w:pPr>
              <w:spacing w:after="0" w:line="138" w:lineRule="exact"/>
              <w:rPr>
                <w:sz w:val="20"/>
                <w:szCs w:val="20"/>
                <w:color w:val="auto"/>
              </w:rPr>
            </w:pPr>
            <w:r>
              <w:rPr>
                <w:rFonts w:ascii="Arial" w:cs="Arial" w:eastAsia="Arial" w:hAnsi="Arial"/>
                <w:sz w:val="15"/>
                <w:szCs w:val="15"/>
                <w:color w:val="0000FF"/>
              </w:rPr>
              <w:t>(Unaudited)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Loss for the three months ended June 30, 2024 and</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Borders>
              <w:top w:val="single" w:sz="8" w:color="0000FF"/>
            </w:tcBorders>
            <w:gridSpan w:val="6"/>
          </w:tcPr>
          <w:p>
            <w:pPr>
              <w:spacing w:after="0" w:line="138" w:lineRule="exact"/>
              <w:rPr>
                <w:sz w:val="20"/>
                <w:szCs w:val="20"/>
                <w:color w:val="auto"/>
              </w:rPr>
            </w:pPr>
            <w:r>
              <w:rPr>
                <w:rFonts w:ascii="Arial" w:cs="Arial" w:eastAsia="Arial" w:hAnsi="Arial"/>
                <w:sz w:val="15"/>
                <w:szCs w:val="15"/>
                <w:color w:val="0000FF"/>
              </w:rPr>
              <w:t>2023 (Unaudited)</w:t>
            </w:r>
          </w:p>
        </w:tc>
        <w:tc>
          <w:tcPr>
            <w:tcW w:w="7060" w:type="dxa"/>
            <w:vAlign w:val="bottom"/>
            <w:tcBorders>
              <w:top w:val="single" w:sz="8" w:color="0000FF"/>
            </w:tcBorders>
            <w:gridSpan w:val="14"/>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Equity for the three months ended June 30, 2024 (Unaudited)</w:t>
            </w:r>
          </w:p>
        </w:tc>
        <w:tc>
          <w:tcPr>
            <w:tcW w:w="660" w:type="dxa"/>
            <w:vAlign w:val="bottom"/>
            <w:gridSpan w:val="3"/>
          </w:tcPr>
          <w:p>
            <w:pPr>
              <w:jc w:val="center"/>
              <w:ind w:left="393"/>
              <w:spacing w:after="0"/>
              <w:rPr>
                <w:sz w:val="20"/>
                <w:szCs w:val="20"/>
                <w:color w:val="auto"/>
              </w:rPr>
            </w:pPr>
            <w:r>
              <w:rPr>
                <w:rFonts w:ascii="Arial" w:cs="Arial" w:eastAsia="Arial" w:hAnsi="Arial"/>
                <w:sz w:val="17"/>
                <w:szCs w:val="17"/>
                <w:color w:val="0000FF"/>
              </w:rPr>
              <w:t>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Equity for the three months ended June 30, 2023 (Unaudited)</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 for the three months ended June 30, 2024 and 2023</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w w:val="94"/>
              </w:rPr>
              <w:t>11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(Unaudited)</w:t>
            </w:r>
          </w:p>
        </w:tc>
        <w:tc>
          <w:tcPr>
            <w:tcW w:w="7160" w:type="dxa"/>
            <w:vAlign w:val="bottom"/>
            <w:tcBorders>
              <w:top w:val="single" w:sz="8" w:color="0000FF"/>
            </w:tcBorders>
            <w:gridSpan w:val="15"/>
          </w:tcPr>
          <w:p>
            <w:pPr>
              <w:spacing w:after="0"/>
              <w:rPr>
                <w:sz w:val="13"/>
                <w:szCs w:val="13"/>
                <w:color w:val="auto"/>
              </w:rPr>
            </w:pPr>
          </w:p>
        </w:tc>
        <w:tc>
          <w:tcPr>
            <w:tcW w:w="500" w:type="dxa"/>
            <w:vAlign w:val="bottom"/>
            <w:gridSpan w:val="2"/>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60" w:type="dxa"/>
            <w:vAlign w:val="bottom"/>
            <w:gridSpan w:val="6"/>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42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Part II. Other Information</w:t>
            </w:r>
          </w:p>
        </w:tc>
        <w:tc>
          <w:tcPr>
            <w:tcW w:w="8020" w:type="dxa"/>
            <w:vAlign w:val="bottom"/>
            <w:gridSpan w:val="20"/>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Defaults Upon Senior Securities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5.</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6.</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rPr>
              <w:t>Signature</w:t>
            </w:r>
          </w:p>
        </w:tc>
        <w:tc>
          <w:tcPr>
            <w:tcW w:w="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40" w:top="909" w:right="5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may include but are not limited to the following:</w:t>
      </w:r>
    </w:p>
    <w:p>
      <w:pPr>
        <w:spacing w:after="0" w:line="224" w:lineRule="exact"/>
        <w:rPr>
          <w:sz w:val="20"/>
          <w:szCs w:val="20"/>
          <w:color w:val="auto"/>
        </w:rPr>
      </w:pPr>
    </w:p>
    <w:p>
      <w:pPr>
        <w:ind w:left="640" w:right="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expectations about the macro economy and trends within the consumer or business information industries, including the use of data and consumer expectations related thereto;</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competitive position within our industry and our differentiation strategies;</w:t>
      </w:r>
    </w:p>
    <w:p>
      <w:pPr>
        <w:spacing w:after="0" w:line="250" w:lineRule="exact"/>
        <w:rPr>
          <w:rFonts w:ascii="Arial" w:cs="Arial" w:eastAsia="Arial" w:hAnsi="Arial"/>
          <w:sz w:val="17"/>
          <w:szCs w:val="17"/>
          <w:color w:val="auto"/>
        </w:rPr>
      </w:pPr>
    </w:p>
    <w:p>
      <w:pPr>
        <w:ind w:left="640" w:right="26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laws, regulations and industry practices governing the collection and use of personal data;</w:t>
      </w:r>
    </w:p>
    <w:p>
      <w:pPr>
        <w:spacing w:after="0" w:line="166"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 of public health crises, similar to the COVID-19 pandemic, on our business, operations, and the markets in which we and our partners and customers operate;</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tax-related legislation on our tax position;</w:t>
      </w:r>
    </w:p>
    <w:p>
      <w:pPr>
        <w:spacing w:after="0" w:line="250"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assumptions, projections and/or expectations regarding the Company's annualized future cost savings and expenses associated with our global workforce strategy and real estate footprint reduction;</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liquidity needs or containing a projection of revenues, operating income (loss), income (loss), earnings (loss) per share, capital expenditures, research and development spending, dividends, capital structure, or other financial items;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the plans and objectives of management for future operations;</w:t>
      </w:r>
    </w:p>
    <w:p>
      <w:pPr>
        <w:spacing w:after="0" w:line="171" w:lineRule="exact"/>
        <w:rPr>
          <w:rFonts w:ascii="Arial" w:cs="Arial" w:eastAsia="Arial" w:hAnsi="Arial"/>
          <w:sz w:val="17"/>
          <w:szCs w:val="17"/>
          <w:color w:val="auto"/>
        </w:rPr>
      </w:pPr>
    </w:p>
    <w:p>
      <w:pPr>
        <w:ind w:left="640" w:right="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future performance, including, but not limited to, those statements contained in Management’s Discussion and Analysis of Financial Condition and Results of Operations contained in this Quarterly Report on Form 10-Q;</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the integration and expected benefits from the acquisition of Habu, Inc. ("Habu");</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any assumptions underlying or relating to any of the above statements;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 projection or estimate.</w:t>
      </w:r>
    </w:p>
    <w:p>
      <w:pPr>
        <w:spacing w:after="0" w:line="172"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Among the factors that may cause actual results and expectations to differ from anticipated results and expectations expressed in such forward-looking statements are the following:</w:t>
      </w:r>
    </w:p>
    <w:p>
      <w:pPr>
        <w:spacing w:after="0" w:line="141" w:lineRule="exact"/>
        <w:rPr>
          <w:sz w:val="20"/>
          <w:szCs w:val="20"/>
          <w:color w:val="auto"/>
        </w:rPr>
      </w:pPr>
    </w:p>
    <w:p>
      <w:pPr>
        <w:ind w:left="640" w:right="180" w:hanging="320"/>
        <w:spacing w:after="0" w:line="27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described in Part I, “Item 1A. Risk Factors” included in the Company's Annual Report on Form 10-K for the fiscal year ended March 31, 2024 filed with the Securities and Exchange Commission ("SEC") on May 22, 2024 and those described from time to time in our future reports filed with the SEC;</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907" w:right="419" w:bottom="1440" w:gutter="0" w:footer="0" w:header="0"/>
        </w:sectPr>
      </w:pPr>
    </w:p>
    <w:bookmarkStart w:id="3" w:name="page4"/>
    <w:bookmarkEnd w:id="3"/>
    <w:p>
      <w:pPr>
        <w:ind w:left="320" w:right="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fully realize the potential benefits of acquired businesses (including Habu) or the integration of such acquired businesses may not be as successful as planned;</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fair value of certain of our assets may not be equal to the carrying value of those assets now or in future time periods;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sales cycles may lengthen;</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properly motivate our sales force or other employees;</w:t>
      </w:r>
    </w:p>
    <w:p>
      <w:pPr>
        <w:spacing w:after="0" w:line="171" w:lineRule="exact"/>
        <w:rPr>
          <w:rFonts w:ascii="Arial" w:cs="Arial" w:eastAsia="Arial" w:hAnsi="Arial"/>
          <w:sz w:val="17"/>
          <w:szCs w:val="17"/>
          <w:color w:val="auto"/>
        </w:rPr>
      </w:pPr>
    </w:p>
    <w:p>
      <w:pPr>
        <w:ind w:left="320" w:right="6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attract and retain qualified technical and leadership employees, or that we may lose key employees to other organizations;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global workforce strategy could encounter difficulty and not be as beneficial as planned;</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sublease our exited office spaces on favorable terms and rates;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competent, competitive products, technologies or services will be introduced into the marketplace by other companies;</w:t>
      </w:r>
    </w:p>
    <w:p>
      <w:pPr>
        <w:spacing w:after="0" w:line="171" w:lineRule="exact"/>
        <w:rPr>
          <w:rFonts w:ascii="Arial" w:cs="Arial" w:eastAsia="Arial" w:hAnsi="Arial"/>
          <w:sz w:val="17"/>
          <w:szCs w:val="17"/>
          <w:color w:val="auto"/>
        </w:rPr>
      </w:pPr>
    </w:p>
    <w:p>
      <w:pPr>
        <w:ind w:lef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8" w:lineRule="exact"/>
        <w:rPr>
          <w:rFonts w:ascii="Arial" w:cs="Arial" w:eastAsia="Arial" w:hAnsi="Arial"/>
          <w:sz w:val="17"/>
          <w:szCs w:val="17"/>
          <w:color w:val="auto"/>
        </w:rPr>
      </w:pPr>
    </w:p>
    <w:p>
      <w:pPr>
        <w:ind w:left="320" w:right="8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changes in consumer or business information industries and markets that negatively impact the Company;</w:t>
      </w:r>
    </w:p>
    <w:p>
      <w:pPr>
        <w:spacing w:after="0" w:line="88" w:lineRule="exact"/>
        <w:rPr>
          <w:rFonts w:ascii="Arial" w:cs="Arial" w:eastAsia="Arial" w:hAnsi="Arial"/>
          <w:sz w:val="17"/>
          <w:szCs w:val="17"/>
          <w:color w:val="auto"/>
        </w:rPr>
      </w:pPr>
    </w:p>
    <w:p>
      <w:pPr>
        <w:ind w:left="320" w:right="1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protect proprietary information and technology or to obtain necessary licenses on commercially reasonable terms;</w:t>
      </w:r>
    </w:p>
    <w:p>
      <w:pPr>
        <w:spacing w:after="0" w:line="88" w:lineRule="exact"/>
        <w:rPr>
          <w:rFonts w:ascii="Arial" w:cs="Arial" w:eastAsia="Arial" w:hAnsi="Arial"/>
          <w:sz w:val="17"/>
          <w:szCs w:val="17"/>
          <w:color w:val="auto"/>
        </w:rPr>
      </w:pPr>
    </w:p>
    <w:p>
      <w:pPr>
        <w:ind w:left="320" w:right="80" w:hanging="320"/>
        <w:spacing w:after="0" w:line="271"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w:t>
      </w:r>
    </w:p>
    <w:p>
      <w:pPr>
        <w:spacing w:after="0" w:line="113" w:lineRule="exact"/>
        <w:rPr>
          <w:rFonts w:ascii="Arial" w:cs="Arial" w:eastAsia="Arial" w:hAnsi="Arial"/>
          <w:sz w:val="17"/>
          <w:szCs w:val="17"/>
          <w:color w:val="auto"/>
        </w:rPr>
      </w:pPr>
    </w:p>
    <w:p>
      <w:pPr>
        <w:ind w:left="320" w:right="70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spacing w:after="0" w:line="88"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purchasers will reduce their reliance on us by developing and using their own, or alternative, sources of data generally or with respect to certain data elements or categories;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enter into short-term contracts that would affect the predictability of our revenues;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amount of volume-based and other transactional-based work will not be as expected;</w:t>
      </w:r>
    </w:p>
    <w:p>
      <w:pPr>
        <w:spacing w:after="0" w:line="171"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a loss of data center capacity or capability or interruption of telecommunication links or power sources;</w:t>
      </w:r>
    </w:p>
    <w:p>
      <w:pPr>
        <w:spacing w:after="0" w:line="88" w:lineRule="exact"/>
        <w:rPr>
          <w:rFonts w:ascii="Arial" w:cs="Arial" w:eastAsia="Arial" w:hAnsi="Arial"/>
          <w:sz w:val="17"/>
          <w:szCs w:val="17"/>
          <w:color w:val="auto"/>
        </w:rPr>
      </w:pPr>
    </w:p>
    <w:p>
      <w:pPr>
        <w:ind w:left="320" w:right="6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failures or breaches of our network and data security systems, leading to potential adverse publicity, negative customer reaction, or liability to third parties;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customers may cancel or modify their agreements with us, or may not make timely or complete payments;</w:t>
      </w: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067" w:right="339" w:bottom="1440" w:gutter="0" w:footer="0" w:header="0"/>
        </w:sectPr>
      </w:pPr>
    </w:p>
    <w:bookmarkStart w:id="4" w:name="page5"/>
    <w:bookmarkEnd w:id="4"/>
    <w:p>
      <w:pPr>
        <w:ind w:left="640" w:right="32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will not successfully meet customer contract requirements or the service levels specified in the contracts, which may result in contract penalties or lost revenue;</w:t>
      </w:r>
    </w:p>
    <w:p>
      <w:pPr>
        <w:spacing w:after="0" w:line="88" w:lineRule="exact"/>
        <w:rPr>
          <w:rFonts w:ascii="Arial" w:cs="Arial" w:eastAsia="Arial" w:hAnsi="Arial"/>
          <w:sz w:val="17"/>
          <w:szCs w:val="17"/>
          <w:color w:val="auto"/>
        </w:rPr>
      </w:pPr>
    </w:p>
    <w:p>
      <w:pPr>
        <w:ind w:left="640" w:right="74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experience processing errors that result in credits to customers, re-performance of services or payment of damages to customers;</w:t>
      </w:r>
    </w:p>
    <w:p>
      <w:pPr>
        <w:spacing w:after="0" w:line="88"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107" w:lineRule="exact"/>
        <w:rPr>
          <w:rFonts w:ascii="Arial" w:cs="Arial" w:eastAsia="Arial" w:hAnsi="Arial"/>
          <w:sz w:val="17"/>
          <w:szCs w:val="17"/>
          <w:color w:val="auto"/>
        </w:rPr>
      </w:pPr>
    </w:p>
    <w:p>
      <w:pPr>
        <w:jc w:val="both"/>
        <w:ind w:left="640" w:right="16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and global negative conditions, risk of recession, high interest rates, the military conflicts in Europe and the Middle East, capital markets volatility, bank failures, government shutdowns, cost increases and general inflationary pressure and other related causes;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tax rate and other effects of the changes to U.S. federal tax law.</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PART I. FINANCIAL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ASSETS</w:t>
            </w:r>
          </w:p>
        </w:tc>
        <w:tc>
          <w:tcPr>
            <w:tcW w:w="3840" w:type="dxa"/>
            <w:vAlign w:val="bottom"/>
            <w:gridSpan w:val="2"/>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310,396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336,867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32,333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32,045</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Trade accounts receivable,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190,313</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Refundable income taxes, net</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31,456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585,037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602,032</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8,181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30,737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501,721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501,756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commissions,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48,143</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36,748</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1,206,256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LIABILITIES AND STOCKHOLDERS' EQUITY</w:t>
            </w:r>
          </w:p>
        </w:tc>
        <w:tc>
          <w:tcPr>
            <w:tcW w:w="25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20" w:type="dxa"/>
            <w:vAlign w:val="bottom"/>
            <w:tcBorders>
              <w:bottom w:val="single" w:sz="8" w:color="auto"/>
            </w:tcBorders>
            <w:gridSpan w:val="3"/>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84,769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81,202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Accrued payroll and related 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61,575</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Other accrued expenses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43,220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42,857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38,433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0" w:type="dxa"/>
            <w:vAlign w:val="bottom"/>
          </w:tcPr>
          <w:p>
            <w:pPr>
              <w:spacing w:after="0"/>
              <w:rPr>
                <w:sz w:val="1"/>
                <w:szCs w:val="1"/>
                <w:color w:val="auto"/>
              </w:rPr>
            </w:pPr>
          </w:p>
        </w:tc>
      </w:tr>
      <w:tr>
        <w:trPr>
          <w:trHeight w:val="202"/>
        </w:trPr>
        <w:tc>
          <w:tcPr>
            <w:tcW w:w="8200" w:type="dxa"/>
            <w:vAlign w:val="bottom"/>
            <w:gridSpan w:val="5"/>
          </w:tcPr>
          <w:p>
            <w:pPr>
              <w:ind w:left="32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189,638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216,576</w:t>
            </w:r>
          </w:p>
        </w:tc>
        <w:tc>
          <w:tcPr>
            <w:tcW w:w="0" w:type="dxa"/>
            <w:vAlign w:val="bottom"/>
          </w:tcPr>
          <w:p>
            <w:pPr>
              <w:spacing w:after="0"/>
              <w:rPr>
                <w:sz w:val="1"/>
                <w:szCs w:val="1"/>
                <w:color w:val="auto"/>
              </w:rPr>
            </w:pPr>
          </w:p>
        </w:tc>
      </w:tr>
      <w:tr>
        <w:trPr>
          <w:trHeight w:val="263"/>
        </w:trPr>
        <w:tc>
          <w:tcPr>
            <w:tcW w:w="2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64,742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65,732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1,966,578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1,933,776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1,306,683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1,314,172</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(2,341,003)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(2,318,371)</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951,876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949,135</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1,206,256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CONDENSED CONSOLIDATED STATEMENTS OF OPERATIONS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(Dollars in thousands, except per share amounts)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8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03"/>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175,961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154,069</w:t>
            </w:r>
          </w:p>
        </w:tc>
      </w:tr>
      <w:tr>
        <w:trPr>
          <w:trHeight w:val="209"/>
        </w:trPr>
        <w:tc>
          <w:tcPr>
            <w:tcW w:w="8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51,749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45,621</w:t>
            </w:r>
          </w:p>
        </w:tc>
      </w:tr>
      <w:tr>
        <w:trPr>
          <w:trHeight w:val="204"/>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124,212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108,448</w:t>
            </w:r>
          </w:p>
        </w:tc>
      </w:tr>
      <w:tr>
        <w:trPr>
          <w:trHeight w:val="189"/>
        </w:trPr>
        <w:tc>
          <w:tcPr>
            <w:tcW w:w="816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1"/>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34,519</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54,175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44,879</w:t>
            </w:r>
          </w:p>
        </w:tc>
      </w:tr>
      <w:tr>
        <w:trPr>
          <w:trHeight w:val="211"/>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30,961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26,664</w:t>
            </w:r>
          </w:p>
        </w:tc>
      </w:tr>
      <w:tr>
        <w:trPr>
          <w:trHeight w:val="209"/>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Gains, losses and other items,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w:t>
            </w:r>
          </w:p>
        </w:tc>
      </w:tr>
      <w:tr>
        <w:trPr>
          <w:trHeight w:val="204"/>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129,460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106,178</w:t>
            </w:r>
          </w:p>
        </w:tc>
      </w:tr>
      <w:tr>
        <w:trPr>
          <w:trHeight w:val="202"/>
        </w:trPr>
        <w:tc>
          <w:tcPr>
            <w:tcW w:w="8160" w:type="dxa"/>
            <w:vAlign w:val="bottom"/>
          </w:tcPr>
          <w:p>
            <w:pPr>
              <w:ind w:left="540"/>
              <w:spacing w:after="0"/>
              <w:rPr>
                <w:sz w:val="20"/>
                <w:szCs w:val="20"/>
                <w:color w:val="auto"/>
              </w:rPr>
            </w:pPr>
            <w:r>
              <w:rPr>
                <w:rFonts w:ascii="Arial" w:cs="Arial" w:eastAsia="Arial" w:hAnsi="Arial"/>
                <w:sz w:val="16"/>
                <w:szCs w:val="16"/>
                <w:color w:val="auto"/>
              </w:rPr>
              <w:t>Income (loss) from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2,270</w:t>
            </w:r>
          </w:p>
        </w:tc>
      </w:tr>
      <w:tr>
        <w:trPr>
          <w:trHeight w:val="211"/>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4,849</w:t>
            </w:r>
          </w:p>
        </w:tc>
      </w:tr>
      <w:tr>
        <w:trPr>
          <w:trHeight w:val="202"/>
        </w:trPr>
        <w:tc>
          <w:tcPr>
            <w:tcW w:w="8160" w:type="dxa"/>
            <w:vAlign w:val="bottom"/>
          </w:tcPr>
          <w:p>
            <w:pPr>
              <w:ind w:left="540"/>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7,119</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6,685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8,705</w:t>
            </w:r>
          </w:p>
        </w:tc>
      </w:tr>
      <w:tr>
        <w:trPr>
          <w:trHeight w:val="204"/>
        </w:trPr>
        <w:tc>
          <w:tcPr>
            <w:tcW w:w="8160" w:type="dxa"/>
            <w:vAlign w:val="bottom"/>
          </w:tcPr>
          <w:p>
            <w:pPr>
              <w:ind w:left="5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8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6"/>
                <w:szCs w:val="16"/>
                <w:color w:val="auto"/>
              </w:rPr>
              <w:t>Basic loss per share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8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6"/>
                <w:szCs w:val="16"/>
                <w:color w:val="auto"/>
              </w:rPr>
              <w:t>Diluted loss per share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8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CONDENSED CONSOLIDATED STATEMENTS OF COMPREHENSIVE LOSS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(Dollars in thousands)</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r>
      <w:tr>
        <w:trPr>
          <w:trHeight w:val="197"/>
        </w:trPr>
        <w:tc>
          <w:tcPr>
            <w:tcW w:w="80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03"/>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(7,489)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(1,586)</w:t>
            </w:r>
          </w:p>
        </w:tc>
      </w:tr>
      <w:tr>
        <w:trPr>
          <w:trHeight w:val="209"/>
        </w:trPr>
        <w:tc>
          <w:tcPr>
            <w:tcW w:w="80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0"/>
        </w:trPr>
        <w:tc>
          <w:tcPr>
            <w:tcW w:w="8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foreign currency translation adjustment</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r>
      <w:tr>
        <w:trPr>
          <w:trHeight w:val="204"/>
        </w:trPr>
        <w:tc>
          <w:tcPr>
            <w:tcW w:w="8080" w:type="dxa"/>
            <w:vAlign w:val="bottom"/>
          </w:tcPr>
          <w:p>
            <w:pPr>
              <w:spacing w:after="0"/>
              <w:rPr>
                <w:sz w:val="20"/>
                <w:szCs w:val="20"/>
                <w:color w:val="auto"/>
              </w:rPr>
            </w:pPr>
            <w:r>
              <w:rPr>
                <w:rFonts w:ascii="Arial" w:cs="Arial" w:eastAsia="Arial" w:hAnsi="Arial"/>
                <w:sz w:val="16"/>
                <w:szCs w:val="16"/>
                <w:color w:val="auto"/>
              </w:rPr>
              <w:t>Comprehensive loss</w:t>
            </w:r>
          </w:p>
        </w:tc>
        <w:tc>
          <w:tcPr>
            <w:tcW w:w="900" w:type="dxa"/>
            <w:vAlign w:val="bottom"/>
            <w:tcBorders>
              <w:bottom w:val="single" w:sz="8" w:color="auto"/>
            </w:tcBorders>
          </w:tcPr>
          <w:p>
            <w:pPr>
              <w:jc w:val="right"/>
              <w:ind w:right="72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(7,561)</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(1,525)</w:t>
            </w: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914" w:right="419" w:bottom="1440" w:gutter="0" w:footer="0" w:header="0"/>
        </w:sectPr>
      </w:pPr>
    </w:p>
    <w:bookmarkStart w:id="8" w:name="page9"/>
    <w:bookmarkEnd w:id="8"/>
    <w:p>
      <w:pPr>
        <w:ind w:left="4040"/>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THREE MONTHS ENDED JUNE 30, 2024</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June 30, 2024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income (loss)</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155,943,262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1,314,172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(89,668,961)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(2,318,371)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272,602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6,139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(209,912)</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26,767</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1,032,718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(498,574)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(7,489)</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157,256,866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1,306,683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(90,377,447)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(2,341,003)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951,876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ind w:left="4040"/>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THREE MONTHS ENDED JUNE 30, 2023</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June 30, 2023</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153,987,784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1,302,291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4,504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(87,372,837)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(2,252,034)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926,076</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278,864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(159,830)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12,502</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272,660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2023</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154,551,628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1,873,935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1,300,705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(88,367,267)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(2,276,129)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918,531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00" w:type="dxa"/>
            <w:vAlign w:val="bottom"/>
          </w:tcPr>
          <w:p>
            <w:pPr>
              <w:spacing w:after="0"/>
              <w:rPr>
                <w:sz w:val="16"/>
                <w:szCs w:val="16"/>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90"/>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9"/>
        </w:trPr>
        <w:tc>
          <w:tcPr>
            <w:tcW w:w="83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(1,586)</w:t>
            </w:r>
          </w:p>
        </w:tc>
      </w:tr>
      <w:tr>
        <w:trPr>
          <w:trHeight w:val="211"/>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4,039</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or impairment of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Lease-related impairment and restructuring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47</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13,292</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(14,391)</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Deferred commissions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2,741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86</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5,008</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(25,225)</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37,236</w:t>
            </w:r>
          </w:p>
        </w:tc>
      </w:tr>
      <w:tr>
        <w:trPr>
          <w:trHeight w:val="20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7,098</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25,693</w:t>
            </w:r>
          </w:p>
        </w:tc>
      </w:tr>
      <w:tr>
        <w:trPr>
          <w:trHeight w:val="243"/>
        </w:trPr>
        <w:tc>
          <w:tcPr>
            <w:tcW w:w="8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Proceeds from sales of investments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r>
      <w:tr>
        <w:trPr>
          <w:trHeight w:val="243"/>
        </w:trPr>
        <w:tc>
          <w:tcPr>
            <w:tcW w:w="8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related to the issuance of common stock under stock and employee benefit plans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5,573</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Shares repurchased for tax withholdings upon vesting of stock-based awards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(3,892)</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treasury stock</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(20,203)</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(18,522)</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continuing operations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6,618</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953" w:right="53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(Dollars in thousands)</w:t>
      </w:r>
    </w:p>
    <w:p>
      <w:pPr>
        <w:spacing w:after="0" w:line="29"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8300" w:type="dxa"/>
            <w:vAlign w:val="bottom"/>
          </w:tcPr>
          <w:p>
            <w:pPr>
              <w:spacing w:after="0"/>
              <w:rPr>
                <w:sz w:val="16"/>
                <w:szCs w:val="16"/>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r>
      <w:tr>
        <w:trPr>
          <w:trHeight w:val="242"/>
        </w:trPr>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0"/>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62"/>
        </w:trPr>
        <w:tc>
          <w:tcPr>
            <w:tcW w:w="8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6,325</w:t>
            </w:r>
          </w:p>
        </w:tc>
      </w:tr>
      <w:tr>
        <w:trPr>
          <w:trHeight w:val="20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339,471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464,448</w:t>
            </w:r>
          </w:p>
        </w:tc>
      </w:tr>
      <w:tr>
        <w:trPr>
          <w:trHeight w:val="22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313,014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470,773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Cash paid (received) for income taxes, net from continuing operations</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(28,653)</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operating lease liabilities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2,459</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3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10,565</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assets, and related lease liabilities, relinquished in lease terminations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r>
      <w:tr>
        <w:trPr>
          <w:trHeight w:val="207"/>
        </w:trPr>
        <w:tc>
          <w:tcPr>
            <w:tcW w:w="8300" w:type="dxa"/>
            <w:vAlign w:val="bottom"/>
          </w:tcPr>
          <w:p>
            <w:pPr>
              <w:ind w:left="340"/>
              <w:spacing w:after="0"/>
              <w:rPr>
                <w:sz w:val="20"/>
                <w:szCs w:val="20"/>
                <w:color w:val="auto"/>
              </w:rPr>
            </w:pPr>
            <w:r>
              <w:rPr>
                <w:rFonts w:ascii="Arial" w:cs="Arial" w:eastAsia="Arial" w:hAnsi="Arial"/>
                <w:sz w:val="16"/>
                <w:szCs w:val="16"/>
                <w:color w:val="auto"/>
              </w:rPr>
              <w:t>Purchases of property, plant and equipment remaining unpaid at period end</w:t>
            </w:r>
          </w:p>
        </w:tc>
        <w:tc>
          <w:tcPr>
            <w:tcW w:w="3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953" w:right="539" w:bottom="1440" w:gutter="0" w:footer="0" w:header="0"/>
        </w:sectPr>
      </w:pPr>
    </w:p>
    <w:bookmarkStart w:id="12" w:name="page13"/>
    <w:bookmarkEnd w:id="12"/>
    <w:p>
      <w:pPr>
        <w:jc w:val="center"/>
        <w:ind w:right="20"/>
        <w:spacing w:after="0" w:line="291" w:lineRule="auto"/>
        <w:rPr>
          <w:sz w:val="20"/>
          <w:szCs w:val="20"/>
          <w:color w:val="auto"/>
        </w:rPr>
      </w:pPr>
      <w:r>
        <w:rPr>
          <w:rFonts w:ascii="Arial" w:cs="Arial" w:eastAsia="Arial" w:hAnsi="Arial"/>
          <w:sz w:val="17"/>
          <w:szCs w:val="17"/>
          <w:color w:val="auto"/>
        </w:rPr>
        <w:t>LIVERAMP HOLDINGS,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335"/>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2024 (“2024 Annual Report”), as filed with the SEC on May 22, 2024. This Quarterly Report on Form 10-Q and the accompanying condensed consolidated financial statements should be read in connection with the 2024 Annual Report. The financial information contained in this Quarterly Report on Form 10-Q is not necessarily indicative of the results to be expected for any other period or for the full fiscal year ending March 31, 2025.</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2024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Accounting Pronouncements Adopted During the Current Year</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6"/>
                <w:szCs w:val="16"/>
                <w:b w:val="1"/>
                <w:bCs w:val="1"/>
                <w:color w:val="auto"/>
              </w:rPr>
              <w:t>Description</w:t>
            </w:r>
          </w:p>
        </w:tc>
        <w:tc>
          <w:tcPr>
            <w:tcW w:w="132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Date of</w:t>
            </w:r>
          </w:p>
        </w:tc>
        <w:tc>
          <w:tcPr>
            <w:tcW w:w="346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8"/>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9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Significant Matters</w:t>
            </w:r>
          </w:p>
        </w:tc>
        <w:tc>
          <w:tcPr>
            <w:tcW w:w="0" w:type="dxa"/>
            <w:vAlign w:val="bottom"/>
          </w:tcPr>
          <w:p>
            <w:pPr>
              <w:spacing w:after="0"/>
              <w:rPr>
                <w:sz w:val="1"/>
                <w:szCs w:val="1"/>
                <w:color w:val="auto"/>
              </w:rPr>
            </w:pPr>
          </w:p>
        </w:tc>
      </w:tr>
      <w:tr>
        <w:trPr>
          <w:trHeight w:val="151"/>
        </w:trPr>
        <w:tc>
          <w:tcPr>
            <w:tcW w:w="254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w w:val="99"/>
              </w:rPr>
              <w:t>There were no material accounting</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pronouncements applicable to the</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w:t>
            </w:r>
          </w:p>
        </w:tc>
        <w:tc>
          <w:tcPr>
            <w:tcW w:w="39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6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Date of Adoption</w:t>
            </w:r>
          </w:p>
        </w:tc>
        <w:tc>
          <w:tcPr>
            <w:tcW w:w="3460" w:type="dxa"/>
            <w:vAlign w:val="bottom"/>
            <w:tcBorders>
              <w:top w:val="single" w:sz="8" w:color="auto"/>
              <w:right w:val="single" w:sz="8" w:color="auto"/>
            </w:tcBorders>
          </w:tcPr>
          <w:p>
            <w:pPr>
              <w:ind w:left="240"/>
              <w:spacing w:after="0" w:line="171" w:lineRule="exact"/>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40" w:type="dxa"/>
            <w:vAlign w:val="bottom"/>
            <w:tcBorders>
              <w:bottom w:val="single" w:sz="8" w:color="auto"/>
              <w:right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346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6"/>
                <w:szCs w:val="16"/>
                <w:b w:val="1"/>
                <w:bCs w:val="1"/>
                <w:color w:val="auto"/>
              </w:rPr>
              <w:t>Accounting Standard Update</w:t>
            </w:r>
          </w:p>
        </w:tc>
        <w:tc>
          <w:tcPr>
            <w:tcW w:w="36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ASU 2023-07 expands annual and interim</w:t>
            </w:r>
          </w:p>
        </w:tc>
        <w:tc>
          <w:tcPr>
            <w:tcW w:w="162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(“ASU”) 2023-07</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disclosure requirements for reportable segments,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our</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primarily through enhanced disclosures about</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annual periods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Reporting (Topic 280):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significant segment expenses.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2025 and interim</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Reportable</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periods beginning in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Disclosures</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continue"/>
          </w:tcPr>
          <w:p>
            <w:pPr>
              <w:spacing w:after="0"/>
              <w:rPr>
                <w:sz w:val="11"/>
                <w:szCs w:val="11"/>
                <w:color w:val="auto"/>
              </w:rPr>
            </w:pP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the first quarter of</w:t>
            </w: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fiscal 2026. Early</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adoption is permitted.</w:t>
            </w: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2023-09</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2023-09 requires disaggregated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a reporting entity's effective tax rate</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Taxes (Topic 740):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reconciliation as well as information on income tax</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paid.</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2026.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Income Tax</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Disclosures</w:t>
            </w: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5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340" w:hanging="335"/>
        <w:spacing w:after="0"/>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LOSS PER SHARE AND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numerator and denominator of basic and diluted loss per share is shown below (in thousands, except per share amounts):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loss per share: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320"/>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32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66,497</w:t>
            </w:r>
          </w:p>
        </w:tc>
        <w:tc>
          <w:tcPr>
            <w:tcW w:w="0" w:type="dxa"/>
            <w:vAlign w:val="bottom"/>
          </w:tcPr>
          <w:p>
            <w:pPr>
              <w:spacing w:after="0"/>
              <w:rPr>
                <w:sz w:val="1"/>
                <w:szCs w:val="1"/>
                <w:color w:val="auto"/>
              </w:rPr>
            </w:pPr>
          </w:p>
        </w:tc>
      </w:tr>
      <w:tr>
        <w:trPr>
          <w:trHeight w:val="262"/>
        </w:trPr>
        <w:tc>
          <w:tcPr>
            <w:tcW w:w="8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320"/>
              <w:spacing w:after="0"/>
              <w:rPr>
                <w:sz w:val="20"/>
                <w:szCs w:val="20"/>
                <w:color w:val="auto"/>
              </w:rPr>
            </w:pPr>
            <w:r>
              <w:rPr>
                <w:rFonts w:ascii="Arial" w:cs="Arial" w:eastAsia="Arial" w:hAnsi="Arial"/>
                <w:sz w:val="17"/>
                <w:szCs w:val="17"/>
                <w:color w:val="auto"/>
              </w:rPr>
              <w:t>Basic loss per share</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Diluted loss per share: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66,497</w:t>
            </w:r>
          </w:p>
        </w:tc>
        <w:tc>
          <w:tcPr>
            <w:tcW w:w="0" w:type="dxa"/>
            <w:vAlign w:val="bottom"/>
          </w:tcPr>
          <w:p>
            <w:pPr>
              <w:spacing w:after="0"/>
              <w:rPr>
                <w:sz w:val="1"/>
                <w:szCs w:val="1"/>
                <w:color w:val="auto"/>
              </w:rPr>
            </w:pPr>
          </w:p>
        </w:tc>
      </w:tr>
      <w:tr>
        <w:trPr>
          <w:trHeight w:val="170"/>
        </w:trPr>
        <w:tc>
          <w:tcPr>
            <w:tcW w:w="8620" w:type="dxa"/>
            <w:vAlign w:val="bottom"/>
          </w:tcPr>
          <w:p>
            <w:pPr>
              <w:ind w:left="540"/>
              <w:spacing w:after="0" w:line="171" w:lineRule="exact"/>
              <w:rPr>
                <w:sz w:val="20"/>
                <w:szCs w:val="20"/>
                <w:color w:val="auto"/>
              </w:rPr>
            </w:pPr>
            <w:r>
              <w:rPr>
                <w:rFonts w:ascii="Arial" w:cs="Arial" w:eastAsia="Arial" w:hAnsi="Arial"/>
                <w:sz w:val="17"/>
                <w:szCs w:val="17"/>
                <w:color w:val="auto"/>
              </w:rPr>
              <w:t>Dilutive effect of common stock options and restricted stock units as computed under the treasury</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620" w:type="dxa"/>
            <w:vAlign w:val="bottom"/>
          </w:tcPr>
          <w:p>
            <w:pPr>
              <w:ind w:left="540"/>
              <w:spacing w:after="0"/>
              <w:rPr>
                <w:sz w:val="20"/>
                <w:szCs w:val="20"/>
                <w:color w:val="auto"/>
              </w:rPr>
            </w:pPr>
            <w:r>
              <w:rPr>
                <w:rFonts w:ascii="Arial" w:cs="Arial" w:eastAsia="Arial" w:hAnsi="Arial"/>
                <w:sz w:val="17"/>
                <w:szCs w:val="17"/>
                <w:color w:val="auto"/>
              </w:rPr>
              <w:t>stock method (1)</w:t>
            </w: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Diluted weighted-average shares outstanding</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66,497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Diluted loss per share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420" w:firstLine="5"/>
        <w:spacing w:after="0" w:line="278"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common stock options and restricted stock units as computed under the treasury stock method that would have otherwise been dilutive but are excluded from the table above because their effect would have been anti-dilutive due to the net loss position of the Company was 1.8 million and 0.9 million for the three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 w:name="page15"/>
    <w:bookmarkEnd w:id="14"/>
    <w:p>
      <w:pPr>
        <w:ind w:right="480"/>
        <w:spacing w:after="0" w:line="278" w:lineRule="auto"/>
        <w:rPr>
          <w:sz w:val="20"/>
          <w:szCs w:val="20"/>
          <w:color w:val="auto"/>
        </w:rPr>
      </w:pPr>
      <w:r>
        <w:rPr>
          <w:rFonts w:ascii="Arial" w:cs="Arial" w:eastAsia="Arial" w:hAnsi="Arial"/>
          <w:sz w:val="17"/>
          <w:szCs w:val="17"/>
          <w:color w:val="auto"/>
        </w:rPr>
        <w:t>Restricted stock units that were outstanding during the periods presented but were not included in the computation of diluted loss per share because their effect would have been anti-dilutive (other than due to the net loss position of the Company) are shown below (shares in thousands):</w:t>
      </w:r>
    </w:p>
    <w:p>
      <w:pPr>
        <w:spacing w:after="0" w:line="207"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For the three months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1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shares underlying restricted stock units</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2,708</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Stockholders’ Equity</w:t>
      </w:r>
    </w:p>
    <w:p>
      <w:pPr>
        <w:spacing w:after="0" w:line="25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On December 20, 2022, the Company's board of directors approved an amendment to the existing common stock repurchase program, which was initially adopted in 2011. The amendment authorized an additional $ 100.0 million in share repurchases, increasing the total amount authorized for repurchase under the common stock repurchase program to $1.1 billion. In addition, it extended the common stock repurchase program duration through December 31, 2024.</w:t>
      </w:r>
    </w:p>
    <w:p>
      <w:pPr>
        <w:spacing w:after="0" w:line="192"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During the three months ended June 30, 2024, the Company repurchased 0.5 million shares of its common stock for $15.8 million under the modified common stock repurchase program. Through June 30, 2024, the Company had repurchased a total of 38.2 million shares of its common stock for $958.5 million under the program, leaving remaining capacity of $141.5 million.</w:t>
      </w:r>
    </w:p>
    <w:p>
      <w:pPr>
        <w:spacing w:after="0" w:line="160"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Accumulated other comprehensive income balances of $3.9 million and $4.0 million at June 30, 2024 and March 31, 2024, respectively, reflect accumulated foreign currency translation adjustments.</w:t>
      </w:r>
    </w:p>
    <w:p>
      <w:pPr>
        <w:spacing w:after="0" w:line="375" w:lineRule="exact"/>
        <w:rPr>
          <w:sz w:val="20"/>
          <w:szCs w:val="20"/>
          <w:color w:val="auto"/>
        </w:rPr>
      </w:pPr>
    </w:p>
    <w:p>
      <w:pPr>
        <w:ind w:left="340" w:hanging="335"/>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table, revenue is disaggregated by primary geographical market and major service offerings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6000" w:type="dxa"/>
            <w:vAlign w:val="bottom"/>
            <w:gridSpan w:val="2"/>
            <w:vMerge w:val="restart"/>
          </w:tcPr>
          <w:p>
            <w:pPr>
              <w:ind w:left="580"/>
              <w:spacing w:after="0"/>
              <w:rPr>
                <w:sz w:val="20"/>
                <w:szCs w:val="20"/>
                <w:color w:val="auto"/>
              </w:rPr>
            </w:pPr>
            <w:r>
              <w:rPr>
                <w:rFonts w:ascii="Arial" w:cs="Arial" w:eastAsia="Arial" w:hAnsi="Arial"/>
                <w:sz w:val="17"/>
                <w:szCs w:val="17"/>
                <w:color w:val="auto"/>
              </w:rPr>
              <w:t>Primary Geographical Markets</w:t>
            </w: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144,166</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Europe</w:t>
            </w: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8,137</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 ("APAC")</w:t>
            </w:r>
          </w:p>
        </w:tc>
        <w:tc>
          <w:tcPr>
            <w:tcW w:w="5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154,069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6160" w:type="dxa"/>
            <w:vAlign w:val="bottom"/>
            <w:gridSpan w:val="3"/>
          </w:tcPr>
          <w:p>
            <w:pPr>
              <w:jc w:val="right"/>
              <w:ind w:right="3353"/>
              <w:spacing w:after="0"/>
              <w:rPr>
                <w:sz w:val="20"/>
                <w:szCs w:val="20"/>
                <w:color w:val="auto"/>
              </w:rPr>
            </w:pPr>
            <w:r>
              <w:rPr>
                <w:rFonts w:ascii="Arial" w:cs="Arial" w:eastAsia="Arial" w:hAnsi="Arial"/>
                <w:sz w:val="17"/>
                <w:szCs w:val="17"/>
                <w:color w:val="auto"/>
              </w:rPr>
              <w:t>Major Offerings/Services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5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134,793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121,882</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Marketplace and 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32,187</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154,069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performance obligations associated with fixed commitments in customer contracts for future services that have not yet been recognized in our condensed consolidated financial statements. The amount of fixed revenue not yet recognized was $535.8 million as of June 30, 2024, of which $398.0 million will be recognized over the next twelve months. The Company expects to recognize revenue on substantially all of these remaining performance obligations by March 31, 2028.</w:t>
      </w:r>
    </w:p>
    <w:p>
      <w:pPr>
        <w:spacing w:after="0" w:line="200" w:lineRule="exact"/>
        <w:rPr>
          <w:sz w:val="20"/>
          <w:szCs w:val="20"/>
          <w:color w:val="auto"/>
        </w:rPr>
      </w:pPr>
    </w:p>
    <w:p>
      <w:pPr>
        <w:spacing w:after="0" w:line="22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LEASES: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lease liabilities balances consist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Right-of-use assets included in other assets, net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23,781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24,471</w:t>
            </w: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Short-term lease liabilities included in other accrued expenses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6"/>
              <w:spacing w:after="0"/>
              <w:rPr>
                <w:sz w:val="20"/>
                <w:szCs w:val="20"/>
                <w:color w:val="auto"/>
              </w:rPr>
            </w:pPr>
            <w:r>
              <w:rPr>
                <w:rFonts w:ascii="Arial" w:cs="Arial" w:eastAsia="Arial" w:hAnsi="Arial"/>
                <w:sz w:val="17"/>
                <w:szCs w:val="17"/>
                <w:color w:val="auto"/>
              </w:rPr>
              <w:t>10,161</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10,125</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Long-term lease liabilities included in other liabilities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32,097</w:t>
            </w:r>
          </w:p>
        </w:tc>
      </w:tr>
      <w:tr>
        <w:trPr>
          <w:trHeight w:val="262"/>
        </w:trPr>
        <w:tc>
          <w:tcPr>
            <w:tcW w:w="8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balance sheet information: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Weighted average remaining lease term</w:t>
            </w:r>
          </w:p>
        </w:tc>
        <w:tc>
          <w:tcPr>
            <w:tcW w:w="220" w:type="dxa"/>
            <w:vAlign w:val="bottom"/>
          </w:tcPr>
          <w:p>
            <w:pPr>
              <w:spacing w:after="0"/>
              <w:rPr>
                <w:sz w:val="19"/>
                <w:szCs w:val="19"/>
                <w:color w:val="auto"/>
              </w:rPr>
            </w:pPr>
          </w:p>
        </w:tc>
        <w:tc>
          <w:tcPr>
            <w:tcW w:w="1440" w:type="dxa"/>
            <w:vAlign w:val="bottom"/>
            <w:gridSpan w:val="2"/>
          </w:tcPr>
          <w:p>
            <w:pPr>
              <w:ind w:left="600"/>
              <w:spacing w:after="0"/>
              <w:rPr>
                <w:sz w:val="20"/>
                <w:szCs w:val="20"/>
                <w:color w:val="auto"/>
              </w:rPr>
            </w:pPr>
            <w:r>
              <w:rPr>
                <w:rFonts w:ascii="Arial" w:cs="Arial" w:eastAsia="Arial" w:hAnsi="Arial"/>
                <w:sz w:val="17"/>
                <w:szCs w:val="17"/>
                <w:color w:val="auto"/>
              </w:rPr>
              <w:t>5.1 years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5.3 years</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 average discount rate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r>
    </w:tbl>
    <w:p>
      <w:pPr>
        <w:spacing w:after="0" w:line="31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 net for the three months ended June 30, 2024 and 2023, respectively,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90"/>
        </w:trPr>
        <w:tc>
          <w:tcPr>
            <w:tcW w:w="8240" w:type="dxa"/>
            <w:vAlign w:val="bottom"/>
            <w:tcBorders>
              <w:bottom w:val="single" w:sz="8" w:color="CCEEFF"/>
              <w:right w:val="single" w:sz="8" w:color="D9D9D9"/>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right w:val="single" w:sz="8" w:color="D9D9D9"/>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r>
      <w:tr>
        <w:trPr>
          <w:trHeight w:val="216"/>
        </w:trPr>
        <w:tc>
          <w:tcPr>
            <w:tcW w:w="8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sublease income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leases costs, net</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jc w:val="both"/>
        <w:ind w:right="260"/>
        <w:spacing w:after="0" w:line="276" w:lineRule="auto"/>
        <w:rPr>
          <w:sz w:val="20"/>
          <w:szCs w:val="20"/>
          <w:color w:val="auto"/>
        </w:rPr>
      </w:pPr>
      <w:r>
        <w:rPr>
          <w:rFonts w:ascii="Arial" w:cs="Arial" w:eastAsia="Arial" w:hAnsi="Arial"/>
          <w:sz w:val="17"/>
          <w:szCs w:val="17"/>
          <w:color w:val="auto"/>
        </w:rPr>
        <w:t>The following table presents future minimum payments under all operating leases and subleases (including operating leases with a duration of one year or less and excluding ASC 840 leases related to restructuring plans) as of June 30, 2024. The amount for fiscal 2025 represents the remaining nine months ending March 31, 2025. All other periods represent fiscal years ending March 31 (dollars in thousands):</w:t>
      </w:r>
    </w:p>
    <w:tbl>
      <w:tblPr>
        <w:tblLayout w:type="fixed"/>
        <w:tblInd w:w="0" w:type="dxa"/>
        <w:tblCellMar>
          <w:top w:w="0" w:type="dxa"/>
          <w:left w:w="0" w:type="dxa"/>
          <w:bottom w:w="0" w:type="dxa"/>
          <w:right w:w="0" w:type="dxa"/>
        </w:tblCellMar>
      </w:tblPr>
      <w:tr>
        <w:trPr>
          <w:trHeight w:val="146"/>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Operating lease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Payments expected</w:t>
            </w:r>
          </w:p>
        </w:tc>
        <w:tc>
          <w:tcPr>
            <w:tcW w:w="120" w:type="dxa"/>
            <w:vAlign w:val="bottom"/>
          </w:tcPr>
          <w:p>
            <w:pPr>
              <w:spacing w:after="0"/>
              <w:rPr>
                <w:sz w:val="12"/>
                <w:szCs w:val="12"/>
                <w:color w:val="auto"/>
              </w:rPr>
            </w:pPr>
          </w:p>
        </w:tc>
        <w:tc>
          <w:tcPr>
            <w:tcW w:w="1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Net operating lease</w:t>
            </w:r>
          </w:p>
        </w:tc>
        <w:tc>
          <w:tcPr>
            <w:tcW w:w="0" w:type="dxa"/>
            <w:vAlign w:val="bottom"/>
          </w:tcPr>
          <w:p>
            <w:pPr>
              <w:spacing w:after="0"/>
              <w:rPr>
                <w:sz w:val="1"/>
                <w:szCs w:val="1"/>
                <w:color w:val="auto"/>
              </w:rPr>
            </w:pPr>
          </w:p>
        </w:tc>
      </w:tr>
      <w:tr>
        <w:trPr>
          <w:trHeight w:val="141"/>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rPr>
              <w:t>under noncancellable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payments</w:t>
            </w:r>
          </w:p>
        </w:tc>
        <w:tc>
          <w:tcPr>
            <w:tcW w:w="12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subleases</w:t>
            </w:r>
          </w:p>
        </w:tc>
        <w:tc>
          <w:tcPr>
            <w:tcW w:w="12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Fiscal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9,139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8,080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7,330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undiscounted lease payments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41,293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Interest and short-term leases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discounted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40,649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Future minimum payments as of June 30, 2024 related to ASC 840 lease liabilities under restructuring plans as a result of the Company's exit from certain leased office facilities (see Note 13) are as follows (dollars in thousands): Fiscal 2025: $2,024; and Fiscal 2026: $1,799.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ind w:left="340" w:hanging="335"/>
        <w:spacing w:after="0"/>
        <w:tabs>
          <w:tab w:leader="none" w:pos="3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25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Company has stock option and equity compensation plans for which a total of 49.0 million shares of the Company’s common stock have been reserved for issuance since the inception of the plans. At June 30, 2024, there were a total of 4.2 million shares available for future grants under the plans.</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During the quarter ended June 30, 2024, the board of directors voted to amend the Amended and Restated 2005 Equity Compensation Plan (the "2005 Plan") to increase the number of shares available under the plan by 2.5 million shares. The amendment is subject to shareholder approval at the August 2024 annual shareholders' meeting. The amendment, if approved by shareholders, will increase the plan shares from 46.4 million shares at March 31, 2024 to 48.9 million shares beginning in the quarter ending September 30, 2024 and increase the total number of shares reserved for issuance since inception of all plans from 49.0 million shares at March 31, 2024 to 51.5 million shares beginning in the quarter ending September 30, 2024.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Expense</w:t>
      </w:r>
    </w:p>
    <w:p>
      <w:pPr>
        <w:spacing w:after="0" w:line="237"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color w:val="auto"/>
        </w:rPr>
        <w:t>The Company's stock-based compensation activity for the three months ended June 30, 2024 and 2023, by award type, was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Restricted stock units, time-vesting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21,487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11,567</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performance based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Habu restricted stock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Acuity performance plan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DataFleets acquisition consideration holdback</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Employee stock purchase plan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Directors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60"/>
        </w:trPr>
        <w:tc>
          <w:tcPr>
            <w:tcW w:w="8280" w:type="dxa"/>
            <w:vAlign w:val="bottom"/>
            <w:gridSpan w:val="2"/>
          </w:tcPr>
          <w:p>
            <w:pPr>
              <w:ind w:left="20"/>
              <w:spacing w:after="0" w:line="16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27,985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13,292</w:t>
            </w:r>
          </w:p>
        </w:tc>
        <w:tc>
          <w:tcPr>
            <w:tcW w:w="0" w:type="dxa"/>
            <w:vAlign w:val="bottom"/>
          </w:tcPr>
          <w:p>
            <w:pPr>
              <w:spacing w:after="0"/>
              <w:rPr>
                <w:sz w:val="1"/>
                <w:szCs w:val="1"/>
                <w:color w:val="auto"/>
              </w:rPr>
            </w:pPr>
          </w:p>
        </w:tc>
      </w:tr>
      <w:tr>
        <w:trPr>
          <w:trHeight w:val="227"/>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expense related to liability-based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Total non-cash stock-based compensation included in the condensed consolidated statements of equity</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800" w:type="dxa"/>
            <w:vAlign w:val="bottom"/>
            <w:gridSpan w:val="5"/>
          </w:tcPr>
          <w:p>
            <w:pPr>
              <w:spacing w:after="0"/>
              <w:rPr>
                <w:sz w:val="20"/>
                <w:szCs w:val="20"/>
                <w:color w:val="auto"/>
              </w:rPr>
            </w:pPr>
            <w:r>
              <w:rPr>
                <w:rFonts w:ascii="Arial" w:cs="Arial" w:eastAsia="Arial" w:hAnsi="Arial"/>
                <w:sz w:val="17"/>
                <w:szCs w:val="17"/>
                <w:color w:val="auto"/>
              </w:rPr>
              <w:t>The effect of stock-based compensation expense on income, by financial statement line item, was (dollars 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5,077</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3,850</w:t>
            </w:r>
          </w:p>
        </w:tc>
        <w:tc>
          <w:tcPr>
            <w:tcW w:w="0" w:type="dxa"/>
            <w:vAlign w:val="bottom"/>
          </w:tcPr>
          <w:p>
            <w:pPr>
              <w:spacing w:after="0"/>
              <w:rPr>
                <w:sz w:val="1"/>
                <w:szCs w:val="1"/>
                <w:color w:val="auto"/>
              </w:rPr>
            </w:pPr>
          </w:p>
        </w:tc>
      </w:tr>
      <w:tr>
        <w:trPr>
          <w:trHeight w:val="150"/>
        </w:trPr>
        <w:tc>
          <w:tcPr>
            <w:tcW w:w="82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27,985</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13,292</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 w:name="page19"/>
    <w:bookmarkEnd w:id="18"/>
    <w:p>
      <w:pPr>
        <w:ind w:right="160"/>
        <w:spacing w:after="0" w:line="276" w:lineRule="auto"/>
        <w:rPr>
          <w:sz w:val="20"/>
          <w:szCs w:val="20"/>
          <w:color w:val="auto"/>
        </w:rPr>
      </w:pPr>
      <w:r>
        <w:rPr>
          <w:rFonts w:ascii="Arial" w:cs="Arial" w:eastAsia="Arial" w:hAnsi="Arial"/>
          <w:sz w:val="17"/>
          <w:szCs w:val="17"/>
          <w:color w:val="auto"/>
        </w:rPr>
        <w:t>The following table provides the expected future expense for all of the Company's outstanding equity awards at June 30, 2024, by award type. The amount for fiscal 2025 represents the remaining nine months ending March 31, 2025. All other periods represent fiscal years ending March 31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ending 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6,171</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57,814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168,337</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restricted stock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12,605</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Expected future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83,317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65,426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37,372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188,749</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the three months ended June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Aggregate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Intrinsic value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622,122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(168,091)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2,094</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or 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Outstanding at June 30,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8,428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4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June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250,617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4,017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June 30, 2024. This amount changes based upon changes in the fair market value of the Company's common stock.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outstanding and exercisable as of June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Options exercisable</w:t>
            </w:r>
          </w:p>
        </w:tc>
      </w:tr>
      <w:tr>
        <w:trPr>
          <w:trHeight w:val="190"/>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Weighted-average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remaining</w:t>
            </w:r>
          </w:p>
        </w:tc>
        <w:tc>
          <w:tcPr>
            <w:tcW w:w="1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exercise price</w:t>
            </w:r>
          </w:p>
        </w:tc>
      </w:tr>
      <w:tr>
        <w:trPr>
          <w:trHeight w:val="197"/>
        </w:trPr>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contractual life</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7"/>
                <w:szCs w:val="17"/>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259,625</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8.0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w:t>
            </w: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182,603</w:t>
            </w:r>
          </w:p>
        </w:tc>
        <w:tc>
          <w:tcPr>
            <w:tcW w:w="100" w:type="dxa"/>
            <w:vAlign w:val="bottom"/>
          </w:tcPr>
          <w:p>
            <w:pPr>
              <w:spacing w:after="0"/>
              <w:rPr>
                <w:sz w:val="19"/>
                <w:szCs w:val="19"/>
                <w:color w:val="auto"/>
              </w:rPr>
            </w:pPr>
          </w:p>
        </w:tc>
        <w:tc>
          <w:tcPr>
            <w:tcW w:w="1800" w:type="dxa"/>
            <w:vAlign w:val="bottom"/>
            <w:gridSpan w:val="2"/>
          </w:tcPr>
          <w:p>
            <w:pPr>
              <w:ind w:left="960"/>
              <w:spacing w:after="0"/>
              <w:rPr>
                <w:sz w:val="20"/>
                <w:szCs w:val="20"/>
                <w:color w:val="auto"/>
              </w:rPr>
            </w:pPr>
            <w:r>
              <w:rPr>
                <w:rFonts w:ascii="Arial" w:cs="Arial" w:eastAsia="Arial" w:hAnsi="Arial"/>
                <w:sz w:val="17"/>
                <w:szCs w:val="17"/>
                <w:color w:val="auto"/>
              </w:rPr>
              <w:t>0.9 years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182,603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17.49</w:t>
            </w:r>
          </w:p>
        </w:tc>
      </w:tr>
      <w:tr>
        <w:trPr>
          <w:trHeight w:val="223"/>
        </w:trPr>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9,443</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2.0 years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451,671</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5.0 years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250,617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14.91</w:t>
            </w:r>
          </w:p>
        </w:tc>
      </w:tr>
      <w:tr>
        <w:trPr>
          <w:trHeight w:val="20"/>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Habu Restricted Stock Awards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During fiscal 2024, in connection with the acquisition of Habu, the Company replaced the unvested outstanding restricted stock shares held by Habu employees immediately prior to the acquisition with restricted shares of LiveRamp common stock having substantially the same terms and conditions as were applicable under the original restricted stock agreement. The conversion calculation resulted in the issuance of 36,118 replacement restricted stock shares having an acquisition-date fair value of $1.4 million. Of the $1.4 million acquisition-date fair value,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$0.1 million was attributed to pre-combination service and treated as a component of purchase consideration transferred. The remaining</w:t>
      </w:r>
    </w:p>
    <w:p>
      <w:pPr>
        <w:spacing w:after="0" w:line="14"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$1.3 millionof acquisition-date fair value is considered future compensation cost and is being recognized as stock-based compensation cost over the remaining service period of the replacement restricted stock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Habu restricted stock share activity for the three months ended June 30, 2024 was: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Weighted average</w:t>
            </w:r>
          </w:p>
        </w:tc>
        <w:tc>
          <w:tcPr>
            <w:tcW w:w="20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fair value per</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rPr>
              <w:t>Weighted 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 at grant</w:t>
            </w:r>
          </w:p>
        </w:tc>
        <w:tc>
          <w:tcPr>
            <w:tcW w:w="2060" w:type="dxa"/>
            <w:vAlign w:val="bottom"/>
          </w:tcPr>
          <w:p>
            <w:pPr>
              <w:jc w:val="center"/>
              <w:ind w:left="3"/>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460"/>
        <w:spacing w:after="0" w:line="300" w:lineRule="auto"/>
        <w:rPr>
          <w:sz w:val="20"/>
          <w:szCs w:val="20"/>
          <w:color w:val="auto"/>
        </w:rPr>
      </w:pPr>
      <w:r>
        <w:rPr>
          <w:rFonts w:ascii="Arial" w:cs="Arial" w:eastAsia="Arial" w:hAnsi="Arial"/>
          <w:sz w:val="17"/>
          <w:szCs w:val="17"/>
          <w:color w:val="auto"/>
        </w:rPr>
        <w:t>The total fair value of restricted stock awards vested during the three months ended June 30, 2024 was $0.3 million and is measured as the quoted market price of the Company's common stock on the vesting date for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Time-vesting restricted stock units ("RSUs") -</w:t>
      </w:r>
    </w:p>
    <w:p>
      <w:pPr>
        <w:spacing w:after="0" w:line="2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three months ended June 30, 2024, the Company granted time-vesting RSUs covering 1,663,601 shares of common stock and having a fair value at the date of grant of $ 54.8 million. The RSUs granted in the current year will vest over three years. Grant date fair value of these units is equal to the quoted market price for the shares on the date of grant. RSU activity for the three months ended June 30, 2024 was: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4,401,513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1,663,601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32.91</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(188,887)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4,873,448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The total fair value of RSUs vested during the three months ended June 30, 2024 was $32.5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 ("PSUs") -</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2025 plan:</w:t>
      </w:r>
    </w:p>
    <w:p>
      <w:pPr>
        <w:spacing w:after="0" w:line="32" w:lineRule="exact"/>
        <w:rPr>
          <w:sz w:val="20"/>
          <w:szCs w:val="20"/>
          <w:color w:val="auto"/>
        </w:rPr>
      </w:pPr>
    </w:p>
    <w:p>
      <w:pPr>
        <w:ind w:left="640" w:right="440"/>
        <w:spacing w:after="0" w:line="280" w:lineRule="auto"/>
        <w:rPr>
          <w:sz w:val="20"/>
          <w:szCs w:val="20"/>
          <w:color w:val="auto"/>
        </w:rPr>
      </w:pPr>
      <w:r>
        <w:rPr>
          <w:rFonts w:ascii="Arial" w:cs="Arial" w:eastAsia="Arial" w:hAnsi="Arial"/>
          <w:sz w:val="17"/>
          <w:szCs w:val="17"/>
          <w:color w:val="auto"/>
        </w:rPr>
        <w:t>During the three months ended June 30, 2024, the Company granted PSUs covering 429,857 shares of common stock having a fair value at the date of grant of $15.5 million. The grants were made under two separate performance plans.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p>
      <w:pPr>
        <w:ind w:left="640" w:right="20"/>
        <w:spacing w:after="0" w:line="267" w:lineRule="auto"/>
        <w:rPr>
          <w:sz w:val="20"/>
          <w:szCs w:val="20"/>
          <w:color w:val="auto"/>
        </w:rPr>
      </w:pPr>
      <w:r>
        <w:rPr>
          <w:rFonts w:ascii="Arial" w:cs="Arial" w:eastAsia="Arial" w:hAnsi="Arial"/>
          <w:sz w:val="17"/>
          <w:szCs w:val="17"/>
          <w:color w:val="auto"/>
        </w:rPr>
        <w:t>Under the total shareholder return ("TSR") performance plan, units covering 128,953 shares of common stock were granted having a fair value at the date of grant of $5.6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2024 to March 31, 2027.</w:t>
      </w:r>
    </w:p>
    <w:p>
      <w:pPr>
        <w:spacing w:after="0" w:line="200" w:lineRule="exact"/>
        <w:rPr>
          <w:sz w:val="20"/>
          <w:szCs w:val="20"/>
          <w:color w:val="auto"/>
        </w:rPr>
      </w:pPr>
    </w:p>
    <w:p>
      <w:pPr>
        <w:spacing w:after="0" w:line="208" w:lineRule="exact"/>
        <w:rPr>
          <w:sz w:val="20"/>
          <w:szCs w:val="20"/>
          <w:color w:val="auto"/>
        </w:rPr>
      </w:pPr>
    </w:p>
    <w:p>
      <w:pPr>
        <w:ind w:left="640" w:right="220"/>
        <w:spacing w:after="0" w:line="268" w:lineRule="auto"/>
        <w:rPr>
          <w:sz w:val="20"/>
          <w:szCs w:val="20"/>
          <w:color w:val="auto"/>
        </w:rPr>
      </w:pPr>
      <w:r>
        <w:rPr>
          <w:rFonts w:ascii="Arial" w:cs="Arial" w:eastAsia="Arial" w:hAnsi="Arial"/>
          <w:sz w:val="17"/>
          <w:szCs w:val="17"/>
          <w:color w:val="auto"/>
        </w:rPr>
        <w:t>Under the operating metrics performance plan, units covering 300,904 shares of common stock were granted having a fair value at the date of grant of $9.9 million, which was equal to the quoted market price for the shares on the date of grant. The units vest subject to attainment of performance criteria established by the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2025, 2026, and 2027.</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2024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2024 TSR performance plan, net of forfeitures, covering 199,946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2024 operating metrics performance plan, net of forfeitures, covering 466,550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2023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2023 TSR performance plan, net of forfeitures, covering 101,931 shares of common stock will reach maturity of their relevant performance period at March 31, 2025. The units may vest in a number of shares from 0% to 200% of the award, based on the TSR of LiveRamp common stock compared to the TSR of the Russell 2000 market index for the period from April 1, 2022 to March 31, 2025.</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2023 operating metrics performance plan, net of forfeitures, covering 237,837 shares of common stock will reach maturity of their relevant performance period at March 31, 2025. The units may vest in a number of shares from 0% to 200% of the award, at the end of the performance period, based on the average attainment of annual revenue growth and EBITDA margin targets for fiscal years 2023, 2024, and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PSU activity for the three months ended June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1,095,748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429,857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The total fair value of PSUs vested in the three months ended June 30, 2024 was $1.0 million and is measured as the quoted market price of the Company’s common stock on the vesting date times the number of shares vested.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Other Stock Compensation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Acquisition-related Consideration Holdback</w:t>
      </w:r>
    </w:p>
    <w:p>
      <w:pPr>
        <w:spacing w:after="0" w:line="23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Through June 30, 2024, the Company has recognized a total of $2.0 million as stock-based compensation expense related to the Habu consideration holdback. At June 30, 2024, the recognized, but unpaid, balance related to the Habu consideration holdback in other accrued expenses in the condensed consolidated balance sheet was $2.0 million. The first annual settlement of $4.9 million is expected to occur in the fourth quarter of fiscal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Qualified Employee Stock Purchase Plan ("ESPP")</w:t>
      </w:r>
    </w:p>
    <w:p>
      <w:pPr>
        <w:spacing w:after="0" w:line="25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During the three months ended June 30, 2024, 104,574 shares of common stock were purchased under the ESPP at a weighted-average price of $26.60 per share, resulting in cash proceeds of $2.8 million over the relevant offering periods.</w:t>
      </w:r>
    </w:p>
    <w:p>
      <w:pPr>
        <w:spacing w:after="0" w:line="167"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Stock-based compensation expense associated with the ESPP was $0.4 million for the three months ended June 30, 2024. At June 30, 2024, there was approximately $0.7 million of total unrecognized stock-based compensation expense related to the ESPP, which is expected to be recognized on a straight-line basis over the remaining term of the current offering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6.</w:t>
        <w:tab/>
        <w:t>OTHER CURRENT AND NONCURRENT ASSETS: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Assets of non-qualified retirement plan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Other noncurrent assets consist of the following (dollars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prepaid revenue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Right-of-use assets (see Note 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2" w:name="page23"/>
    <w:bookmarkEnd w:id="22"/>
    <w:p>
      <w:pPr>
        <w:spacing w:after="0"/>
        <w:tabs>
          <w:tab w:leader="none" w:pos="320" w:val="left"/>
        </w:tabs>
        <w:rPr>
          <w:sz w:val="20"/>
          <w:szCs w:val="20"/>
          <w:color w:val="auto"/>
        </w:rPr>
      </w:pPr>
      <w:r>
        <w:rPr>
          <w:rFonts w:ascii="Arial" w:cs="Arial" w:eastAsia="Arial" w:hAnsi="Arial"/>
          <w:sz w:val="17"/>
          <w:szCs w:val="17"/>
          <w:b w:val="1"/>
          <w:bCs w:val="1"/>
          <w:color w:val="auto"/>
        </w:rPr>
        <w:t>7.</w:t>
        <w:tab/>
        <w:t>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is summarized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14,147</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Data processing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5,915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25,394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(17,213)</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8,181</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720"/>
        <w:spacing w:after="0" w:line="300" w:lineRule="auto"/>
        <w:rPr>
          <w:sz w:val="20"/>
          <w:szCs w:val="20"/>
          <w:color w:val="auto"/>
        </w:rPr>
      </w:pPr>
      <w:r>
        <w:rPr>
          <w:rFonts w:ascii="Arial" w:cs="Arial" w:eastAsia="Arial" w:hAnsi="Arial"/>
          <w:sz w:val="17"/>
          <w:szCs w:val="17"/>
          <w:color w:val="auto"/>
        </w:rPr>
        <w:t>Depreciation expense on property and equipment was $0.7 million and $0.8 million for the three months ended June 30, 2024 and 2023, respectively.</w:t>
      </w:r>
    </w:p>
    <w:p>
      <w:pPr>
        <w:spacing w:after="0" w:line="200" w:lineRule="exact"/>
        <w:rPr>
          <w:sz w:val="20"/>
          <w:szCs w:val="20"/>
          <w:color w:val="auto"/>
        </w:rPr>
      </w:pPr>
    </w:p>
    <w:p>
      <w:pPr>
        <w:spacing w:after="0" w:line="20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8.</w:t>
        <w:tab/>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three months ended June 30, 2024 was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2024</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Change in 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2024</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501,721</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Goodwill by geography as of June 30, 2024 was: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501,721</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ind w:left="340" w:hanging="335"/>
        <w:spacing w:after="0"/>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amounts allocated to intangible assets from acquisitions include developed technology, customer relationships, trade names, and publisher and data supply relationships. The following table shows the amortization activity of intangible assets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gross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102,076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(70,743)</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31,333</w:t>
            </w:r>
          </w:p>
        </w:tc>
      </w:tr>
      <w:tr>
        <w:trPr>
          <w:trHeight w:val="203"/>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relationship/trade name,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customer relationship/trade name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03"/>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Publisher/data supply relationships,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publisher/data supply relationships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155,958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(121,375)</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Total amortization expense related to intangible assets was $3.8 million and $3.3 million for the three months ended June 30, 2024 and 2023, respectively.</w:t>
      </w:r>
    </w:p>
    <w:p>
      <w:pPr>
        <w:spacing w:after="0" w:line="1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The following table presents the estimated future amortization expenses related to intangible assets. The amount for fiscal 2025 represents the remaining nine months ending March 31, 2025. All other periods represent fiscal years ending March 31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10,570</w:t>
            </w:r>
          </w:p>
        </w:tc>
        <w:tc>
          <w:tcPr>
            <w:tcW w:w="0" w:type="dxa"/>
            <w:vAlign w:val="bottom"/>
          </w:tcPr>
          <w:p>
            <w:pPr>
              <w:spacing w:after="0"/>
              <w:rPr>
                <w:sz w:val="1"/>
                <w:szCs w:val="1"/>
                <w:color w:val="auto"/>
              </w:rPr>
            </w:pPr>
          </w:p>
        </w:tc>
      </w:tr>
      <w:tr>
        <w:trPr>
          <w:trHeight w:val="223"/>
        </w:trPr>
        <w:tc>
          <w:tcPr>
            <w:tcW w:w="8260" w:type="dxa"/>
            <w:vAlign w:val="bottom"/>
          </w:tcPr>
          <w:p>
            <w:pPr>
              <w:ind w:left="54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30,737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10.  OTHER ACCRUED EXPENSES:</w:t>
            </w: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60" w:type="dxa"/>
            <w:vAlign w:val="bottom"/>
          </w:tcPr>
          <w:p>
            <w:pPr>
              <w:spacing w:after="0"/>
              <w:rPr>
                <w:sz w:val="20"/>
                <w:szCs w:val="20"/>
                <w:color w:val="auto"/>
              </w:rPr>
            </w:pPr>
            <w:r>
              <w:rPr>
                <w:rFonts w:ascii="Arial" w:cs="Arial" w:eastAsia="Arial" w:hAnsi="Arial"/>
                <w:sz w:val="17"/>
                <w:szCs w:val="17"/>
                <w:color w:val="auto"/>
              </w:rPr>
              <w:t>Other accrued expenses consist of the following (dollars 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of non-qualified retirement plan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Short-term lease liabilities (see Note 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miscellaneous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18,448</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43,220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42,857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spacing w:after="0"/>
        <w:tabs>
          <w:tab w:leader="none" w:pos="420" w:val="left"/>
        </w:tabs>
        <w:rPr>
          <w:sz w:val="20"/>
          <w:szCs w:val="20"/>
          <w:color w:val="auto"/>
        </w:rPr>
      </w:pPr>
      <w:r>
        <w:rPr>
          <w:rFonts w:ascii="Arial" w:cs="Arial" w:eastAsia="Arial" w:hAnsi="Arial"/>
          <w:sz w:val="17"/>
          <w:szCs w:val="17"/>
          <w:b w:val="1"/>
          <w:bCs w:val="1"/>
          <w:color w:val="auto"/>
        </w:rPr>
        <w:t>11.</w:t>
        <w:tab/>
        <w:t>OTHER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Pr>
          <w:p>
            <w:pPr>
              <w:spacing w:after="0"/>
              <w:rPr>
                <w:sz w:val="16"/>
                <w:szCs w:val="16"/>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26,104</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25,289</w:t>
            </w:r>
          </w:p>
        </w:tc>
        <w:tc>
          <w:tcPr>
            <w:tcW w:w="20" w:type="dxa"/>
            <w:vAlign w:val="bottom"/>
          </w:tcPr>
          <w:p>
            <w:pPr>
              <w:spacing w:after="0"/>
              <w:rPr>
                <w:sz w:val="18"/>
                <w:szCs w:val="18"/>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Long-term lease liabilities (see Note 4)</w:t>
            </w:r>
          </w:p>
        </w:tc>
        <w:tc>
          <w:tcPr>
            <w:tcW w:w="2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30,488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32,097</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accruals and related sublease deposits</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3,470</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20" w:type="dxa"/>
            <w:vAlign w:val="bottom"/>
          </w:tcPr>
          <w:p>
            <w:pPr>
              <w:spacing w:after="0"/>
              <w:rPr>
                <w:sz w:val="19"/>
                <w:szCs w:val="19"/>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2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D9D9D9"/>
            </w:tcBorders>
            <w:shd w:val="clear" w:color="auto" w:fill="CCEEFF"/>
          </w:tcPr>
          <w:p>
            <w:pPr>
              <w:jc w:val="right"/>
              <w:ind w:right="15"/>
              <w:spacing w:after="0"/>
              <w:rPr>
                <w:sz w:val="20"/>
                <w:szCs w:val="20"/>
                <w:color w:val="auto"/>
              </w:rPr>
            </w:pPr>
            <w:r>
              <w:rPr>
                <w:rFonts w:ascii="Arial" w:cs="Arial" w:eastAsia="Arial" w:hAnsi="Arial"/>
                <w:sz w:val="17"/>
                <w:szCs w:val="17"/>
                <w:color w:val="auto"/>
              </w:rPr>
              <w:t>4,428</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4,165</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right w:val="single" w:sz="8" w:color="D9D9D9"/>
            </w:tcBorders>
          </w:tcPr>
          <w:p>
            <w:pPr>
              <w:jc w:val="right"/>
              <w:ind w:right="15"/>
              <w:spacing w:after="0"/>
              <w:rPr>
                <w:sz w:val="20"/>
                <w:szCs w:val="20"/>
                <w:color w:val="auto"/>
              </w:rPr>
            </w:pPr>
            <w:r>
              <w:rPr>
                <w:rFonts w:ascii="Arial" w:cs="Arial" w:eastAsia="Arial" w:hAnsi="Arial"/>
                <w:sz w:val="17"/>
                <w:szCs w:val="17"/>
                <w:color w:val="auto"/>
              </w:rPr>
              <w:t>64,742</w:t>
            </w:r>
          </w:p>
        </w:tc>
        <w:tc>
          <w:tcPr>
            <w:tcW w:w="140" w:type="dxa"/>
            <w:vAlign w:val="bottom"/>
            <w:tcBorders>
              <w:right w:val="single" w:sz="8" w:color="D9D9D9"/>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65,732</w:t>
            </w:r>
          </w:p>
        </w:tc>
        <w:tc>
          <w:tcPr>
            <w:tcW w:w="20" w:type="dxa"/>
            <w:vAlign w:val="bottom"/>
            <w:tcBorders>
              <w:bottom w:val="single" w:sz="8" w:color="auto"/>
            </w:tcBorders>
            <w:shd w:val="clear" w:color="auto" w:fill="D9D9D9"/>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40" w:hanging="435"/>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ALLOWANCE FOR CREDIT LOSSES:</w:t>
      </w:r>
    </w:p>
    <w:p>
      <w:pPr>
        <w:spacing w:after="0" w:line="22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activity of allowance for credit losses, returns and credits (dollars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Balance at</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Additions charged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Bad debts written off,</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9"/>
              </w:rPr>
              <w:t>beginning of</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to costs and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changes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net of amounts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period</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recovered</w:t>
            </w:r>
          </w:p>
        </w:tc>
        <w:tc>
          <w:tcPr>
            <w:tcW w:w="26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three months ended June 30,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9,199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440" w:hanging="435"/>
        <w:spacing w:after="0"/>
        <w:tabs>
          <w:tab w:leader="none" w:pos="4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IMPAIRMENT AND OTHER CHARGES:</w:t>
      </w:r>
    </w:p>
    <w:p>
      <w:pPr>
        <w:spacing w:after="0" w:line="226"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Restructuring activities result in various costs, including asset write-offs, right of use ("ROU") asset group impairments, exit charges including severance, contract termination fees, and decommissioning and other costs.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reconciliation of the beginning and ending restructuring liabilities is shown below for the three months ended June 30, 2024. The restructuring charges and adjustments are included in gains, losses and other items, net in the condensed consolidated statements of operations. The reserve balances are included in other accrued expenses and other liabilities in the condensed consolidated balance sheets (dollars in thousands).</w:t>
      </w:r>
    </w:p>
    <w:tbl>
      <w:tblPr>
        <w:tblLayout w:type="fixed"/>
        <w:tblInd w:w="0" w:type="dxa"/>
        <w:tblCellMar>
          <w:top w:w="0" w:type="dxa"/>
          <w:left w:w="0" w:type="dxa"/>
          <w:bottom w:w="0" w:type="dxa"/>
          <w:right w:w="0" w:type="dxa"/>
        </w:tblCellMar>
      </w:tblPr>
      <w:tr>
        <w:trPr>
          <w:trHeight w:val="146"/>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9"/>
              </w:rPr>
              <w:t>Employee-related</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accruals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7"/>
                <w:szCs w:val="17"/>
                <w:color w:val="auto"/>
              </w:rPr>
              <w:t>Restructuring charges and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Balances at June 30,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Employee-related Restructuring Plans</w:t>
      </w:r>
    </w:p>
    <w:p>
      <w:pPr>
        <w:spacing w:after="0" w:line="224" w:lineRule="exact"/>
        <w:rPr>
          <w:sz w:val="20"/>
          <w:szCs w:val="20"/>
          <w:color w:val="auto"/>
        </w:rPr>
      </w:pPr>
    </w:p>
    <w:p>
      <w:pPr>
        <w:jc w:val="both"/>
        <w:ind w:right="500"/>
        <w:spacing w:after="0" w:line="278" w:lineRule="auto"/>
        <w:rPr>
          <w:sz w:val="20"/>
          <w:szCs w:val="20"/>
          <w:color w:val="auto"/>
        </w:rPr>
      </w:pPr>
      <w:r>
        <w:rPr>
          <w:rFonts w:ascii="Arial" w:cs="Arial" w:eastAsia="Arial" w:hAnsi="Arial"/>
          <w:sz w:val="17"/>
          <w:szCs w:val="17"/>
          <w:color w:val="auto"/>
        </w:rPr>
        <w:t>During the three months ended June 30, 2024, the Company recorded a total of $0.2 million in employee-related restructuring charges and adjustments. The expense included $0.1 million of severance and other employee-related charges in the United States and $0.1 million in adjustments to the fiscal 2021 employee-related restructuring plans for employees in the United States.</w:t>
      </w:r>
    </w:p>
    <w:p>
      <w:pPr>
        <w:spacing w:after="0" w:line="186"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In fiscal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Of the fiscal 2024 employee-related restructuring plans, $0.5 million remained accrued as of June 30, 2024 and is expected to be paid out during fiscal 2025.</w:t>
      </w:r>
    </w:p>
    <w:p>
      <w:pPr>
        <w:spacing w:after="0" w:line="19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 fiscal 2021, the Company recorded a total of $1.7 million in employee-related restructuring charges and adjustments. The expense included severance and other employee-related charges in the United States and Europe. Of the fiscal 2021 total employee-related charges, $0.3 million remained accrued as of June 30, 2024 and is expected to be paid out during fiscal 2025.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Lease-related Impairments and Restructuring Plans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impairment charges totaling $26.5 million during fiscal 2023 and 2024,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$ 2.8 million in lease-related restructuring charges and adjustments during fiscal 2023 and 2024 that covered other obligations related to the leased office spaces in San Francisco and Phoenix. Of the combined fiscal 2023 and 2024 lease-related restructuring charges of $2.8 million, $1.6 million remain accrued as of June 30, 2024 and will be satisfied over the remainder of the San Francisco lease term, which continues through April 2029.</w:t>
      </w:r>
    </w:p>
    <w:p>
      <w:pPr>
        <w:spacing w:after="0" w:line="200" w:lineRule="exact"/>
        <w:rPr>
          <w:sz w:val="20"/>
          <w:szCs w:val="20"/>
          <w:color w:val="auto"/>
        </w:rPr>
      </w:pP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fiscal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June 30, 2024, the Company has recorded a total of $7.3 million of restructuring charges and adjustments related to this lease. Of the amount accrued for this facility lease, $1.1 million remained accrued at June 30,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Gains, Losses and Other Items, Net</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summarizes the activity included in gains, losses and other items, net in the condensed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0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8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restructuring plan charges</w:t>
            </w:r>
          </w:p>
        </w:tc>
        <w:tc>
          <w:tcPr>
            <w:tcW w:w="80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41"/>
        </w:trPr>
        <w:tc>
          <w:tcPr>
            <w:tcW w:w="87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hanging="495"/>
        <w:spacing w:after="0"/>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Matters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is involved in various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condensed consolidated financial condition or results of operations. The Company maintains insurance coverage above certain limits.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Commitments</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following table presents the Company’s purchase commitments at June 30, 2024. Purchase commitments primarily include contractual commitments for the purchase of data, hosting services, software-as-a-service arrangements and leasehold improvements. The table does not include the future payment of liabilities related to uncertain tax positions of $26.1 million as the Company is not able to predict the periods in which the payments will be made. The amount for 2025 represents the remaining nine months ending March 31, 2025. All other periods represent fiscal years ending March 31 (dollars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84"/>
              <w:spacing w:after="0"/>
              <w:rPr>
                <w:sz w:val="20"/>
                <w:szCs w:val="20"/>
                <w:color w:val="auto"/>
              </w:rPr>
            </w:pPr>
            <w:r>
              <w:rPr>
                <w:rFonts w:ascii="Arial" w:cs="Arial" w:eastAsia="Arial" w:hAnsi="Arial"/>
                <w:sz w:val="14"/>
                <w:szCs w:val="14"/>
                <w:b w:val="1"/>
                <w:bCs w:val="1"/>
                <w:color w:val="auto"/>
                <w:w w:val="98"/>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60,637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19,992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90,187</w:t>
            </w:r>
          </w:p>
        </w:tc>
      </w:tr>
    </w:tbl>
    <w:p>
      <w:pPr>
        <w:spacing w:after="0" w:line="2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p>
      <w:pPr>
        <w:ind w:left="440" w:hanging="435"/>
        <w:spacing w:after="0"/>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determining the quarterly provision for income taxes, the Company has historically applied its estimated annual effective tax rate ("AETR") to its year-to-date ordinary income or loss. However, due to the fact that small changes in the Company's annual estimated pretax income or loss would result in significant changes in the estimated AETR, the historical method was not considered to provide a reliable estimate as it is disproportionately sensitive to minor fluctuations in forecasted income. As such, the Company has computed its income tax expense for the three months ended June 30, 2024 using a discrete approach based on actual year-to -date results. The income tax expense for the current quarter was primarily driven by nondeductible stock-based compensation, capitalization of research and development expenditures in accordance with Internal Revenue Code ("IRC") Section 174, as modified by the Tax Cuts and Jobs Act of 2017, and the valuation allowance. 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June 30, 2024, the Company continues to maintain a full valuation allowance on its net deferred tax assets except in certain foreign jurisdictions.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AND FAIR VALUE MEASUREMENTS: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86"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50" w:lineRule="exact"/>
        <w:rPr>
          <w:rFonts w:ascii="Arial" w:cs="Arial" w:eastAsia="Arial" w:hAnsi="Arial"/>
          <w:sz w:val="17"/>
          <w:szCs w:val="17"/>
          <w:color w:val="auto"/>
        </w:rPr>
      </w:pPr>
    </w:p>
    <w:p>
      <w:pPr>
        <w:ind w:left="640" w:right="100" w:hanging="320"/>
        <w:spacing w:after="0" w:line="271"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8" w:name="page29"/>
    <w:bookmarkEnd w:id="28"/>
    <w:p>
      <w:pPr>
        <w:ind w:right="20"/>
        <w:spacing w:after="0" w:line="300" w:lineRule="auto"/>
        <w:rPr>
          <w:sz w:val="20"/>
          <w:szCs w:val="20"/>
          <w:color w:val="auto"/>
        </w:rPr>
      </w:pPr>
      <w:r>
        <w:rPr>
          <w:rFonts w:ascii="Arial" w:cs="Arial" w:eastAsia="Arial" w:hAnsi="Arial"/>
          <w:sz w:val="17"/>
          <w:szCs w:val="17"/>
          <w:color w:val="auto"/>
        </w:rPr>
        <w:t>The following table details the fair value measurements within the fair value hierarchy of the Company's financial assets and liabilities at June 30, 2024 and March 31, 2024 that are measured at fair value on a recurring basis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rPr>
              <w:t>June 30, 2024</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286,527</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15,701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15,701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24,833</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310,396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358,430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March 31, 2024</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383,196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For certain financial instruments, including accounts receivable and accounts payable, the carrying amounts approximate their fair value due to the relatively short maturity of these balances.</w:t>
      </w:r>
    </w:p>
    <w:p>
      <w:pPr>
        <w:spacing w:after="0" w:line="14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held $3.1 million and $2.7 million of strategic investments without readily determinable fair values at June 30, 2024 and March 31, 2024, respectively (see Note 6). Strategic investments consist of non-controlling equity investments in privately held companies. These investments are accounted for under the cost method of accounting and are included in other assets on the condensed consolidated balance sheets. There were no impairment charges during the three months ended June 30,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Introduction and Overview</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LiveRamp Holdings, Inc. ("LiveRamp", "we", "us", or the "Company") is a global technology company that helps companies build enduring brand and business value by collaborating responsibly with data. A groundbreaking leader in consumer privacy, data ethics and foundational identity, LiveRamp offers a connected customer view with clarity and context while protecting brand and consumer trust. Our best-in-class enterprise platform enables data collaboration, where companies can share first-party consumer data with trusted business partners securely and in a privacy conscious manner. We offer flexibility to collaborate wherever data lives to support a wide range of data collaboration use cases—within organizations, between brands, and across our global network of premier partners. Global innovators, from iconic consumer brands and tech platforms to retailers, financial services, and healthcare leaders, turn to LiveRamp to deepen customer engagement and loyalty, activate new partnerships, and maximize the value of their first-party data while staying on the forefront of rapidly evolving compliance and privacy requirements.</w:t>
      </w:r>
    </w:p>
    <w:p>
      <w:pPr>
        <w:spacing w:after="0" w:line="200" w:lineRule="exact"/>
        <w:rPr>
          <w:sz w:val="20"/>
          <w:szCs w:val="20"/>
          <w:color w:val="auto"/>
        </w:rPr>
      </w:pPr>
    </w:p>
    <w:p>
      <w:pPr>
        <w:spacing w:after="0" w:line="21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retail, automotive, telecommunications, high tech, consumer packaged goods, healthcare, travel, entertainment and non-profit. Through our expansive partner ecosystem we serve thousands of additional companies, unlocking access to unique customer moments and creating powerful network effects.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operates as one operating segment. An operating segment is defined as a component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/LiveRamp Data Collaboration Platform</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/LiveRamp Data Collaboration Platform provides customers with four core capabilities:</w:t>
      </w:r>
    </w:p>
    <w:p>
      <w:pPr>
        <w:spacing w:after="0" w:line="250" w:lineRule="exact"/>
        <w:rPr>
          <w:sz w:val="20"/>
          <w:szCs w:val="20"/>
          <w:color w:val="auto"/>
        </w:rPr>
      </w:pPr>
    </w:p>
    <w:p>
      <w:pPr>
        <w:ind w:left="640" w:hanging="320"/>
        <w:spacing w:after="0" w:line="253"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Live/Identity</w:t>
      </w:r>
      <w:r>
        <w:rPr>
          <w:rFonts w:ascii="Arial" w:cs="Arial" w:eastAsia="Arial" w:hAnsi="Arial"/>
          <w:sz w:val="17"/>
          <w:szCs w:val="17"/>
          <w:color w:val="auto"/>
        </w:rPr>
        <w:t>. We provide enterprise identity infrastructure that resolves disparate consumer identities across different internal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external systems to create 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22"/>
          <w:szCs w:val="22"/>
          <w:color w:val="auto"/>
          <w:vertAlign w:val="superscript"/>
        </w:rPr>
        <w:t>TM</w:t>
      </w:r>
      <w:r>
        <w:rPr>
          <w:rFonts w:ascii="Arial" w:cs="Arial" w:eastAsia="Arial" w:hAnsi="Arial"/>
          <w:sz w:val="17"/>
          <w:szCs w:val="17"/>
          <w:color w:val="auto"/>
        </w:rPr>
        <w:t>, a durable and privacy-centric connector to the digital ecosystem. This provides marketers with a consistent view of the consumer that is necessary for personalized segmentation, targeting, and measurement.</w:t>
      </w:r>
    </w:p>
    <w:p>
      <w:pPr>
        <w:spacing w:after="0" w:line="205" w:lineRule="exact"/>
        <w:rPr>
          <w:rFonts w:ascii="Arial" w:cs="Arial" w:eastAsia="Arial" w:hAnsi="Arial"/>
          <w:sz w:val="17"/>
          <w:szCs w:val="17"/>
          <w:b w:val="1"/>
          <w:bCs w:val="1"/>
          <w:i w:val="1"/>
          <w:iCs w:val="1"/>
          <w:color w:val="auto"/>
        </w:rPr>
      </w:pPr>
    </w:p>
    <w:p>
      <w:pPr>
        <w:ind w:left="640" w:hanging="320"/>
        <w:spacing w:after="0" w:line="264"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Live/Access. </w:t>
      </w:r>
      <w:r>
        <w:rPr>
          <w:rFonts w:ascii="Arial" w:cs="Arial" w:eastAsia="Arial" w:hAnsi="Arial"/>
          <w:sz w:val="17"/>
          <w:szCs w:val="17"/>
          <w:color w:val="auto"/>
        </w:rPr>
        <w:t>Our Data Marketplace provides customers with simplified access to industry-leading third-party data providers globally.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200 data providers across all verticals and data types.</w:t>
      </w:r>
    </w:p>
    <w:p>
      <w:pPr>
        <w:spacing w:after="0" w:line="199" w:lineRule="exact"/>
        <w:rPr>
          <w:rFonts w:ascii="Arial" w:cs="Arial" w:eastAsia="Arial" w:hAnsi="Arial"/>
          <w:sz w:val="17"/>
          <w:szCs w:val="17"/>
          <w:b w:val="1"/>
          <w:bCs w:val="1"/>
          <w:i w:val="1"/>
          <w:iCs w:val="1"/>
          <w:color w:val="auto"/>
        </w:rPr>
      </w:pPr>
    </w:p>
    <w:p>
      <w:pPr>
        <w:ind w:left="640" w:right="20" w:hanging="320"/>
        <w:spacing w:after="0" w:line="266"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Live/Connectivity. </w:t>
      </w:r>
      <w:r>
        <w:rPr>
          <w:rFonts w:ascii="Arial" w:cs="Arial" w:eastAsia="Arial" w:hAnsi="Arial"/>
          <w:sz w:val="17"/>
          <w:szCs w:val="17"/>
          <w:color w:val="auto"/>
        </w:rPr>
        <w:t>We enable organizations to leverage their customer and prospect data in the digital and TV ecosystems and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95" w:lineRule="exact"/>
        <w:rPr>
          <w:rFonts w:ascii="Arial" w:cs="Arial" w:eastAsia="Arial" w:hAnsi="Arial"/>
          <w:sz w:val="17"/>
          <w:szCs w:val="17"/>
          <w:b w:val="1"/>
          <w:bCs w:val="1"/>
          <w:i w:val="1"/>
          <w:iCs w:val="1"/>
          <w:color w:val="auto"/>
        </w:rPr>
      </w:pPr>
    </w:p>
    <w:p>
      <w:pPr>
        <w:ind w:left="640" w:right="220" w:hanging="320"/>
        <w:spacing w:after="0" w:line="264"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Live/Insights. </w:t>
      </w:r>
      <w:r>
        <w:rPr>
          <w:rFonts w:ascii="Arial" w:cs="Arial" w:eastAsia="Arial" w:hAnsi="Arial"/>
          <w:sz w:val="17"/>
          <w:szCs w:val="17"/>
          <w:color w:val="auto"/>
        </w:rPr>
        <w:t>Data Collaboration enables advanced measurement and analytics that helps produce insight-driven innovation.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enable trusted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1297305</wp:posOffset>
            </wp:positionH>
            <wp:positionV relativeFrom="page">
              <wp:posOffset>588645</wp:posOffset>
            </wp:positionV>
            <wp:extent cx="4954270" cy="4271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954270" cy="427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primarily charge for our platform services on an annual basis. Our subscription pricing is based primarily on data volume, which is a function of data input records and connection points.</w:t>
      </w:r>
    </w:p>
    <w:p>
      <w:pPr>
        <w:spacing w:after="0" w:line="16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solutions are sold to enterprise marketers and the companies they partner with to execute their marketing, including agencies, marketing technology providers, publishers and data providers. Today, we work with 900 direct customers world-wide and serve thousands of additional customers indirectly through our reseller partnership arrangements.</w:t>
      </w:r>
    </w:p>
    <w:p>
      <w:pPr>
        <w:spacing w:after="0" w:line="186" w:lineRule="exact"/>
        <w:rPr>
          <w:sz w:val="20"/>
          <w:szCs w:val="20"/>
          <w:color w:val="auto"/>
        </w:rPr>
      </w:pPr>
    </w:p>
    <w:p>
      <w:pPr>
        <w:ind w:left="640" w:right="4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and Agencies. </w:t>
      </w:r>
      <w:r>
        <w:rPr>
          <w:rFonts w:ascii="Arial" w:cs="Arial" w:eastAsia="Arial" w:hAnsi="Arial"/>
          <w:sz w:val="17"/>
          <w:szCs w:val="17"/>
          <w:color w:val="auto"/>
        </w:rPr>
        <w:t>We work with over 500 of the largest brands and agencies in the world, helping them execute people-based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by creating an omni-channel understanding of the consumer and activating that understanding across their choice of best-of-breed digital marketing platforms.</w:t>
      </w:r>
    </w:p>
    <w:p>
      <w:pPr>
        <w:spacing w:after="0" w:line="186" w:lineRule="exact"/>
        <w:rPr>
          <w:rFonts w:ascii="Arial" w:cs="Arial" w:eastAsia="Arial" w:hAnsi="Arial"/>
          <w:sz w:val="17"/>
          <w:szCs w:val="17"/>
          <w:color w:val="auto"/>
        </w:rPr>
      </w:pPr>
    </w:p>
    <w:p>
      <w:pPr>
        <w:ind w:left="640" w:right="12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Providers. </w:t>
      </w:r>
      <w:r>
        <w:rPr>
          <w:rFonts w:ascii="Arial" w:cs="Arial" w:eastAsia="Arial" w:hAnsi="Arial"/>
          <w:sz w:val="17"/>
          <w:szCs w:val="17"/>
          <w:color w:val="auto"/>
        </w:rPr>
        <w:t>We provide marketing technology providers with the identity foundation required to offer people-based targeting, measurement and personalization within their platforms. This adds value for brands by increasing audience reach, as well as the speed at which they can activate their marketing data.</w:t>
      </w:r>
    </w:p>
    <w:p>
      <w:pPr>
        <w:spacing w:after="0" w:line="186"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Publishers. </w:t>
      </w:r>
      <w:r>
        <w:rPr>
          <w:rFonts w:ascii="Arial" w:cs="Arial" w:eastAsia="Arial" w:hAnsi="Arial"/>
          <w:sz w:val="17"/>
          <w:szCs w:val="17"/>
          <w:color w:val="auto"/>
        </w:rPr>
        <w:t>We enable publishers of any size to offer people-based marketing on their properties. This adds value for brands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direct access to their customers and prospects in the publisher's premium inventory.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2" w:name="page33"/>
    <w:bookmarkEnd w:id="32"/>
    <w:p>
      <w:pPr>
        <w:ind w:left="640" w:hanging="320"/>
        <w:spacing w:after="0" w:line="278"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Sellers. </w:t>
      </w:r>
      <w:r>
        <w:rPr>
          <w:rFonts w:ascii="Arial" w:cs="Arial" w:eastAsia="Arial" w:hAnsi="Arial"/>
          <w:sz w:val="17"/>
          <w:szCs w:val="17"/>
          <w:color w:val="auto"/>
        </w:rPr>
        <w:t>Leveraging our vast network of integrations, we allow data sellers to easily connect to the digital ecosystem and monetize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data. Data can be distributed to customers or made available through the LiveRamp Data Marketplace feature. This adds value for brands as it allows them to augment their understanding of consumers and increase their understanding of customers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Marketplace and Other</w:t>
      </w:r>
    </w:p>
    <w:p>
      <w:pPr>
        <w:spacing w:after="0" w:line="23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customers and create incremental revenue streams. Leveraging our common identity system and broad integration network, the Data Marketplace seamlessly connects data sellers’ audience data across the marketing ecosystem. The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w:t>
      </w:r>
    </w:p>
    <w:p>
      <w:pPr>
        <w:spacing w:after="0" w:line="1"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color w:val="auto"/>
        </w:rPr>
        <w:t>industries and encompassing all types of data. Data providers include sources and brands exclusive to LiveRamp, emerging platforms with access to previously unavailable deterministic data, and data partnerships enabled by our platform.</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200" w:lineRule="exact"/>
        <w:rPr>
          <w:sz w:val="20"/>
          <w:szCs w:val="20"/>
          <w:color w:val="auto"/>
        </w:rPr>
      </w:pPr>
    </w:p>
    <w:p>
      <w:pPr>
        <w:spacing w:after="0" w:line="20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w:t>
      </w:r>
    </w:p>
    <w:p>
      <w:pPr>
        <w:spacing w:after="0" w:line="1"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and general advisory. We generate revenue from services primarily from project fees paid by subscribers to our platform. Service projects are sold on an ad hoc basis as well as bundled with platform subscriptions. Professional services revenue is approximately 4% of total Company revenue.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auto"/>
        </w:rPr>
        <w:t>Summary Results and Notable Events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A financial summary of the quarter ended June 30, 2024 compared to the same period in fiscal 2024 is presented below:</w:t>
      </w:r>
    </w:p>
    <w:p>
      <w:pPr>
        <w:spacing w:after="0" w:line="198"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Revenues were $176.0 million, a 14.2% increase from $154.1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 of revenue was $51.7 million, a 13.4% increase from $45.6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Gross margin increased to 70.6% from 70.4%.</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operating expenses were $129.5 million, a 21.9% increase from $106.2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 of revenue and operating expenses for fiscal 2025 and 2024 included the following items:</w:t>
      </w:r>
    </w:p>
    <w:p>
      <w:pPr>
        <w:spacing w:after="0" w:line="184" w:lineRule="exact"/>
        <w:rPr>
          <w:rFonts w:ascii="Arial" w:cs="Arial" w:eastAsia="Arial" w:hAnsi="Arial"/>
          <w:sz w:val="17"/>
          <w:szCs w:val="17"/>
          <w:color w:val="auto"/>
        </w:rPr>
      </w:pPr>
    </w:p>
    <w:p>
      <w:pPr>
        <w:ind w:left="1260" w:right="280" w:hanging="311"/>
        <w:spacing w:after="0" w:line="300"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Non-cash stock compensation of $28.0 million and $13.3 million, respectively (cost of revenue of $1.6 million and $0.6 million, respectively, and operating expenses of $26.4 million and $12.7 million, respectively)</w:t>
      </w:r>
    </w:p>
    <w:p>
      <w:pPr>
        <w:spacing w:after="0" w:line="114" w:lineRule="exact"/>
        <w:rPr>
          <w:rFonts w:ascii="Arial" w:cs="Arial" w:eastAsia="Arial" w:hAnsi="Arial"/>
          <w:sz w:val="17"/>
          <w:szCs w:val="17"/>
          <w:color w:val="auto"/>
        </w:rPr>
      </w:pPr>
    </w:p>
    <w:p>
      <w:pPr>
        <w:ind w:left="1260" w:hanging="311"/>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Purchased intangible asset amortization of $3.8 million and $3.3 million, respectively (cost of revenue)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Transformation costs of $1.9 million in fiscal 2024 (general and administrative)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Restructuring and other charges of $0.2 million and $0.1 million, respectively (gains, losses, and other items, net)</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other income, net was $4.4 million, a decrease of $0.4 million from $4.8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loss was $7.5 million, or $0.11 per diluted share, compared to net loss of $1.6 million, or $0.02 per diluted share.</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cash used in operating activities was $9.3 million compared to net cash provided by operating activities of $25.7 million.</w:t>
      </w:r>
    </w:p>
    <w:p>
      <w:pPr>
        <w:spacing w:after="0" w:line="197"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repurchased 0.5 million shares of its common stock for $15.8 million compared to 0.8 million shares for $20.2 million under the Company's common stock repurchase program.</w:t>
      </w:r>
    </w:p>
    <w:p>
      <w:pPr>
        <w:spacing w:after="0" w:line="10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This summary and the following discussion and analysis highlight financial results as well as other significant events and transactions of the Company during the quarter ended June 30, 2024 compared to the same period in fiscal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auto"/>
        </w:rPr>
        <w:t>Key Performance Metrics</w:t>
      </w:r>
    </w:p>
    <w:p>
      <w:pPr>
        <w:spacing w:after="0" w:line="252"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below data is presented in millions, except for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4"/>
                <w:szCs w:val="14"/>
                <w:b w:val="1"/>
                <w:bCs w:val="1"/>
                <w:color w:val="auto"/>
              </w:rPr>
              <w:t>% Change</w:t>
            </w:r>
          </w:p>
        </w:tc>
      </w:t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2024 from June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June 30, 2023 from June</w:t>
            </w:r>
          </w:p>
        </w:tc>
      </w:tr>
      <w:tr>
        <w:trPr>
          <w:trHeight w:val="199"/>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2023</w:t>
            </w:r>
          </w:p>
        </w:tc>
        <w:tc>
          <w:tcPr>
            <w:tcW w:w="1680" w:type="dxa"/>
            <w:vAlign w:val="bottom"/>
          </w:tcPr>
          <w:p>
            <w:pPr>
              <w:jc w:val="right"/>
              <w:ind w:right="510"/>
              <w:spacing w:after="0"/>
              <w:rPr>
                <w:sz w:val="20"/>
                <w:szCs w:val="20"/>
                <w:color w:val="auto"/>
              </w:rPr>
            </w:pPr>
            <w:r>
              <w:rPr>
                <w:rFonts w:ascii="Arial" w:cs="Arial" w:eastAsia="Arial" w:hAnsi="Arial"/>
                <w:sz w:val="14"/>
                <w:szCs w:val="14"/>
                <w:b w:val="1"/>
                <w:bCs w:val="1"/>
                <w:color w:val="auto"/>
              </w:rPr>
              <w:t>30, 2023</w:t>
            </w:r>
          </w:p>
        </w:tc>
        <w:tc>
          <w:tcPr>
            <w:tcW w:w="80" w:type="dxa"/>
            <w:vAlign w:val="bottom"/>
          </w:tcPr>
          <w:p>
            <w:pPr>
              <w:spacing w:after="0"/>
              <w:rPr>
                <w:sz w:val="17"/>
                <w:szCs w:val="17"/>
                <w:color w:val="auto"/>
              </w:rPr>
            </w:pPr>
          </w:p>
        </w:tc>
        <w:tc>
          <w:tcPr>
            <w:tcW w:w="1680" w:type="dxa"/>
            <w:vAlign w:val="bottom"/>
          </w:tcPr>
          <w:p>
            <w:pPr>
              <w:jc w:val="right"/>
              <w:ind w:right="490"/>
              <w:spacing w:after="0"/>
              <w:rPr>
                <w:sz w:val="20"/>
                <w:szCs w:val="20"/>
                <w:color w:val="auto"/>
              </w:rPr>
            </w:pPr>
            <w:r>
              <w:rPr>
                <w:rFonts w:ascii="Arial" w:cs="Arial" w:eastAsia="Arial" w:hAnsi="Arial"/>
                <w:sz w:val="14"/>
                <w:szCs w:val="14"/>
                <w:b w:val="1"/>
                <w:bCs w:val="1"/>
                <w:color w:val="auto"/>
              </w:rPr>
              <w:t>30, 2022</w:t>
            </w:r>
          </w:p>
        </w:tc>
      </w:tr>
      <w:tr>
        <w:trPr>
          <w:trHeight w:val="79"/>
        </w:trPr>
        <w:tc>
          <w:tcPr>
            <w:tcW w:w="48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top w:val="single" w:sz="8" w:color="auto"/>
            </w:tcBorders>
          </w:tcPr>
          <w:p>
            <w:pPr>
              <w:spacing w:after="0"/>
              <w:rPr>
                <w:sz w:val="6"/>
                <w:szCs w:val="6"/>
                <w:color w:val="auto"/>
              </w:rPr>
            </w:pPr>
          </w:p>
        </w:tc>
      </w:tr>
      <w:tr>
        <w:trPr>
          <w:trHeight w:val="190"/>
        </w:trPr>
        <w:tc>
          <w:tcPr>
            <w:tcW w:w="4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net retention</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w w:val="95"/>
              </w:rPr>
              <w:t>105 %</w:t>
            </w:r>
          </w:p>
        </w:tc>
        <w:tc>
          <w:tcPr>
            <w:tcW w:w="10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8"/>
        </w:trPr>
        <w:tc>
          <w:tcPr>
            <w:tcW w:w="4880" w:type="dxa"/>
            <w:vAlign w:val="bottom"/>
          </w:tcPr>
          <w:p>
            <w:pPr>
              <w:ind w:left="120"/>
              <w:spacing w:after="0"/>
              <w:rPr>
                <w:sz w:val="20"/>
                <w:szCs w:val="20"/>
                <w:color w:val="auto"/>
              </w:rPr>
            </w:pPr>
            <w:r>
              <w:rPr>
                <w:rFonts w:ascii="Arial" w:cs="Arial" w:eastAsia="Arial" w:hAnsi="Arial"/>
                <w:sz w:val="14"/>
                <w:szCs w:val="14"/>
                <w:color w:val="auto"/>
              </w:rPr>
              <w:t>Annualized recurring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800"/>
              <w:spacing w:after="0"/>
              <w:rPr>
                <w:sz w:val="20"/>
                <w:szCs w:val="20"/>
                <w:color w:val="auto"/>
              </w:rPr>
            </w:pPr>
            <w:r>
              <w:rPr>
                <w:rFonts w:ascii="Arial" w:cs="Arial" w:eastAsia="Arial" w:hAnsi="Arial"/>
                <w:sz w:val="14"/>
                <w:szCs w:val="14"/>
                <w:color w:val="auto"/>
              </w:rPr>
              <w:t>478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22"/>
        </w:trPr>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0"/>
        </w:trPr>
        <w:tc>
          <w:tcPr>
            <w:tcW w:w="4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Remaining performance obligation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88"/>
        </w:trPr>
        <w:tc>
          <w:tcPr>
            <w:tcW w:w="4880" w:type="dxa"/>
            <w:vAlign w:val="bottom"/>
          </w:tcPr>
          <w:p>
            <w:pPr>
              <w:ind w:left="120"/>
              <w:spacing w:after="0"/>
              <w:rPr>
                <w:sz w:val="20"/>
                <w:szCs w:val="20"/>
                <w:color w:val="auto"/>
              </w:rPr>
            </w:pPr>
            <w:r>
              <w:rPr>
                <w:rFonts w:ascii="Arial" w:cs="Arial" w:eastAsia="Arial" w:hAnsi="Arial"/>
                <w:sz w:val="14"/>
                <w:szCs w:val="14"/>
                <w:color w:val="auto"/>
              </w:rPr>
              <w:t>Current remaining performance obligation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800"/>
              <w:spacing w:after="0"/>
              <w:rPr>
                <w:sz w:val="20"/>
                <w:szCs w:val="20"/>
                <w:color w:val="auto"/>
              </w:rPr>
            </w:pPr>
            <w:r>
              <w:rPr>
                <w:rFonts w:ascii="Arial" w:cs="Arial" w:eastAsia="Arial" w:hAnsi="Arial"/>
                <w:sz w:val="14"/>
                <w:szCs w:val="14"/>
                <w:color w:val="auto"/>
              </w:rPr>
              <w:t>398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Net Retention</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95" w:lineRule="exact"/>
        <w:rPr>
          <w:sz w:val="20"/>
          <w:szCs w:val="20"/>
          <w:color w:val="auto"/>
        </w:rPr>
      </w:pPr>
    </w:p>
    <w:p>
      <w:pPr>
        <w:ind w:right="520"/>
        <w:spacing w:after="0" w:line="300" w:lineRule="auto"/>
        <w:rPr>
          <w:sz w:val="20"/>
          <w:szCs w:val="20"/>
          <w:color w:val="auto"/>
        </w:rPr>
      </w:pPr>
      <w:r>
        <w:rPr>
          <w:rFonts w:ascii="Arial" w:cs="Arial" w:eastAsia="Arial" w:hAnsi="Arial"/>
          <w:sz w:val="17"/>
          <w:szCs w:val="17"/>
          <w:color w:val="auto"/>
        </w:rPr>
        <w:t>SNR at June 30, 2024 compared to June 30, 2023 increased 7%. Lower contraction levels and increasing usage revenue were the primary contributors to the improvement. The acquisition of Habu contributed approximately three percentage points to the current period growth.</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5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Annualized Recurring Revenue (“ARR”) is defined as the last month of quarter recurring revenue annualized. Recurring revenue is fixed and contracted subscription revenue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20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Our ARR growth of 12% was attributable to both new customer revenue and net growth (upsell revenue less downsell and churn) in existing customer revenue. The increasing growth rate compared to the 4% growth in the previous year is due to improvement in net growth in existing customer revenue. The acquisition of Habu contributed approximately two percentage points to the current period growth.</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 and Current Remaining Performance Obligations</w:t>
      </w: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7"/>
          <w:szCs w:val="17"/>
          <w:color w:val="auto"/>
        </w:rPr>
        <w:t>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increased due to several large, multi-year renewals. CRPO increased due to new customer additions, as well as the multi-year renewals. The relative decline in RPO and CRPO growth (in terms of % change) is primarily due to revenue run-off from large multi-year arrangements subject to future renewal.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26"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A summary of selected financial information for each of the periods reported is presented below (dollars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13"/>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r>
      <w:tr>
        <w:trPr>
          <w:trHeight w:val="197"/>
        </w:trPr>
        <w:tc>
          <w:tcPr>
            <w:tcW w:w="7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0"/>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r>
      <w:tr>
        <w:trPr>
          <w:trHeight w:val="197"/>
        </w:trPr>
        <w:tc>
          <w:tcPr>
            <w:tcW w:w="7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Change</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4,444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from continuing operations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580" w:type="dxa"/>
            <w:vAlign w:val="bottom"/>
          </w:tcPr>
          <w:p>
            <w:pPr>
              <w:ind w:left="20"/>
              <w:spacing w:after="0"/>
              <w:rPr>
                <w:sz w:val="20"/>
                <w:szCs w:val="20"/>
                <w:color w:val="auto"/>
              </w:rPr>
            </w:pPr>
            <w:r>
              <w:rPr>
                <w:rFonts w:ascii="Arial" w:cs="Arial" w:eastAsia="Arial" w:hAnsi="Arial"/>
                <w:sz w:val="17"/>
                <w:szCs w:val="17"/>
                <w:color w:val="auto"/>
              </w:rPr>
              <w:t>Diluted loss per share from continuing operations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7620" w:type="dxa"/>
            <w:vAlign w:val="bottom"/>
            <w:vMerge w:val="restart"/>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7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Subscription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Marketplace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41"/>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Total revenues for the quarter ended June 30, 2024 were $176.0 million, a $21.9 million or 14.2% increase from the same quarter a year ago. The increase was due to revenue growth in both Subscription and Marketplace and Other. Subscription revenue growth was $12.9 million, or 10.6%, primarily due to upsell to existing customers, new logo deals and higher variable revenue. Subscription revenue also included approximately $3.2 million of revenue associated with the fiscal 2024 acquisition of Habu. Marketplace and Other revenue growth was $9.0 million, or 27.9%, primarily due to Data Marketplace and Services volume growth. On a geographic basis, U.S. revenue increased $22.2 million, or 15.4%. International revenue decreased $0.3 million, or 2.6%.</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cost of revenue and gross profit for each of the periods reported is presented below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left="560"/>
              <w:spacing w:after="0"/>
              <w:rPr>
                <w:sz w:val="20"/>
                <w:szCs w:val="20"/>
                <w:color w:val="auto"/>
              </w:rPr>
            </w:pPr>
            <w:r>
              <w:rPr>
                <w:rFonts w:ascii="Arial" w:cs="Arial" w:eastAsia="Arial" w:hAnsi="Arial"/>
                <w:sz w:val="14"/>
                <w:szCs w:val="14"/>
                <w:b w:val="1"/>
                <w:bCs w:val="1"/>
                <w:color w:val="auto"/>
              </w:rPr>
              <w:t>For the three months ended</w:t>
            </w:r>
          </w:p>
        </w:tc>
        <w:tc>
          <w:tcPr>
            <w:tcW w:w="960" w:type="dxa"/>
            <w:vAlign w:val="bottom"/>
          </w:tcPr>
          <w:p>
            <w:pPr>
              <w:spacing w:after="0"/>
              <w:rPr>
                <w:sz w:val="16"/>
                <w:szCs w:val="16"/>
                <w:color w:val="auto"/>
              </w:rPr>
            </w:pPr>
          </w:p>
        </w:tc>
      </w:tr>
      <w:tr>
        <w:trPr>
          <w:trHeight w:val="197"/>
        </w:trPr>
        <w:tc>
          <w:tcPr>
            <w:tcW w:w="7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Borders>
              <w:bottom w:val="single" w:sz="8" w:color="auto"/>
            </w:tcBorders>
          </w:tcPr>
          <w:p>
            <w:pPr>
              <w:spacing w:after="0"/>
              <w:rPr>
                <w:sz w:val="17"/>
                <w:szCs w:val="17"/>
                <w:color w:val="auto"/>
              </w:rPr>
            </w:pPr>
          </w:p>
        </w:tc>
      </w:tr>
      <w:tr>
        <w:trPr>
          <w:trHeight w:val="190"/>
        </w:trPr>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197"/>
        </w:trPr>
        <w:tc>
          <w:tcPr>
            <w:tcW w:w="7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Change</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51,749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45,621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124,212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40"/>
              <w:spacing w:after="0"/>
              <w:rPr>
                <w:sz w:val="20"/>
                <w:szCs w:val="20"/>
                <w:color w:val="auto"/>
              </w:rPr>
            </w:pPr>
            <w:r>
              <w:rPr>
                <w:rFonts w:ascii="Arial" w:cs="Arial" w:eastAsia="Arial" w:hAnsi="Arial"/>
                <w:sz w:val="17"/>
                <w:szCs w:val="17"/>
                <w:color w:val="auto"/>
              </w:rPr>
              <w:t>108,448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5"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Cost of revenue includes third-party direct costs including identity graph data, other data and cloud-based hosting costs, as well as costs of IT, security and product operations functions. Cost of revenue also includes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7" w:name="page38"/>
    <w:bookmarkEnd w:id="37"/>
    <w:p>
      <w:pPr>
        <w:ind w:right="160"/>
        <w:spacing w:after="0" w:line="268" w:lineRule="auto"/>
        <w:rPr>
          <w:sz w:val="20"/>
          <w:szCs w:val="20"/>
          <w:color w:val="auto"/>
        </w:rPr>
      </w:pPr>
      <w:r>
        <w:rPr>
          <w:rFonts w:ascii="Arial" w:cs="Arial" w:eastAsia="Arial" w:hAnsi="Arial"/>
          <w:sz w:val="17"/>
          <w:szCs w:val="17"/>
          <w:color w:val="auto"/>
        </w:rPr>
        <w:t>Cost of revenue was $ 51.7 million for the quarter ended June 30, 2024, a $6.1 million, or 13.4%, increase from the same quarter a year ago. Gross profit increased to $124.2 million (70.6% gross margin) from $ 108.4 million (70.4% gross margin) in the prior year quarter due to revenue increases offset partially by an increase in services costs (increased $2.1 million) due to higher services revenue, cloud infrastructure costs (increased $2.0 million), and stock-based compensation expense (increased $1.0 million). U.S. gross margins decreased to 71.5% from 72.2% while International gross margins increased to 55.5% from 43.3%.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jc w:val="center"/>
              <w:ind w:left="438"/>
              <w:spacing w:after="0"/>
              <w:rPr>
                <w:sz w:val="20"/>
                <w:szCs w:val="20"/>
                <w:color w:val="auto"/>
              </w:rPr>
            </w:pPr>
            <w:r>
              <w:rPr>
                <w:rFonts w:ascii="Arial" w:cs="Arial" w:eastAsia="Arial" w:hAnsi="Arial"/>
                <w:sz w:val="14"/>
                <w:szCs w:val="14"/>
                <w:b w:val="1"/>
                <w:bCs w:val="1"/>
                <w:color w:val="auto"/>
                <w:w w:val="99"/>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5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44,879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Gains, losses and 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Research and development (“R&amp;D”) expense includes operating expenses for the Company’s engineering and product/project management functions supporting research, new development, and related product enhancement.</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R&amp;D expenses were $44.1 million for the quarter ended June 30, 2024, an increase of $9.6 million, or 27.8%, compared to the same quarter a year ago, and are 25.1% of total revenues compared to 22.4% in the same quarter a year ago. The increase is primarily due to stock-based compensation expense (increased $5.1 million), headcount related expenses (increased $ 4.0 million) and professional services expenses (increased $0.5 million). Stock-based compensation expense in the prior year quarter was favorably impacted due to the acceleration of stock-based compensation expense in the fourth quarter of fiscal 2023.</w:t>
      </w:r>
    </w:p>
    <w:p>
      <w:pPr>
        <w:spacing w:after="0" w:line="194"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Sales and marketing (“S&amp;M”) expense includes operating expenses for the Company’s sales, marketing, and product marketing functions. S&amp;M expense also includes provisions for credit losses.</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S&amp;M expenses were $54.2 million for the quarter ended June 30, 2024, an increase of $9.3 million, or 20.7%, compared to the same quarter a year ago, and are 30.8% of total revenues compared to 29.1% in the same quarter a year ago. The increase is primarily due to stock-based compensation expense (increased $3.4 million), headcount related expenses (increased $3.1 million), marketing expenses (increased $1.1 million) and professional services expenses (increased $1.0 million). Stock-based compensation expense in the prior year quarter was favorably impacted due to the acceleration of stock-based compensation expense in the fourth quarter of fiscal 2023.</w:t>
      </w:r>
    </w:p>
    <w:p>
      <w:pPr>
        <w:spacing w:after="0" w:line="194"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General and administrative ("G&amp;A") expense represents operating expenses for the Company's finance, human resources, legal, corporate IT, and other corporate administrative functions.</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G&amp;A expenses were $31.0 million for the quarter ended June 30, 2024, an increase of $4.3 million, or 16.1%, compared to the same quarter a year ago, and are 17.6% of total revenues compared to 17.3% in the same quarter a year ago. The increase is primarily due to stock-based compensation expense (increased $5.2 million) and professional services expenses (increased $0.8 million), offset partially by a decrease in transformation costs (decreased $1.9 million). Stock-based compensation expense in the prior year quarter was favorably impacted due to the acceleration of stock-based compensation expense in the fourth quarter of fiscal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Gains, losses, and other items, net represents restructuring costs and other adjustments.</w:t>
      </w:r>
    </w:p>
    <w:p>
      <w:pPr>
        <w:spacing w:after="0" w:line="250"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color w:val="auto"/>
        </w:rPr>
        <w:t>Gains, losses and other items, net was $0.2 million for the quarter ended June 30, 2024, an increase of $0.1 million compared to the same quarter a year ago. The current and prior year quarter costs primarily related to termination benefits for employees whose positions were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(Loss) from Operations and Operating Margin</w:t>
      </w:r>
    </w:p>
    <w:p>
      <w:pPr>
        <w:spacing w:after="0" w:line="25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Loss from operations was $5.2 million for the quarter ended June 30, 2024 compared to income from operations of $2.3 million in the same quarter a year ago. Operating margin for the quarter ended June 30, 2024 was negative 3.0% compared to positive 1.5% in the same quarter a year ago. Margins in the prior year quarter were positively impacted by the acceleration of stock-based compensation previously discussed.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 and Income Taxes</w:t>
      </w:r>
    </w:p>
    <w:p>
      <w:pPr>
        <w:spacing w:after="0" w:line="25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Total other income was $4.4 million for the quarter ended June 30, 2024 compared to total other income of $4.8 million in the same quarter a year ago. Other income is primarily interest income related to invested cash balances.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Income tax expense was $6.7 million on pretax loss of $0.8 million for the quarter ended June 30, 2024, resulting in an 831.5% effective tax rate. This compares to a prior year income tax expense of $ 8.7 million on pretax income of $7.1 million, or a 122.3% effective tax rate. Tax expense for both periods reflects the impact of the capitalization of research and development expenditures in accordance with Internal Revenue Code ("IRC") Section 174, as modified by the Tax Cuts and Jobs Act of 2017, the valuation allowance, and nondeductible stock-based compensation.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Resources and Liquidity</w:t>
      </w:r>
    </w:p>
    <w:p>
      <w:pPr>
        <w:spacing w:after="0" w:line="22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Company’s cash and cash equivalents are primarily located in the United States. At June 30, 2024, approximately $18.3 million of the total cash balance of $310.4 million, or approximately 5.9%, was located outside of the United States. The Company has no current plans to repatriate this cash to the United States.</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Net accounts receivable balances were $ 206.3 million at June 30, 2024, an increase of $16.0 million, compared to $190.3 million at March 31, 2024. Days sales outstanding ("DSO"), a measurement of the time it takes to collect receivables, was 107 days at June 30, 2024, compared to 101 days at March 31, 2024.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2024, DSO at June 30, 2024 was negatively impacted by approximately two days by the increased impact of Data Marketplace gross accounts receivable. All customer accounts are actively managed, and no losses in excess of amounts reserved are currently expected.</w:t>
      </w:r>
    </w:p>
    <w:p>
      <w:pPr>
        <w:spacing w:after="0" w:line="200"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Working capital at June 30, 2024 totaled $395.4 million, a $9.9 million increase when compared to $385.5 million at March 31, 2024. On January 31, 2024, the Company closed its acquisition of Habu, which included the payment of approximately $170.3 million in cash at closing.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9" w:name="page40"/>
    <w:bookmarkEnd w:id="39"/>
    <w:p>
      <w:pPr>
        <w:spacing w:after="0" w:line="262"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foreseeable future. However, in light of the risk of recession, the military conflicts in Europe and the Middle East, cost increases, high interest rates, capital markets volatility, bank failures and general inflationary pressures, our liquidity position may change due to the inability to collect from our customers, inability to raise new capital via issuance of equity or debt, and disruption in completing repayments or disbursements to our creditors. We have historically taken and may continue to take advantage of opportunities to generate additional liquidity through capital market transactions. These impacts have caused significant disruptions to the global financial markets, which could increase the cost of capital and adversely impact our ability to raise additional capital, which could negatively affect our liquidity in the future.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reported (dollars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r>
      <w:tr>
        <w:trPr>
          <w:trHeight w:val="85"/>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25,693</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(553)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(18,522)</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Our cash flows from operating activities are primarily influenced by growth in our operations, increases or decreases in collections from our customers, and related payments to our suppliers and employees. The timing of cash receipts from customers and payments to suppliers can significantly impact our cash flows from operating activities. Our collection and payment cycles can vary from period to period.</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the three months ended June 30, 2024, net cash used in operating activities of $9.3 million resulted primarily from operating results adjusted for non-cash items of $25.6 million offset by changes in operating assets and liabilities of $34.9 million. Net cash used by changes in operating assets and liabilities was primarily related to a decrease in accounts payable and other liabilities of $39.0 million and an increase in accounts receivable of $16.6 million, partially offset by an increase in deferred revenue of $7.5 million. The change in accounts payable and other liabilities is primarily due to the payment of annual incentive compensation and the timing of payments to suppliers. The change in accounts receivable is primarily due to revenue growth and the timing of cash receipts from customers.</w:t>
      </w:r>
    </w:p>
    <w:p>
      <w:pPr>
        <w:spacing w:after="0" w:line="19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the three months ended June 30, 2023, net cash provided by operating activities of $25.7 million resulted primarily from operating results adjusted for non-cash items of $15.9 million offset by changes in operating assets and liabilities of $9.8 million. Net cash provided by operating assets and liabilities was primarily related to a $29.2 million Internal Revenue Service refund related to fiscal 2021, an increase in income taxes payable of $8.0 million, an increase in deferred revenue of $7.1 million and an increase in other assets of $5.0 million, offset partially by an increase in accounts payable and other liabilities of $25.2 million and accounts receivable of $14.4 million. The change in accounts payable and other liabilities is primarily due to the payment of annual incentive compensation and the timing of payments to suppliers. The change in accounts receivable is primarily due to revenue growth and the timing of cash receipts from customers.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Our primary investing activities have primarily consisted of business acquisitions, capital expenditures and purchases and sales of investments. Capital expenditures may vary from period to period due to the timing of the expansion of our operations, the addition of new headcount, new facilities, and acquisitions.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0" w:name="page41"/>
    <w:bookmarkEnd w:id="40"/>
    <w:p>
      <w:pPr>
        <w:ind w:right="100"/>
        <w:spacing w:after="0" w:line="300" w:lineRule="auto"/>
        <w:rPr>
          <w:sz w:val="20"/>
          <w:szCs w:val="20"/>
          <w:color w:val="auto"/>
        </w:rPr>
      </w:pPr>
      <w:r>
        <w:rPr>
          <w:rFonts w:ascii="Arial" w:cs="Arial" w:eastAsia="Arial" w:hAnsi="Arial"/>
          <w:sz w:val="17"/>
          <w:szCs w:val="17"/>
          <w:color w:val="auto"/>
        </w:rPr>
        <w:t>In the three months ended June 30, 2024, net cash used in investing activities consisted of capital expenditures of $0.2 million and the purchase of a strategic investment of $0.4 million.</w:t>
      </w:r>
    </w:p>
    <w:p>
      <w:pPr>
        <w:spacing w:after="0" w:line="167"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In the three months ended June 30, 2023, net cash used in investing activities consisted of capital expenditures of $0.1 million and the purchase of a strategic investment of $0.5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7"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Our financing activities have consisted of acquisition of treasury stock, proceeds from our equity compensation plans, and shares repurchased for tax withholdings upon vesting of stock-based awards.</w:t>
      </w:r>
    </w:p>
    <w:p>
      <w:pPr>
        <w:spacing w:after="0" w:line="16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three months ended June 30, 2024, net cash used in financing activities was $16.5 million, consisting of the acquisition of treasury shares pursuant to the board of directors' approved stock repurchase plan of $15.8 million (0.5 million shares) and $6.8 million for shares repurchased for tax withholdings upon vesting of stock-based awards. These uses of cash were partially offset by proceeds of $6.2 million from the sale of common stock from our equity compensation plans.</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three months ended June 30, 2023, net cash used in financing activities was $18.5 million, consisting of the acquisition of treasury shares pursuant to the board of directors' approved stock repurchase plan of $20.2 million (0.8 million shares), and $3.9 million for shares repurchased for tax withholdings upon vesting of stock-based awards. These uses of cash were partially offset by proceeds of $5.6 million from the sale of common stock from our equity compensation plans.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Repurchase Program</w:t>
      </w:r>
    </w:p>
    <w:p>
      <w:pPr>
        <w:spacing w:after="0" w:line="25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On December 20, 2022, the Company's board of directors approved an amendment to the existing common stock repurchase program, which was initially adopted in 2011. The amendment authorized an additional $ 100.0 million in share repurchases, increasing the total amount authorized for repurchase under the common stock repurchase program to $1.1 billion. In addition, it extended the common stock repurchase program duration through December 31, 2024.</w:t>
      </w:r>
    </w:p>
    <w:p>
      <w:pPr>
        <w:spacing w:after="0" w:line="192"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During the three months ended June 30, 2024, the Company repurchased 0.5 million shares of its common stock for $15.8 million under the modified common stock repurchase program. Through June 30, 2024, the Company had repurchased a total of 38.2 million shares of its common stock for $958.5 million under the program, leaving remaining capacity of $141.5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contractual cash obligations and purchase commitments at June 30, 2024 (dollars in</w:t>
      </w:r>
    </w:p>
    <w:p>
      <w:pPr>
        <w:spacing w:after="0" w:line="3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$26.1 million as the Company is not able to predict the periods in which the payments will be made. The amount for 2025 represents the remaining nine months ending March 31, 2025. All other periods represent fiscal years ending March 31 (dollars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6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4,299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46,469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right="80"/>
        <w:spacing w:after="0" w:line="300" w:lineRule="auto"/>
        <w:rPr>
          <w:sz w:val="20"/>
          <w:szCs w:val="20"/>
          <w:color w:val="auto"/>
        </w:rPr>
      </w:pPr>
      <w:r>
        <w:rPr>
          <w:rFonts w:ascii="Arial" w:cs="Arial" w:eastAsia="Arial" w:hAnsi="Arial"/>
          <w:sz w:val="17"/>
          <w:szCs w:val="17"/>
          <w:color w:val="auto"/>
        </w:rPr>
        <w:t>Future minimum payments as of June 30, 2024 related to restructuring plans as a result of the Company's exit from certain leased office facilities are (dollars in thousands): Fiscal 2025: $2,024; and Fiscal 2026: $1,799.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84"/>
              <w:spacing w:after="0"/>
              <w:rPr>
                <w:sz w:val="20"/>
                <w:szCs w:val="20"/>
                <w:color w:val="auto"/>
              </w:rPr>
            </w:pPr>
            <w:r>
              <w:rPr>
                <w:rFonts w:ascii="Arial" w:cs="Arial" w:eastAsia="Arial" w:hAnsi="Arial"/>
                <w:sz w:val="14"/>
                <w:szCs w:val="14"/>
                <w:b w:val="1"/>
                <w:bCs w:val="1"/>
                <w:color w:val="auto"/>
                <w:w w:val="98"/>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60,637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19,992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90,187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ind w:right="8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For a description of certain risks that could have an impact on results of operations or financial condition, including liquidity and capital resources, see “Risk Factors” contained in Part I, Item 1A, of the Company's Annual Report on Form 10-K for the fiscal year ended March 31, 2024 ("2024 Annual Report") as filed with the Securities and Exchange Commission ("SEC") on May 22, 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Non-U.S. Operations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 has a presence in the United Kingdom, France, the Netherlands, Italy, Spain, Brazil, India, Australia, China, Singapore and Japan.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2024 Annual Report include a summary of significant accounting policies used in the preparation of the Company’s consolidated financial statements. In addition, the Management’s Discussion and Analysis of Financial Condition and Results of Operations filed as part of the 2024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2024 Annual Report other than as described in the "Accounting Pronouncements Adopted during the Current Year" section of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52"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For information on recent accounting pronouncements, see “Accounting Pronouncements Adopted During the Current Year" and “Recent Accounting Pronouncements Not Yet Adopted” under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10" w:right="37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We believe there have been no material changes in our market risk exposures for the three months ended June 30, 2024, as compared with those discussed in the 2024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6" w:lineRule="exact"/>
        <w:rPr>
          <w:sz w:val="20"/>
          <w:szCs w:val="20"/>
          <w:color w:val="auto"/>
        </w:rPr>
      </w:pPr>
    </w:p>
    <w:p>
      <w:pPr>
        <w:ind w:left="420" w:hanging="415"/>
        <w:spacing w:after="0"/>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24"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June 30, 2024, our disclosure controls and procedures were effective.</w:t>
      </w:r>
    </w:p>
    <w:p>
      <w:pPr>
        <w:spacing w:after="0" w:line="379" w:lineRule="exact"/>
        <w:rPr>
          <w:sz w:val="20"/>
          <w:szCs w:val="20"/>
          <w:color w:val="auto"/>
        </w:rPr>
      </w:pPr>
    </w:p>
    <w:p>
      <w:pPr>
        <w:ind w:left="420" w:hanging="415"/>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24" w:lineRule="exact"/>
        <w:rPr>
          <w:sz w:val="20"/>
          <w:szCs w:val="20"/>
          <w:color w:val="auto"/>
        </w:rPr>
      </w:pPr>
    </w:p>
    <w:p>
      <w:pPr>
        <w:jc w:val="both"/>
        <w:ind w:left="640" w:right="480"/>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The information required by this item is set forth under Note 14, “Commitments and Contingencies,” to our unaudited condensed consolidated financial statements in Part I, Item 1 of this Quarterly Report on Form 10-Q and is incorporated herein by reference.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risks described in Part I, Item 1A, “Risk Factors” in the 2024 Annual Report, remain current in all material respects, except as set forth below.</w:t>
      </w:r>
    </w:p>
    <w:p>
      <w:pPr>
        <w:spacing w:after="0" w:line="25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January 2020 Google announced that at some point in the following 24 months the Chrome browser would block third-party cookies. In April 2021, Google began releasing software updates to its Chrome browser with features intended to phase out third-party cookies. In May 2023, Google stated that it would deprecate third-party cookies by mid-2024 and in January 2024 started by deprecating third-party cookies for 1% of users globally. In April 2024, Google announced that the deprecation of third-party cookies will not be completed in 2024.</w:t>
      </w:r>
    </w:p>
    <w:p>
      <w:pPr>
        <w:spacing w:after="0" w:line="192"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In July 2024 Google announced that, instead of deprecating third-party cookies, it will introduce “a new experience in Chrome that lets people make an informed choice that applies across their web browsing.” While Google has determined not to deprecate cookies at this time, it is possible that Google's ongoing efforts in this area may have a substantial impact on the ability to collect and use data from Internet users.</w:t>
      </w:r>
    </w:p>
    <w:p>
      <w:pPr>
        <w:spacing w:after="0" w:line="18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foregoing shall be deemed to update the risks described in Part I, Item 1A, “Risk Factors” in the 2024 Annual Report, including, but not limited to those risks described under the headings “</w:t>
      </w:r>
      <w:r>
        <w:rPr>
          <w:rFonts w:ascii="Arial" w:cs="Arial" w:eastAsia="Arial" w:hAnsi="Arial"/>
          <w:sz w:val="17"/>
          <w:szCs w:val="17"/>
          <w:i w:val="1"/>
          <w:iCs w:val="1"/>
          <w:color w:val="auto"/>
        </w:rPr>
        <w:t>As the use of ‘third-party cookies' or other tracking technology continues to be pressured by</w:t>
      </w:r>
      <w:r>
        <w:rPr>
          <w:rFonts w:ascii="Arial" w:cs="Arial" w:eastAsia="Arial" w:hAnsi="Arial"/>
          <w:sz w:val="17"/>
          <w:szCs w:val="17"/>
          <w:color w:val="auto"/>
        </w:rPr>
        <w:t xml:space="preserve"> </w:t>
      </w:r>
      <w:r>
        <w:rPr>
          <w:rFonts w:ascii="Arial" w:cs="Arial" w:eastAsia="Arial" w:hAnsi="Arial"/>
          <w:sz w:val="17"/>
          <w:szCs w:val="17"/>
          <w:i w:val="1"/>
          <w:iCs w:val="1"/>
          <w:color w:val="auto"/>
        </w:rPr>
        <w:t>Internet users, restricted or otherwise subject to unfavorable regulation, blocked or limited by technical changes on end users’ devices, or our and our customers’ ability to use data on our platform is otherwise restricted, our business could be materially impacted.</w:t>
      </w:r>
      <w:r>
        <w:rPr>
          <w:rFonts w:ascii="Arial" w:cs="Arial" w:eastAsia="Arial" w:hAnsi="Arial"/>
          <w:sz w:val="17"/>
          <w:szCs w:val="17"/>
          <w:color w:val="auto"/>
        </w:rPr>
        <w:t>” and “</w:t>
      </w:r>
      <w:r>
        <w:rPr>
          <w:rFonts w:ascii="Arial" w:cs="Arial" w:eastAsia="Arial" w:hAnsi="Arial"/>
          <w:sz w:val="17"/>
          <w:szCs w:val="17"/>
          <w:i w:val="1"/>
          <w:iCs w:val="1"/>
          <w:color w:val="auto"/>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risk factors in the 2024 Annual Report, as updated above,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2" w:lineRule="exact"/>
        <w:rPr>
          <w:sz w:val="20"/>
          <w:szCs w:val="20"/>
          <w:color w:val="auto"/>
        </w:rPr>
      </w:pPr>
    </w:p>
    <w:p>
      <w:pPr>
        <w:ind w:left="1560" w:hanging="296"/>
        <w:spacing w:after="0"/>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60" w:hanging="296"/>
        <w:spacing w:after="0"/>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80" w:hanging="316"/>
        <w:spacing w:after="0"/>
        <w:tabs>
          <w:tab w:leader="none" w:pos="1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table below provides information regarding purchases by LiveRamp of its common stock during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9"/>
                <w:szCs w:val="1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Total Number of Shares</w:t>
            </w:r>
          </w:p>
        </w:tc>
        <w:tc>
          <w:tcPr>
            <w:tcW w:w="160" w:type="dxa"/>
            <w:vAlign w:val="bottom"/>
          </w:tcPr>
          <w:p>
            <w:pPr>
              <w:spacing w:after="0"/>
              <w:rPr>
                <w:sz w:val="19"/>
                <w:szCs w:val="19"/>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2"/>
                <w:szCs w:val="12"/>
                <w:color w:val="auto"/>
              </w:rPr>
            </w:pPr>
          </w:p>
        </w:tc>
        <w:tc>
          <w:tcPr>
            <w:tcW w:w="21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1"/>
                <w:szCs w:val="11"/>
                <w:color w:val="auto"/>
              </w:rPr>
            </w:pPr>
          </w:p>
        </w:tc>
        <w:tc>
          <w:tcPr>
            <w:tcW w:w="21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1"/>
        </w:trPr>
        <w:tc>
          <w:tcPr>
            <w:tcW w:w="4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9"/>
              </w:rPr>
              <w:t>Announced Plans or</w:t>
            </w:r>
          </w:p>
        </w:tc>
        <w:tc>
          <w:tcPr>
            <w:tcW w:w="160" w:type="dxa"/>
            <w:vAlign w:val="bottom"/>
          </w:tcPr>
          <w:p>
            <w:pPr>
              <w:spacing w:after="0"/>
              <w:rPr>
                <w:sz w:val="12"/>
                <w:szCs w:val="12"/>
                <w:color w:val="auto"/>
              </w:rPr>
            </w:pPr>
          </w:p>
        </w:tc>
        <w:tc>
          <w:tcPr>
            <w:tcW w:w="21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9"/>
              </w:rPr>
              <w:t>Purchased Under the</w:t>
            </w:r>
          </w:p>
        </w:tc>
        <w:tc>
          <w:tcPr>
            <w:tcW w:w="0" w:type="dxa"/>
            <w:vAlign w:val="bottom"/>
          </w:tcPr>
          <w:p>
            <w:pPr>
              <w:spacing w:after="0"/>
              <w:rPr>
                <w:sz w:val="1"/>
                <w:szCs w:val="1"/>
                <w:color w:val="auto"/>
              </w:rPr>
            </w:pPr>
          </w:p>
        </w:tc>
      </w:tr>
      <w:tr>
        <w:trPr>
          <w:trHeight w:val="184"/>
        </w:trPr>
        <w:tc>
          <w:tcPr>
            <w:tcW w:w="43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Programs</w:t>
            </w:r>
          </w:p>
        </w:tc>
        <w:tc>
          <w:tcPr>
            <w:tcW w:w="160" w:type="dxa"/>
            <w:vAlign w:val="bottom"/>
          </w:tcPr>
          <w:p>
            <w:pPr>
              <w:spacing w:after="0"/>
              <w:rPr>
                <w:sz w:val="15"/>
                <w:szCs w:val="15"/>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Plans or Programs</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April 1, 2024 - April 30, 2024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163,574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151,941,365</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May 1, 2024 - May 31, 2024</w:t>
            </w:r>
          </w:p>
        </w:tc>
        <w:tc>
          <w:tcPr>
            <w:tcW w:w="1320" w:type="dxa"/>
            <w:vAlign w:val="bottom"/>
          </w:tcPr>
          <w:p>
            <w:pPr>
              <w:jc w:val="right"/>
              <w:spacing w:after="0"/>
              <w:rPr>
                <w:sz w:val="20"/>
                <w:szCs w:val="20"/>
                <w:color w:val="auto"/>
              </w:rPr>
            </w:pPr>
            <w:r>
              <w:rPr>
                <w:rFonts w:ascii="Arial" w:cs="Arial" w:eastAsia="Arial" w:hAnsi="Arial"/>
                <w:sz w:val="17"/>
                <w:szCs w:val="17"/>
                <w:color w:val="auto"/>
              </w:rPr>
              <w:t>160,000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32.74</w:t>
            </w:r>
          </w:p>
        </w:tc>
        <w:tc>
          <w:tcPr>
            <w:tcW w:w="12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7"/>
                <w:szCs w:val="17"/>
                <w:color w:val="auto"/>
              </w:rPr>
              <w:t>160,000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4"/>
              <w:spacing w:after="0"/>
              <w:rPr>
                <w:sz w:val="20"/>
                <w:szCs w:val="20"/>
                <w:color w:val="auto"/>
              </w:rPr>
            </w:pPr>
            <w:r>
              <w:rPr>
                <w:rFonts w:ascii="Arial" w:cs="Arial" w:eastAsia="Arial" w:hAnsi="Arial"/>
                <w:sz w:val="17"/>
                <w:szCs w:val="17"/>
                <w:color w:val="auto"/>
              </w:rPr>
              <w:t>146,703,333</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1, 2024 - June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29.50</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141,540,556</w:t>
            </w:r>
          </w:p>
        </w:tc>
        <w:tc>
          <w:tcPr>
            <w:tcW w:w="0" w:type="dxa"/>
            <w:vAlign w:val="bottom"/>
          </w:tcPr>
          <w:p>
            <w:pPr>
              <w:spacing w:after="0"/>
              <w:rPr>
                <w:sz w:val="1"/>
                <w:szCs w:val="1"/>
                <w:color w:val="auto"/>
              </w:rPr>
            </w:pPr>
          </w:p>
        </w:tc>
      </w:tr>
      <w:tr>
        <w:trPr>
          <w:trHeight w:val="216"/>
        </w:trPr>
        <w:tc>
          <w:tcPr>
            <w:tcW w:w="43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498,574</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31.66</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498,574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On August 29, 2011, the board of directors adopted a common stock repurchase program. That program was subsequently modified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expanded, most recently on December 20, 2022. Under the modified common stock repurchase program, the Company may purchase up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$1.1 billion of its common stock through the period ending December 31, 2024. Through June 30, 2024, the Company had repurchased a total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38.2 million shares of its common stock for $958.5 million, leaving remaining capacity of $141.5 million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 Not applicable.</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 During the three months ended June 30, 2024,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143" w:right="5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with this Quarterly Report on Form 10-Q:</w:t>
      </w:r>
    </w:p>
    <w:p>
      <w:pPr>
        <w:spacing w:after="0" w:line="263" w:lineRule="exact"/>
        <w:rPr>
          <w:sz w:val="20"/>
          <w:szCs w:val="20"/>
          <w:color w:val="auto"/>
        </w:rPr>
      </w:pPr>
    </w:p>
    <w:p>
      <w:pPr>
        <w:ind w:left="1180" w:right="400" w:hanging="576"/>
        <w:spacing w:after="0" w:line="251" w:lineRule="auto"/>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SEC Rule 13a-14(a)/15d-14(a), as adopted pursuant to Sections 302 and 404 of the Sarbanes-Oxley Act of 2002</w:t>
      </w:r>
    </w:p>
    <w:p>
      <w:pPr>
        <w:spacing w:after="0" w:line="260" w:lineRule="exact"/>
        <w:rPr>
          <w:sz w:val="20"/>
          <w:szCs w:val="20"/>
          <w:color w:val="auto"/>
        </w:rPr>
      </w:pPr>
    </w:p>
    <w:p>
      <w:pPr>
        <w:ind w:left="1180" w:hanging="576"/>
        <w:spacing w:after="0" w:line="251" w:lineRule="auto"/>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SEC Rule 13a-14(a)/15d-14(a), as adopted pursuant to Sections 302 and 404 of the Sarbanes-Oxley Act of 2002</w:t>
      </w:r>
    </w:p>
    <w:p>
      <w:pPr>
        <w:spacing w:after="0" w:line="260" w:lineRule="exact"/>
        <w:rPr>
          <w:sz w:val="20"/>
          <w:szCs w:val="20"/>
          <w:color w:val="auto"/>
        </w:rPr>
      </w:pPr>
    </w:p>
    <w:p>
      <w:pPr>
        <w:ind w:left="1180" w:right="40" w:hanging="576"/>
        <w:spacing w:after="0" w:line="251"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18 U.S.C. Section 1350, as adopted pursuant to Section 906 of the Sarbanes-Oxley Act of 2002</w:t>
      </w:r>
    </w:p>
    <w:p>
      <w:pPr>
        <w:spacing w:after="0" w:line="260" w:lineRule="exact"/>
        <w:rPr>
          <w:sz w:val="20"/>
          <w:szCs w:val="20"/>
          <w:color w:val="auto"/>
        </w:rPr>
      </w:pPr>
    </w:p>
    <w:p>
      <w:pPr>
        <w:ind w:left="1180" w:right="560" w:hanging="576"/>
        <w:spacing w:after="0" w:line="251"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18 U.S.C. Section 1350, as adopted pursuant to Section 906 of the Sarbanes-Oxley Act of 2002</w:t>
      </w:r>
    </w:p>
    <w:p>
      <w:pPr>
        <w:spacing w:after="0" w:line="273" w:lineRule="exact"/>
        <w:rPr>
          <w:sz w:val="20"/>
          <w:szCs w:val="20"/>
          <w:color w:val="auto"/>
        </w:rPr>
      </w:pPr>
    </w:p>
    <w:p>
      <w:pPr>
        <w:ind w:left="1180" w:right="80" w:hanging="532"/>
        <w:spacing w:after="0" w:line="262"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June 30, 2024, formatted in inline XBRL: (i) Condensed Consolidated Balance Sheets at June 30, 2024 and March 31, 2024, (ii) Condensed Consolidated Statements of Operations for the Three Months Ended June 30, 2024 and 2023, (iii) Condensed Consolidated Statements of Comprehensive Loss for the Three Months Ended June 30, 2024 and 2023, (iv) Condensed Consolidated Statements of Equity for the Three Months Ended June 30, 2024, (v) Condensed Consolidated Statements of Equity for the Three Months Ended June 30, 2023, (vi) Condensed Consolidated Statements of Cash Flows for the Three Months Ended June 30, 2024 and 2023, and (vii) the Notes to Condensed Consolidated Financial Statements, tagged in detail.</w:t>
      </w:r>
    </w:p>
    <w:p>
      <w:pPr>
        <w:spacing w:after="0" w:line="263" w:lineRule="exact"/>
        <w:rPr>
          <w:sz w:val="20"/>
          <w:szCs w:val="20"/>
          <w:color w:val="auto"/>
        </w:rPr>
      </w:pPr>
    </w:p>
    <w:p>
      <w:pPr>
        <w:ind w:left="1180" w:hanging="532"/>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07" w:right="61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LIVERAMP HOLDINGS, INC.</w:t>
            </w:r>
          </w:p>
        </w:tc>
      </w:tr>
      <w:tr>
        <w:trPr>
          <w:trHeight w:val="744"/>
        </w:trPr>
        <w:tc>
          <w:tcPr>
            <w:tcW w:w="1760" w:type="dxa"/>
            <w:vAlign w:val="bottom"/>
          </w:tcPr>
          <w:p>
            <w:pPr>
              <w:spacing w:after="0"/>
              <w:rPr>
                <w:sz w:val="20"/>
                <w:szCs w:val="20"/>
                <w:color w:val="auto"/>
              </w:rPr>
            </w:pPr>
            <w:r>
              <w:rPr>
                <w:rFonts w:ascii="Arial" w:cs="Arial" w:eastAsia="Arial" w:hAnsi="Arial"/>
                <w:sz w:val="17"/>
                <w:szCs w:val="17"/>
                <w:color w:val="auto"/>
              </w:rPr>
              <w:t>Dated: August 7, 2024</w:t>
            </w:r>
          </w:p>
        </w:tc>
        <w:tc>
          <w:tcPr>
            <w:tcW w:w="6060" w:type="dxa"/>
            <w:vAlign w:val="bottom"/>
            <w:gridSpan w:val="2"/>
          </w:tcPr>
          <w:p>
            <w:pPr>
              <w:ind w:left="580"/>
              <w:spacing w:after="0"/>
              <w:rPr>
                <w:sz w:val="20"/>
                <w:szCs w:val="20"/>
                <w:color w:val="auto"/>
              </w:rPr>
            </w:pPr>
            <w:r>
              <w:rPr>
                <w:rFonts w:ascii="Arial" w:cs="Arial" w:eastAsia="Arial" w:hAnsi="Arial"/>
                <w:sz w:val="17"/>
                <w:szCs w:val="17"/>
                <w:color w:val="auto"/>
              </w:rPr>
              <w:t>By: /s/ Lauren Dillard</w:t>
            </w:r>
          </w:p>
        </w:tc>
      </w:tr>
      <w:tr>
        <w:trPr>
          <w:trHeight w:val="212"/>
        </w:trPr>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(Signature)</w:t>
            </w:r>
          </w:p>
        </w:tc>
      </w:tr>
      <w:tr>
        <w:trPr>
          <w:trHeight w:val="223"/>
        </w:trPr>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Lauren Dillard</w:t>
            </w:r>
          </w:p>
        </w:tc>
      </w:tr>
      <w:tr>
        <w:trPr>
          <w:trHeight w:val="223"/>
        </w:trPr>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91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Scott E. Howe, certify that:</w:t>
      </w:r>
    </w:p>
    <w:p>
      <w:pPr>
        <w:spacing w:after="0" w:line="224" w:lineRule="exact"/>
        <w:rPr>
          <w:sz w:val="20"/>
          <w:szCs w:val="20"/>
          <w:color w:val="auto"/>
        </w:rPr>
      </w:pPr>
    </w:p>
    <w:p>
      <w:pPr>
        <w:ind w:left="1260" w:hanging="626"/>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50" w:lineRule="exact"/>
        <w:rPr>
          <w:rFonts w:ascii="Arial" w:cs="Arial" w:eastAsia="Arial" w:hAnsi="Arial"/>
          <w:sz w:val="17"/>
          <w:szCs w:val="17"/>
          <w:color w:val="auto"/>
        </w:rPr>
      </w:pPr>
    </w:p>
    <w:p>
      <w:pPr>
        <w:ind w:left="640" w:right="400" w:hanging="6"/>
        <w:spacing w:after="0" w:line="262"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7"/>
          <w:szCs w:val="17"/>
          <w:color w:val="auto"/>
        </w:rPr>
      </w:pPr>
    </w:p>
    <w:p>
      <w:pPr>
        <w:ind w:left="640" w:right="6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6"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660"/>
        <w:spacing w:after="0"/>
        <w:tabs>
          <w:tab w:leader="none" w:pos="5440" w:val="left"/>
          <w:tab w:leader="none" w:pos="6040" w:val="left"/>
        </w:tabs>
        <w:rPr>
          <w:sz w:val="20"/>
          <w:szCs w:val="20"/>
          <w:color w:val="auto"/>
        </w:rPr>
      </w:pPr>
      <w:r>
        <w:rPr>
          <w:rFonts w:ascii="Arial" w:cs="Arial" w:eastAsia="Arial" w:hAnsi="Arial"/>
          <w:sz w:val="17"/>
          <w:szCs w:val="17"/>
          <w:color w:val="auto"/>
        </w:rPr>
        <w:t>Dated: August 7,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28397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Scott E. Howe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0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Lauren Dillard, certify that:</w:t>
      </w:r>
    </w:p>
    <w:p>
      <w:pPr>
        <w:spacing w:after="0" w:line="224" w:lineRule="exact"/>
        <w:rPr>
          <w:sz w:val="20"/>
          <w:szCs w:val="20"/>
          <w:color w:val="auto"/>
        </w:rPr>
      </w:pPr>
    </w:p>
    <w:p>
      <w:pPr>
        <w:ind w:left="1260" w:hanging="626"/>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37" w:lineRule="exact"/>
        <w:rPr>
          <w:rFonts w:ascii="Arial" w:cs="Arial" w:eastAsia="Arial" w:hAnsi="Arial"/>
          <w:sz w:val="17"/>
          <w:szCs w:val="17"/>
          <w:color w:val="auto"/>
        </w:rPr>
      </w:pPr>
    </w:p>
    <w:p>
      <w:pPr>
        <w:ind w:left="640" w:right="40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7"/>
          <w:szCs w:val="17"/>
          <w:color w:val="auto"/>
        </w:rPr>
      </w:pPr>
    </w:p>
    <w:p>
      <w:pPr>
        <w:ind w:left="640" w:right="60" w:hanging="6"/>
        <w:spacing w:after="0" w:line="281"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5180" w:val="left"/>
          <w:tab w:leader="none" w:pos="5800" w:val="left"/>
        </w:tabs>
        <w:rPr>
          <w:sz w:val="20"/>
          <w:szCs w:val="20"/>
          <w:color w:val="auto"/>
        </w:rPr>
      </w:pPr>
      <w:r>
        <w:rPr>
          <w:rFonts w:ascii="Arial" w:cs="Arial" w:eastAsia="Arial" w:hAnsi="Arial"/>
          <w:sz w:val="17"/>
          <w:szCs w:val="17"/>
          <w:color w:val="auto"/>
        </w:rPr>
        <w:t>Dated: August 7,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3222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Lauren Dillard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0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June 30, 2024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194" w:lineRule="exact"/>
        <w:rPr>
          <w:sz w:val="20"/>
          <w:szCs w:val="20"/>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1" w:lineRule="exact"/>
        <w:rPr>
          <w:rFonts w:ascii="Arial" w:cs="Arial" w:eastAsia="Arial" w:hAnsi="Arial"/>
          <w:sz w:val="21"/>
          <w:szCs w:val="21"/>
          <w:color w:val="auto"/>
        </w:rPr>
      </w:pPr>
    </w:p>
    <w:p>
      <w:pPr>
        <w:ind w:left="640" w:right="340" w:hanging="320"/>
        <w:spacing w:after="0" w:line="259" w:lineRule="auto"/>
        <w:tabs>
          <w:tab w:leader="none" w:pos="631"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19685</wp:posOffset>
            </wp:positionV>
            <wp:extent cx="3330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Scott E. Howe</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August 7, 2024</w:t>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June 30, 2024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201" w:lineRule="exact"/>
        <w:rPr>
          <w:sz w:val="20"/>
          <w:szCs w:val="20"/>
          <w:color w:val="auto"/>
        </w:rPr>
      </w:pPr>
    </w:p>
    <w:p>
      <w:pPr>
        <w:ind w:left="620" w:hanging="300"/>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19685</wp:posOffset>
            </wp:positionV>
            <wp:extent cx="3072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Lauren Dillard</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 Chief Financial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August 7, 2024</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5"/>
    </w:lvl>
  </w:abstractNum>
  <w:abstractNum w:abstractNumId="11">
    <w:nsid w:val="333AB105"/>
    <w:multiLevelType w:val="hybridMultilevel"/>
    <w:lvl w:ilvl="0">
      <w:lvlJc w:val="left"/>
      <w:lvlText w:val="%1."/>
      <w:numFmt w:val="decimal"/>
      <w:start w:val="9"/>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1."/>
      <w:numFmt w:val="decimal"/>
      <w:start w:val="15"/>
    </w:lvl>
  </w:abstractNum>
  <w:abstractNum w:abstractNumId="16">
    <w:nsid w:val="75A2A8D4"/>
    <w:multiLevelType w:val="hybridMultilevel"/>
    <w:lvl w:ilvl="0">
      <w:lvlJc w:val="left"/>
      <w:lvlText w:val="%1."/>
      <w:numFmt w:val="decimal"/>
      <w:start w:val="16"/>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lvl w:ilvl="1">
      <w:lvlJc w:val="left"/>
      <w:lvlText w:val="◦"/>
      <w:numFmt w:val="bullet"/>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2024-08-07T16:46:43Z</dcterms:created>
  <dcterms:modified xsi:type="dcterms:W3CDTF">2024-08-07T16:46:43Z</dcterms:modified>
</cp:coreProperties>
</file>